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Victor Clarke</w:t>
      </w:r>
    </w:p>
    <w:p>
      <w:pPr>
        <w:pStyle w:val="normal1"/>
        <w:spacing w:before="0" w:after="120"/>
        <w:jc w:val="center"/>
        <w:rPr/>
      </w:pPr>
      <w:r>
        <w:rPr>
          <w:sz w:val="20"/>
          <w:szCs w:val="20"/>
        </w:rPr>
        <w:t>Date of Submission: 25 October 2026</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r>
            <w:rPr>
              <w:webHidden/>
              <w:rStyle w:val="IndexLink"/>
            </w:rPr>
            <w:t>Abstract</w:t>
            <w:tab/>
            <w:t>1</w:t>
          </w:r>
        </w:p>
        <w:p>
          <w:pPr>
            <w:pStyle w:val="TOC1"/>
            <w:tabs>
              <w:tab w:val="clear" w:pos="9026"/>
              <w:tab w:val="right" w:pos="9025" w:leader="dot"/>
            </w:tabs>
            <w:rPr/>
          </w:pPr>
          <w:r>
            <w:rPr>
              <w:webHidden/>
              <w:rStyle w:val="IndexLink"/>
            </w:rPr>
            <w:t>Table of Contents</w:t>
            <w:tab/>
            <w:t>2</w:t>
          </w:r>
        </w:p>
        <w:p>
          <w:pPr>
            <w:pStyle w:val="TOC1"/>
            <w:tabs>
              <w:tab w:val="clear" w:pos="9026"/>
              <w:tab w:val="right" w:pos="9025" w:leader="dot"/>
            </w:tabs>
            <w:rPr/>
          </w:pPr>
          <w:r>
            <w:rPr>
              <w:webHidden/>
              <w:rStyle w:val="IndexLink"/>
            </w:rPr>
            <w:t>1 Introduction</w:t>
            <w:tab/>
            <w:t>3</w:t>
          </w:r>
        </w:p>
        <w:p>
          <w:pPr>
            <w:pStyle w:val="TOC1"/>
            <w:tabs>
              <w:tab w:val="clear" w:pos="9026"/>
              <w:tab w:val="right" w:pos="9025" w:leader="dot"/>
            </w:tabs>
            <w:rPr/>
          </w:pPr>
          <w:r>
            <w:rPr>
              <w:webHidden/>
              <w:rStyle w:val="IndexLink"/>
            </w:rPr>
            <w:t>2 Data Sources/Methodology</w:t>
            <w:tab/>
            <w:t>3</w:t>
          </w:r>
        </w:p>
        <w:p>
          <w:pPr>
            <w:pStyle w:val="TOC1"/>
            <w:tabs>
              <w:tab w:val="clear" w:pos="9026"/>
              <w:tab w:val="right" w:pos="9025" w:leader="dot"/>
            </w:tabs>
            <w:rPr/>
          </w:pPr>
          <w:r>
            <w:rPr>
              <w:webHidden/>
              <w:rStyle w:val="IndexLink"/>
            </w:rPr>
            <w:t>3 Discussion</w:t>
            <w:tab/>
            <w:t>4</w:t>
          </w:r>
        </w:p>
        <w:p>
          <w:pPr>
            <w:pStyle w:val="TOC2"/>
            <w:tabs>
              <w:tab w:val="clear" w:pos="9026"/>
              <w:tab w:val="right" w:pos="9025" w:leader="dot"/>
            </w:tabs>
            <w:rPr/>
          </w:pPr>
          <w:r>
            <w:rPr>
              <w:webHidden/>
              <w:rStyle w:val="IndexLink"/>
            </w:rPr>
            <w:t>3.1 Overview of SMR</w:t>
            <w:tab/>
            <w:t>4</w:t>
          </w:r>
        </w:p>
        <w:p>
          <w:pPr>
            <w:pStyle w:val="TOC3"/>
            <w:tabs>
              <w:tab w:val="clear" w:pos="9026"/>
              <w:tab w:val="right" w:pos="9025" w:leader="dot"/>
            </w:tabs>
            <w:rPr/>
          </w:pPr>
          <w:r>
            <w:rPr>
              <w:webHidden/>
              <w:rStyle w:val="IndexLink"/>
            </w:rPr>
            <w:t>3.1.1 Current Projects and Patents</w:t>
            <w:tab/>
            <w:t>4</w:t>
          </w:r>
        </w:p>
        <w:p>
          <w:pPr>
            <w:pStyle w:val="TOC3"/>
            <w:tabs>
              <w:tab w:val="clear" w:pos="9026"/>
              <w:tab w:val="right" w:pos="9025" w:leader="dot"/>
            </w:tabs>
            <w:rPr/>
          </w:pPr>
          <w:r>
            <w:rPr>
              <w:webHidden/>
              <w:rStyle w:val="IndexLink"/>
            </w:rPr>
            <w:t>3.1.2 Technical Descriptions</w:t>
            <w:tab/>
            <w:t>5</w:t>
          </w:r>
        </w:p>
        <w:p>
          <w:pPr>
            <w:pStyle w:val="TOC3"/>
            <w:tabs>
              <w:tab w:val="clear" w:pos="9026"/>
              <w:tab w:val="right" w:pos="9025" w:leader="dot"/>
            </w:tabs>
            <w:rPr/>
          </w:pPr>
          <w:r>
            <w:rPr>
              <w:webHidden/>
              <w:rStyle w:val="IndexLink"/>
            </w:rPr>
            <w:t>3.1.3 Barriers to Emissions Reduction</w:t>
            <w:tab/>
            <w:t>6</w:t>
          </w:r>
        </w:p>
        <w:p>
          <w:pPr>
            <w:pStyle w:val="TOC3"/>
            <w:tabs>
              <w:tab w:val="clear" w:pos="9026"/>
              <w:tab w:val="right" w:pos="9025" w:leader="dot"/>
            </w:tabs>
            <w:rPr/>
          </w:pPr>
          <w:r>
            <w:rPr>
              <w:webHidden/>
              <w:rStyle w:val="IndexLink"/>
            </w:rPr>
            <w:t>3.1.4 The Proposed Initiative</w:t>
            <w:tab/>
            <w:t>7</w:t>
          </w:r>
        </w:p>
        <w:p>
          <w:pPr>
            <w:pStyle w:val="TOC3"/>
            <w:tabs>
              <w:tab w:val="clear" w:pos="9026"/>
              <w:tab w:val="right" w:pos="9025" w:leader="dot"/>
            </w:tabs>
            <w:rPr/>
          </w:pPr>
          <w:r>
            <w:rPr>
              <w:webHidden/>
              <w:rStyle w:val="IndexLink"/>
            </w:rPr>
            <w:t>3.1.5 Materials from Extraction to End-of-Life</w:t>
            <w:tab/>
            <w:t>8</w:t>
          </w:r>
        </w:p>
        <w:p>
          <w:pPr>
            <w:pStyle w:val="TOC2"/>
            <w:tabs>
              <w:tab w:val="clear" w:pos="9026"/>
              <w:tab w:val="right" w:pos="9025" w:leader="dot"/>
            </w:tabs>
            <w:rPr/>
          </w:pPr>
          <w:r>
            <w:rPr>
              <w:webHidden/>
              <w:rStyle w:val="IndexLink"/>
            </w:rPr>
            <w:t>3.2 Lifecycle Analysis</w:t>
            <w:tab/>
            <w:t>9</w:t>
          </w:r>
        </w:p>
        <w:p>
          <w:pPr>
            <w:pStyle w:val="TOC3"/>
            <w:tabs>
              <w:tab w:val="clear" w:pos="9026"/>
              <w:tab w:val="right" w:pos="9025" w:leader="dot"/>
            </w:tabs>
            <w:rPr/>
          </w:pPr>
          <w:r>
            <w:rPr>
              <w:webHidden/>
              <w:rStyle w:val="IndexLink"/>
            </w:rPr>
            <w:t>3.2.1 Goal, Scope and Method</w:t>
            <w:tab/>
            <w:t>9</w:t>
          </w:r>
        </w:p>
        <w:p>
          <w:pPr>
            <w:pStyle w:val="TOC3"/>
            <w:tabs>
              <w:tab w:val="clear" w:pos="9026"/>
              <w:tab w:val="right" w:pos="9025" w:leader="dot"/>
            </w:tabs>
            <w:rPr/>
          </w:pPr>
          <w:r>
            <w:rPr>
              <w:webHidden/>
              <w:rStyle w:val="IndexLink"/>
            </w:rPr>
            <w:t>3.2.2 Baseline and Hotspots</w:t>
            <w:tab/>
            <w:t>10</w:t>
          </w:r>
        </w:p>
        <w:p>
          <w:pPr>
            <w:pStyle w:val="TOC3"/>
            <w:tabs>
              <w:tab w:val="clear" w:pos="9026"/>
              <w:tab w:val="right" w:pos="9025" w:leader="dot"/>
            </w:tabs>
            <w:rPr/>
          </w:pPr>
          <w:r>
            <w:rPr>
              <w:webHidden/>
              <w:rStyle w:val="IndexLink"/>
            </w:rPr>
            <w:t>3.2.3 The Initiative against the Baseline</w:t>
            <w:tab/>
            <w:t>11</w:t>
          </w:r>
        </w:p>
        <w:p>
          <w:pPr>
            <w:pStyle w:val="TOC3"/>
            <w:tabs>
              <w:tab w:val="clear" w:pos="9026"/>
              <w:tab w:val="right" w:pos="9025" w:leader="dot"/>
            </w:tabs>
            <w:rPr/>
          </w:pPr>
          <w:r>
            <w:rPr>
              <w:webHidden/>
              <w:rStyle w:val="IndexLink"/>
            </w:rPr>
            <w:t>3.2.4 Uncertainty Analysis</w:t>
            <w:tab/>
            <w:t>12</w:t>
          </w:r>
        </w:p>
        <w:p>
          <w:pPr>
            <w:pStyle w:val="TOC3"/>
            <w:tabs>
              <w:tab w:val="clear" w:pos="9026"/>
              <w:tab w:val="right" w:pos="9025" w:leader="dot"/>
            </w:tabs>
            <w:rPr/>
          </w:pPr>
          <w:r>
            <w:rPr>
              <w:webHidden/>
              <w:rStyle w:val="IndexLink"/>
            </w:rPr>
            <w:t>3.2.5 Comparison with Published Values</w:t>
            <w:tab/>
            <w:t>13</w:t>
          </w:r>
        </w:p>
        <w:p>
          <w:pPr>
            <w:pStyle w:val="TOC2"/>
            <w:tabs>
              <w:tab w:val="clear" w:pos="9026"/>
              <w:tab w:val="right" w:pos="9025" w:leader="dot"/>
            </w:tabs>
            <w:rPr/>
          </w:pPr>
          <w:r>
            <w:rPr>
              <w:webHidden/>
              <w:rStyle w:val="IndexLink"/>
            </w:rPr>
            <w:t>3.3 National Strategies and Industrial Policies</w:t>
            <w:tab/>
            <w:t>14</w:t>
          </w:r>
        </w:p>
        <w:p>
          <w:pPr>
            <w:pStyle w:val="TOC3"/>
            <w:tabs>
              <w:tab w:val="clear" w:pos="9026"/>
              <w:tab w:val="right" w:pos="9025" w:leader="dot"/>
            </w:tabs>
            <w:rPr/>
          </w:pPr>
          <w:r>
            <w:rPr>
              <w:webHidden/>
              <w:rStyle w:val="IndexLink"/>
            </w:rPr>
            <w:t>3.3.1 The Value of Schedule</w:t>
            <w:tab/>
            <w:t>14</w:t>
          </w:r>
        </w:p>
        <w:p>
          <w:pPr>
            <w:pStyle w:val="TOC3"/>
            <w:tabs>
              <w:tab w:val="clear" w:pos="9026"/>
              <w:tab w:val="right" w:pos="9025" w:leader="dot"/>
            </w:tabs>
            <w:rPr/>
          </w:pPr>
          <w:r>
            <w:rPr>
              <w:webHidden/>
              <w:rStyle w:val="IndexLink"/>
            </w:rPr>
            <w:t>3.3.2 Carbon Displaced: Darlington vs Liddell</w:t>
            <w:tab/>
            <w:t>15</w:t>
          </w:r>
        </w:p>
        <w:p>
          <w:pPr>
            <w:pStyle w:val="TOC3"/>
            <w:tabs>
              <w:tab w:val="clear" w:pos="9026"/>
              <w:tab w:val="right" w:pos="9025" w:leader="dot"/>
            </w:tabs>
            <w:rPr/>
          </w:pPr>
          <w:r>
            <w:rPr>
              <w:webHidden/>
              <w:rStyle w:val="IndexLink"/>
            </w:rPr>
            <w:t>3.3.3 Firmed Renewables for the Same Money</w:t>
            <w:tab/>
            <w:t>16</w:t>
          </w:r>
        </w:p>
        <w:p>
          <w:pPr>
            <w:pStyle w:val="TOC2"/>
            <w:tabs>
              <w:tab w:val="clear" w:pos="9026"/>
              <w:tab w:val="right" w:pos="9025" w:leader="dot"/>
            </w:tabs>
            <w:rPr/>
          </w:pPr>
          <w:r>
            <w:rPr>
              <w:webHidden/>
              <w:rStyle w:val="IndexLink"/>
            </w:rPr>
            <w:t>3.4 Stakeholder Analysis</w:t>
            <w:tab/>
            <w:t>17</w:t>
          </w:r>
        </w:p>
        <w:p>
          <w:pPr>
            <w:pStyle w:val="TOC3"/>
            <w:tabs>
              <w:tab w:val="clear" w:pos="9026"/>
              <w:tab w:val="right" w:pos="9025" w:leader="dot"/>
            </w:tabs>
            <w:rPr/>
          </w:pPr>
          <w:r>
            <w:rPr>
              <w:webHidden/>
              <w:rStyle w:val="IndexLink"/>
            </w:rPr>
            <w:t>3.4.1 Stakeholders and Money Flows</w:t>
            <w:tab/>
            <w:t>17</w:t>
          </w:r>
        </w:p>
        <w:p>
          <w:pPr>
            <w:pStyle w:val="TOC3"/>
            <w:tabs>
              <w:tab w:val="clear" w:pos="9026"/>
              <w:tab w:val="right" w:pos="9025" w:leader="dot"/>
            </w:tabs>
            <w:rPr/>
          </w:pPr>
          <w:r>
            <w:rPr>
              <w:webHidden/>
              <w:rStyle w:val="IndexLink"/>
            </w:rPr>
            <w:t>3.4.2 Social Licence</w:t>
            <w:tab/>
            <w:t>19</w:t>
          </w:r>
        </w:p>
        <w:p>
          <w:pPr>
            <w:pStyle w:val="TOC2"/>
            <w:tabs>
              <w:tab w:val="clear" w:pos="9026"/>
              <w:tab w:val="right" w:pos="9025" w:leader="dot"/>
            </w:tabs>
            <w:rPr/>
          </w:pPr>
          <w:r>
            <w:rPr>
              <w:webHidden/>
              <w:rStyle w:val="IndexLink"/>
            </w:rPr>
            <w:t>3.5 Market Analysis and Economic Feasibility</w:t>
            <w:tab/>
            <w:t>20</w:t>
          </w:r>
        </w:p>
        <w:p>
          <w:pPr>
            <w:pStyle w:val="TOC3"/>
            <w:tabs>
              <w:tab w:val="clear" w:pos="9026"/>
              <w:tab w:val="right" w:pos="9025" w:leader="dot"/>
            </w:tabs>
            <w:rPr/>
          </w:pPr>
          <w:r>
            <w:rPr>
              <w:webHidden/>
              <w:rStyle w:val="IndexLink"/>
            </w:rPr>
            <w:t>3.5.1 Economics, Finance and Market Barriers</w:t>
            <w:tab/>
            <w:t>20</w:t>
          </w:r>
        </w:p>
        <w:p>
          <w:pPr>
            <w:pStyle w:val="TOC3"/>
            <w:tabs>
              <w:tab w:val="clear" w:pos="9026"/>
              <w:tab w:val="right" w:pos="9025" w:leader="dot"/>
            </w:tabs>
            <w:rPr/>
          </w:pPr>
          <w:r>
            <w:rPr>
              <w:webHidden/>
              <w:rStyle w:val="IndexLink"/>
            </w:rPr>
            <w:t>3.5.2 Supply Concentration and Geopolitics</w:t>
            <w:tab/>
            <w:t>22</w:t>
          </w:r>
        </w:p>
        <w:p>
          <w:pPr>
            <w:pStyle w:val="TOC2"/>
            <w:tabs>
              <w:tab w:val="clear" w:pos="9026"/>
              <w:tab w:val="right" w:pos="9025" w:leader="dot"/>
            </w:tabs>
            <w:rPr/>
          </w:pPr>
          <w:r>
            <w:rPr>
              <w:webHidden/>
              <w:rStyle w:val="IndexLink"/>
            </w:rPr>
            <w:t>3.6 Government Regulations Review</w:t>
            <w:tab/>
            <w:t>24</w:t>
          </w:r>
        </w:p>
        <w:p>
          <w:pPr>
            <w:pStyle w:val="TOC3"/>
            <w:tabs>
              <w:tab w:val="clear" w:pos="9026"/>
              <w:tab w:val="right" w:pos="9025" w:leader="dot"/>
            </w:tabs>
            <w:rPr/>
          </w:pPr>
          <w:r>
            <w:rPr>
              <w:webHidden/>
              <w:rStyle w:val="IndexLink"/>
            </w:rPr>
            <w:t>3.6.1 Law, Regulation and Licensing</w:t>
            <w:tab/>
            <w:t>24</w:t>
          </w:r>
        </w:p>
        <w:p>
          <w:pPr>
            <w:pStyle w:val="TOC3"/>
            <w:tabs>
              <w:tab w:val="clear" w:pos="9026"/>
              <w:tab w:val="right" w:pos="9025" w:leader="dot"/>
            </w:tabs>
            <w:rPr/>
          </w:pPr>
          <w:r>
            <w:rPr>
              <w:webHidden/>
              <w:rStyle w:val="IndexLink"/>
            </w:rPr>
            <w:t>3.6.2 Implementation Pathway</w:t>
            <w:tab/>
            <w:t>25</w:t>
          </w:r>
        </w:p>
        <w:p>
          <w:pPr>
            <w:pStyle w:val="TOC2"/>
            <w:tabs>
              <w:tab w:val="clear" w:pos="9026"/>
              <w:tab w:val="right" w:pos="9025" w:leader="dot"/>
            </w:tabs>
            <w:rPr/>
          </w:pPr>
          <w:r>
            <w:rPr>
              <w:webHidden/>
              <w:rStyle w:val="IndexLink"/>
            </w:rPr>
            <w:t>3.7 Triple Bottom Line and Multi-Criteria Analysis</w:t>
            <w:tab/>
            <w:t>27</w:t>
          </w:r>
        </w:p>
        <w:p>
          <w:pPr>
            <w:pStyle w:val="TOC3"/>
            <w:tabs>
              <w:tab w:val="clear" w:pos="9026"/>
              <w:tab w:val="right" w:pos="9025" w:leader="dot"/>
            </w:tabs>
            <w:rPr/>
          </w:pPr>
          <w:r>
            <w:rPr>
              <w:webHidden/>
              <w:rStyle w:val="IndexLink"/>
            </w:rPr>
            <w:t>3.7.1 Triple Bottom Line</w:t>
            <w:tab/>
            <w:t>27</w:t>
          </w:r>
        </w:p>
        <w:p>
          <w:pPr>
            <w:pStyle w:val="TOC3"/>
            <w:tabs>
              <w:tab w:val="clear" w:pos="9026"/>
              <w:tab w:val="right" w:pos="9025" w:leader="dot"/>
            </w:tabs>
            <w:rPr/>
          </w:pPr>
          <w:r>
            <w:rPr>
              <w:webHidden/>
              <w:rStyle w:val="IndexLink"/>
            </w:rPr>
            <w:t>3.7.2 Multi-Criteria Analysis</w:t>
            <w:tab/>
            <w:t>28</w:t>
          </w:r>
        </w:p>
        <w:p>
          <w:pPr>
            <w:pStyle w:val="TOC3"/>
            <w:tabs>
              <w:tab w:val="clear" w:pos="9026"/>
              <w:tab w:val="right" w:pos="9025" w:leader="dot"/>
            </w:tabs>
            <w:rPr/>
          </w:pPr>
          <w:r>
            <w:rPr>
              <w:webHidden/>
              <w:rStyle w:val="IndexLink"/>
            </w:rPr>
            <w:t>3.7.3 Verdict and Limits</w:t>
            <w:tab/>
            <w:t>29</w:t>
          </w:r>
        </w:p>
        <w:p>
          <w:pPr>
            <w:pStyle w:val="TOC2"/>
            <w:tabs>
              <w:tab w:val="clear" w:pos="9026"/>
              <w:tab w:val="right" w:pos="9025" w:leader="dot"/>
            </w:tabs>
            <w:rPr/>
          </w:pPr>
          <w:r>
            <w:rPr>
              <w:webHidden/>
              <w:rStyle w:val="IndexLink"/>
            </w:rPr>
            <w:t>3.8 Future Material Properties and Processes</w:t>
            <w:tab/>
            <w:t>29</w:t>
          </w:r>
        </w:p>
        <w:p>
          <w:pPr>
            <w:pStyle w:val="TOC1"/>
            <w:tabs>
              <w:tab w:val="clear" w:pos="9026"/>
              <w:tab w:val="right" w:pos="9025" w:leader="dot"/>
            </w:tabs>
            <w:rPr/>
          </w:pPr>
          <w:r>
            <w:rPr>
              <w:webHidden/>
              <w:rStyle w:val="IndexLink"/>
            </w:rPr>
            <w:t>4 Conclusion</w:t>
            <w:tab/>
            <w:t>30</w:t>
          </w:r>
        </w:p>
        <w:p>
          <w:pPr>
            <w:pStyle w:val="TOC1"/>
            <w:tabs>
              <w:tab w:val="clear" w:pos="9026"/>
              <w:tab w:val="right" w:pos="9025" w:leader="dot"/>
            </w:tabs>
            <w:rPr/>
          </w:pPr>
          <w:r>
            <w:rPr>
              <w:webHidden/>
              <w:rStyle w:val="IndexLink"/>
            </w:rPr>
            <w:t>5 References</w:t>
            <w:tab/>
            <w:t>31</w:t>
          </w:r>
        </w:p>
        <w:p>
          <w:pPr>
            <w:pStyle w:val="TOC1"/>
            <w:tabs>
              <w:tab w:val="clear" w:pos="9026"/>
              <w:tab w:val="right" w:pos="9025" w:leader="dot"/>
            </w:tabs>
            <w:rPr/>
          </w:pPr>
          <w:r>
            <w:rPr>
              <w:webHidden/>
              <w:rStyle w:val="IndexLink"/>
            </w:rPr>
            <w:t>Declaration of generative AI use</w:t>
            <w:tab/>
            <w:t>42</w:t>
          </w:r>
        </w:p>
        <w:p>
          <w:pPr>
            <w:pStyle w:val="TOC1"/>
            <w:tabs>
              <w:tab w:val="clear" w:pos="9026"/>
              <w:tab w:val="right" w:pos="9025" w:leader="dot"/>
            </w:tabs>
            <w:rPr/>
          </w:pPr>
          <w:r>
            <w:rPr>
              <w:webHidden/>
              <w:rStyle w:val="IndexLink"/>
            </w:rPr>
            <w:t>Appendices</w:t>
            <w:tab/>
            <w:t>43</w:t>
          </w:r>
        </w:p>
        <w:p>
          <w:pPr>
            <w:pStyle w:val="TOC2"/>
            <w:tabs>
              <w:tab w:val="clear" w:pos="9026"/>
              <w:tab w:val="right" w:pos="9025" w:leader="dot"/>
            </w:tabs>
            <w:rPr/>
          </w:pPr>
          <w:r>
            <w:rPr>
              <w:webHidden/>
              <w:rStyle w:val="IndexLink"/>
            </w:rPr>
            <w:t>Appendix A. LCA inventory and calculations</w:t>
            <w:tab/>
            <w:t>43</w:t>
          </w:r>
        </w:p>
        <w:p>
          <w:pPr>
            <w:pStyle w:val="TOC2"/>
            <w:tabs>
              <w:tab w:val="clear" w:pos="9026"/>
              <w:tab w:val="right" w:pos="9025" w:leader="dot"/>
            </w:tabs>
            <w:rPr/>
          </w:pPr>
          <w:r>
            <w:rPr>
              <w:webHidden/>
              <w:rStyle w:val="IndexLink"/>
            </w:rPr>
            <w:t>Appendix B. Policy, economics and supply calculations</w:t>
            <w:tab/>
            <w:t>47</w:t>
          </w:r>
        </w:p>
        <w:p>
          <w:pPr>
            <w:pStyle w:val="TOC2"/>
            <w:tabs>
              <w:tab w:val="clear" w:pos="9026"/>
              <w:tab w:val="right" w:pos="9025" w:leader="dot"/>
            </w:tabs>
            <w:rPr/>
          </w:pPr>
          <w:r>
            <w:rPr>
              <w:webHidden/>
              <w:rStyle w:val="IndexLink"/>
            </w:rPr>
            <w:t>Appendix C. Sensitivity analysis</w:t>
            <w:tab/>
            <w:t>51</w:t>
          </w:r>
        </w:p>
        <w:p>
          <w:pPr>
            <w:pStyle w:val="TOC2"/>
            <w:tabs>
              <w:tab w:val="clear" w:pos="9026"/>
              <w:tab w:val="right" w:pos="9025" w:leader="dot"/>
            </w:tabs>
            <w:rPr/>
          </w:pPr>
          <w:r>
            <w:rPr>
              <w:webHidden/>
              <w:rStyle w:val="IndexLink"/>
            </w:rPr>
            <w:t>Appendix E. Search log</w:t>
            <w:tab/>
            <w:t>52</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rPr/>
      </w:pPr>
      <w:r>
        <w:rPr/>
        <w:t>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rPr/>
      </w:pPr>
      <w:r>
        <w:rPr>
          <w:i/>
          <w:iCs/>
        </w:rPr>
        <w:t>Darlington, Ontario</w:t>
      </w:r>
      <w:r>
        <w:rPr/>
        <w:t xml:space="preserve"> is the initiative site: Ontario Power Generation (OPG) plans four BWRX-300 units for C$20.9 billion, Unit 1 in service in 2030 (Ontario Power Generation, 2025a). </w:t>
      </w:r>
      <w:r>
        <w:rPr>
          <w:i/>
          <w:iCs/>
        </w:rPr>
        <w:t>Liddell</w:t>
      </w:r>
      <w:r>
        <w:rPr/>
        <w:t xml:space="preserve"> is the Australian comparison.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10"/>
        </w:numPr>
        <w:rPr/>
      </w:pPr>
      <w:r>
        <w:rPr/>
        <w:t>What does one BWRX-300 emit? (Section 3.2)</w:t>
      </w:r>
    </w:p>
    <w:p>
      <w:pPr>
        <w:pStyle w:val="Compact"/>
        <w:numPr>
          <w:ilvl w:val="0"/>
          <w:numId w:val="1"/>
        </w:numPr>
        <w:rPr/>
      </w:pPr>
      <w:r>
        <w:rPr/>
        <w:t>How much does C1 save, and what delay cancels it? (Sections 3.2–3.3)</w:t>
      </w:r>
    </w:p>
    <w:p>
      <w:pPr>
        <w:pStyle w:val="Compact"/>
        <w:numPr>
          <w:ilvl w:val="0"/>
          <w:numId w:val="1"/>
        </w:numPr>
        <w:rPr/>
      </w:pPr>
      <w:r>
        <w:rPr/>
        <w:t>Does a unit’s climate value differ between Ontario and Liddell? (Section 3.3)</w:t>
      </w:r>
    </w:p>
    <w:p>
      <w:pPr>
        <w:pStyle w:val="Compact"/>
        <w:numPr>
          <w:ilvl w:val="0"/>
          <w:numId w:val="1"/>
        </w:numPr>
        <w:rPr/>
      </w:pPr>
      <w:r>
        <w:rPr/>
        <w:t>Which barriers decide, and does an SMR beat firmed renewables? (Section 3.1.3, Sections 3.4–3.7)</w:t>
      </w:r>
    </w:p>
    <w:p>
      <w:pPr>
        <w:pStyle w:val="Heading1"/>
        <w:rPr/>
      </w:pPr>
      <w:r>
        <w:rPr/>
        <w:t>2 Data Sources/Methodology</w:t>
      </w:r>
    </w:p>
    <w:p>
      <w:pPr>
        <w:pStyle w:val="FirstParagraph"/>
        <w:rPr/>
      </w:pPr>
      <w:r>
        <w:rPr/>
        <w:t>Four methods carry the numbers: a screening life-cycle assessment (LCA), grid displacement with a schedule break-even, a concentration index for fuel supply, and a multi-criteria analysis. Scripts and parameter files regenerate every figure (Appendix A1). Values come from the documents cited; our assumptions and inferences are labelled.</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The construction materials were cross-checked with a Granta EduPack 2024 Eco Audit of one unit (Appendix A9).</w:t>
      </w:r>
    </w:p>
    <w:p>
      <w:pPr>
        <w:pStyle w:val="BodyText"/>
        <w:rPr/>
      </w:pPr>
      <w:r>
        <w:rPr/>
        <w:t xml:space="preserve">One unit (300 MWe net assumed)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(Department of Climate Change, Energy, the Environment and Water [DCCEEW], 2025).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above 1,800 is highly concentrated (US Department of Justice and Federal Trade Commission, 2023). Capacity is not contracts (Appendix B2).</w:t>
      </w:r>
    </w:p>
    <w:p>
      <w:pPr>
        <w:pStyle w:val="BodyText"/>
        <w:rPr/>
      </w:pPr>
      <w:r>
        <w:rPr/>
        <w:t>A weighted sum (Dodgson et al., 2009) scores four options (status quo, one SMR at Liddell, the same SMR built with C1’s concrete, firmed renewables) on seven criteria, each min-max normalised. Four weight sets are our judgement; robustness is tested in Appendix B7.</w:t>
      </w:r>
    </w:p>
    <w:p>
      <w:pPr>
        <w:pStyle w:val="BodyText"/>
        <w:rPr/>
      </w:pPr>
      <w:r>
        <w:rPr/>
        <w:t>Search strategy and patent search: Appendix E.</w: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closest Western design, and China’s ACP100 (Linglong One) was still in commissioning, with no criticality reported, in May 2026. Table T1 rates projects on technology readiness levels (TRL): level 8 is “completed and qualified through test and demonstration”, level 9 operated across its full range (US Department of Energy, 2015);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expected 2028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(210)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Darlington’s construction licence took about 29 months and Clinch River’s permit 14 (US Nuclear Regulatory Commission and Canadian Nuclear Safety Commission, 2025).</w:t>
      </w:r>
    </w:p>
    <w:p>
      <w:pPr>
        <w:pStyle w:val="BodyText"/>
        <w:rPr/>
      </w:pPr>
      <w:r>
        <w:rPr/>
        <w:t>Appendix E, from search summaries only, found GE-Hitachi isolation-condenser patents but none on the diaphragm-plate composite modules, and no core LC³ composition patent, though Sika and Construction Research &amp; Technology hold LC³ applications.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CSIRO’s GenCost 2023-24 is reported to say 2040 at the earliest (Graham, Hayward and Foster, 2024). Darlington supports CSIRO: even with a licensed site, it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(Section 3.3).</w:t>
      </w:r>
    </w:p>
    <w:p>
      <w:pPr>
        <w:pStyle w:val="Heading3"/>
        <w:rPr/>
      </w:pPr>
      <w:r>
        <w:rPr/>
        <w:t>3.1.2 Technical Descriptions</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Passive isolation condensers cool the core for seven days (GE Hitachi Nuclear Energy, n.d.). The reactor building sits in a below-grade shaft of diaphragm-plate steel-composite (DP-SC) modules filled with self-consolidating concrete (SCC) (GE-Hitachi Nuclear Energy, 2024).</w:t>
      </w:r>
    </w:p>
    <w:p>
      <w:pPr>
        <w:pStyle w:val="BodyText"/>
        <w:rPr/>
      </w:pPr>
      <w:r>
        <w:rPr/>
        <w:t>The vendor’s concrete claim is hard to reconcile with Ostrołęka. GE Vernova (n.d.) claims about half the concrete per MW of its larger ESBWR, yet Ostrołęka’s information sheet gives 50,000 m³ per unit, or 167 m³/MWe (BWRX-300 Ostrołęka sp. z o.o., 2023), against the ESBWR’s 69 (Peterson, Zhao and Petroski, 2005). The gap probably reflects the boundary (our inference); a small reactor does not mean small concrete (Section 3.1.4).</w:t>
      </w:r>
    </w:p>
    <w:p>
      <w:pPr>
        <w:pStyle w:val="Heading3"/>
        <w:rPr/>
      </w:pPr>
      <w:r>
        <w:rPr/>
        <w:t>3.1.3 Barriers to Emissions Reduction</w:t>
      </w:r>
    </w:p>
    <w:p>
      <w:pPr>
        <w:pStyle w:val="FirstParagraph"/>
        <w:rPr/>
      </w:pPr>
      <w:r>
        <w:rPr/>
        <w:t>Eight barriers decide whether a small modular reactor (SMR) is built and cuts emissions; C1 (Section 3.1.4) reaches one directly and is constrained by a second. At Darlington, Ontario, cost and schedule bind. At Liddell, the closed New South Wales coal plant we use as the Australian comparison, law comes first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(Ontario Power Generation, 2026b; this study); NuScale cancelled 2023 (Section 3.5.1)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against 1,800 (World Nuclear Association, 2025; US Department of Justice and Federal Trade Commission, 2023)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(Section 3.5.2)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(Section 3.2)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needs nuclear qualification (Section 3.6.1)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consent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Scarce trades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producer-funded; no Australian route (Nuclear Waste Management Organization,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Needs a disposal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3"/>
        <w:rPr/>
      </w:pPr>
      <w:r>
        <w:rPr/>
        <w:t>3.1.4 The Proposed Initiative</w:t>
      </w:r>
    </w:p>
    <w:p>
      <w:pPr>
        <w:pStyle w:val="FirstParagraph"/>
        <w:rPr/>
      </w:pPr>
      <w:r>
        <w:rPr/>
        <w:t>C1 targets a materials problem that modular construction creates, and it is worth doing only if it is schedule-neutral. The BWRX-300’s reactor building is made of diaphragm-plate steel-composite (DPSC) modules filled on site with concrete. The infill must flow between closely spaced plates, so we assume a cement-rich self-consolidating mix (our inference; GE-Hitachi Nuclear Energy, 2024).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the infill only if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per unit; 20,000 m³ (40%) eligible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infill if qualified</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slag cement as fallback</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topical report NEDO-33926 (GE-Hitachi Nuclear Energy, 2024; US Nuclear Regulatory Commission and CNSC, 2025)</w:t>
            </w:r>
          </w:p>
        </w:tc>
      </w:tr>
    </w:tbl>
    <w:p>
      <w:pPr>
        <w:pStyle w:val="BodyText"/>
        <w:rPr/>
      </w:pPr>
      <w:r>
        <w:rPr/>
        <w:t>Why it is not the obvious choice. C1’s value is set by schedule, not by the concrete: under three weeks of delay to a unit cancels its saving (Section 3.3.1), so C1 is a qualification programme timed to Unit 1 mock-ups. Its lever is financial: the Units 2–4 equity tranche can carry the condition (Section 3.6.2).</w:t>
      </w:r>
    </w:p>
    <w:p>
      <w:pPr>
        <w:pStyle w:val="BodyText"/>
        <w:rPr/>
      </w:pPr>
      <w:r>
        <w:rPr/>
        <w:t>What C1 does not address. Cost, law, fuel supply, social licence and workforce (Table T2); lower-carbon steel is the next lever (Section 3.2.3, Section 3.8).</w: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3.2.1’s boundary.</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kilned; M50 concrete 380 kg CO₂e/m³ (Pillai et al., 2019)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half the clinker (Zunino, 2021); 270 kg CO₂e/m³</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Ground by-product; 146.6 kg CO₂e/t (Slag Cement Association, n.d.)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flow in trials (Universität der Bundeswehr München, n.d.)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(Systematic evaluation of concrete placement reliability,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similar risk (our inference); no heat data (Section 3.8)</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unknown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but scrap copper embrittles vessel steel under irradiation, so nuclear plate is not a drop-in (Canadian Nuclear Safety Commission, 2023b).</w:t>
      </w:r>
    </w:p>
    <w:p>
      <w:pPr>
        <w:pStyle w:val="BodyText"/>
        <w:rPr/>
      </w:pPr>
      <w:r>
        <w:rPr/>
        <w:t>Activation depends on trace elements: cobalt-60 and europium-152 dominate activated shield concrete (Helmholtz-Zentrum Dresden-Rossendorf, n.d.). Most decommissioning concrete is reportedly cleared, leaving “a few per cent” as waste (Thierfeldt, 2019); on an assumed 2.4 t/m³ and 2–5%, a unit’s 50,000 m³ (120,000 t) leaves 2,400–6,000 t. Qualification should measure calcined clay’s europium and cobalt (Section 3.8).</w:t>
      </w:r>
    </w:p>
    <w:p>
      <w:pPr>
        <w:pStyle w:val="Heading2"/>
        <w:rPr/>
      </w:pPr>
      <w:r>
        <w:rPr/>
        <w:t>3.2 Lifecycle Analysis</w:t>
      </w:r>
    </w:p>
    <w:p>
      <w:pPr>
        <w:pStyle w:val="FirstParagraph"/>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This is a screening LCA of one BWRX-300 at Darlington following ISO 14040/14044 principles (International Organization for Standardization, 2006a; 2006b), not critically reviewed.</w:t>
      </w:r>
    </w:p>
    <w:p>
      <w:pPr>
        <w:pStyle w:val="BodyText"/>
        <w:rPr/>
      </w:pPr>
      <w:r>
        <w:rPr/>
        <w:t>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rPr/>
      </w:pPr>
      <w:r>
        <w:rPr/>
        <w:t>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Granta EduPack cross-check. A Granta EduPack 2024 Eco Audit of one unit’s construction materials (120,000 t of concrete and 14,000 t of steel, with transport and steel recycling at end of life) gives 58,900 t CO₂e and 660 TJ for the first life, within about 2% of our scripted construction total of 57,600 t (Appendix A9, Figure F9). With the team’s LC³ material record (0.153 kg CO₂e/kg, against 0.158 for the base concrete), Granta’s saving is only about 240 t (−0.5%), because that record does not carry Pillai et al.’s (2019) 29% reduction; at Pillai’s 270 kg CO₂e/m³ (0.1125 kg/kg) the same model gives 2,200 t, matching our result. Granta also shows LC³’s embodied energy 33% lower per kilogram (0.60 against 0.90 MJ/kg), about 14 TJ less per unit. Back-calculating Sam’s records at 2,400 kg/m³ shows the base record equals Pillai’s ordinary concrete (380 kg CO₂e/m³) but the LC³ record equals 368 kg/m³, not Pillai’s 270; we therefore take 0.1125 kg CO₂e/kg as the defensible LC³ value, pending a Granta re-run. Five checks set in advance (Appendix A9.1): Granta and our model agree within 5% (pass, 2.3%); the mass balances close (pass); LC³’s cut of 28.9% sits just below the published 30–40% (marginal fail); our median of 4.40 g CO₂e/kWh sits below UNECE’s 5.1–6.4, although the 90% interval overlaps (fail on the median); and the Ontario industry concrete declaration was not tested. A Monte Carlo on the saving alone gives a median of 1,713 t per unit (90% interval 555–3,396 t); the LC³ factor and the eligible share explain about 86% of its variance.</w:t>
      </w:r>
    </w:p>
    <w:p>
      <w:pPr>
        <w:pStyle w:val="CaptionedFigure"/>
        <w:rPr/>
      </w:pPr>
      <w:r>
        <w:rPr/>
        <w:drawing>
          <wp:inline distT="0" distB="0" distL="0" distR="0">
            <wp:extent cx="5441315" cy="2835910"/>
            <wp:effectExtent l="0" t="0" r="0" b="0"/>
            <wp:docPr id="1"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rPr/>
      </w:pPr>
      <w:r>
        <w:rPr/>
        <w:drawing>
          <wp:inline distT="0" distB="0" distL="0" distR="0">
            <wp:extent cx="5441315" cy="2376170"/>
            <wp:effectExtent l="0" t="0" r="0" b="0"/>
            <wp:docPr id="2"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Four findings follow.</w:t>
      </w:r>
    </w:p>
    <w:p>
      <w:pPr>
        <w:pStyle w:val="BodyText"/>
        <w:rPr/>
      </w:pPr>
      <w:r>
        <w:rPr/>
        <w:t>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p>
      <w:pPr>
        <w:pStyle w:val="Heading3"/>
        <w:rPr/>
      </w:pPr>
      <w:r>
        <w:rPr/>
        <w:t>3.2.4 Uncertainty Analysis</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rPr/>
      </w:pPr>
      <w:r>
        <w:rPr/>
        <w:drawing>
          <wp:inline distT="0" distB="0" distL="0" distR="0">
            <wp:extent cx="5441315" cy="2725420"/>
            <wp:effectExtent l="0" t="0" r="0" b="0"/>
            <wp:docPr id="3"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rPr/>
      </w:pPr>
      <w:r>
        <w:rPr/>
        <w:drawing>
          <wp:inline distT="0" distB="0" distL="0" distR="0">
            <wp:extent cx="5441315" cy="1961515"/>
            <wp:effectExtent l="0" t="0" r="0" b="0"/>
            <wp:docPr id="4"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rPr/>
      </w:pPr>
      <w:r>
        <w:rPr/>
        <w:t>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rPr/>
      </w:pPr>
      <w:r>
        <w:rPr/>
        <w:t>The known low bias would raise the total and shrink C1’s share, so it does not weaken Section 3.2.3.</w:t>
      </w:r>
    </w:p>
    <w:p>
      <w:pPr>
        <w:pStyle w:val="CaptionedFigure"/>
        <w:rPr/>
      </w:pPr>
      <w:r>
        <w:rPr/>
        <w:drawing>
          <wp:inline distT="0" distB="0" distL="0" distR="0">
            <wp:extent cx="5441315" cy="2060575"/>
            <wp:effectExtent l="0" t="0" r="0" b="0"/>
            <wp:doc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pPr>
        <w:pStyle w:val="Heading2"/>
        <w:rPr/>
      </w:pPr>
      <w:r>
        <w:rPr/>
        <w:t>3.3 National Strategies and Industrial Policies</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and firmed renewables beat both sites on the same money (Appendix B4–B6).</w:t>
      </w:r>
    </w:p>
    <w:p>
      <w:pPr>
        <w:pStyle w:val="Heading3"/>
        <w:rPr/>
      </w:pPr>
      <w:r>
        <w:rPr/>
        <w:t>3.3.1 The Value of Schedule</w:t>
      </w:r>
    </w:p>
    <w:p>
      <w:pPr>
        <w:pStyle w:val="FirstParagraph"/>
        <w:rPr/>
      </w:pPr>
      <w:r>
        <w:rPr/>
        <w:t>A late unit gives up each day’s displacement (Table T6). To 2050 (“gross”) the loss is permanent; over the whole life (“net”) it returns at end of life,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Schedule neutrality is therefore the binding condition on C1, and the mix must be qualified on Unit 1 mock-ups before the 2028 Units 2–4 decision (Section 3.6.2).</w:t>
      </w:r>
    </w:p>
    <w:p>
      <w:pPr>
        <w:pStyle w:val="Heading3"/>
        <w:rPr/>
      </w:pPr>
      <w:r>
        <w:rPr/>
        <w:t>3.3.2 Carbon Displaced: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rPr/>
      </w:pPr>
      <w:r>
        <w:rPr/>
        <w:t>The plants would not run in the same years. Darlington Unit 1 is planned for 2030 (Ontario Power Generation, 2025a); Australia’s earliest date for nuclear is 2040 (Graham, Hayward and Foster, 2024), against the Coalition’s 2035 as reported (ABC News, 2024). If coal leaves the NEM by 2038 (Australian Energy Market Operator, 2024), a 2040 unit displaces only a residual 30 g/kWh (assumed).</w:t>
      </w:r>
    </w:p>
    <w:p>
      <w:pPr>
        <w:pStyle w:val="BodyText"/>
        <w:rPr/>
      </w:pPr>
      <w:r>
        <w:rPr/>
        <w:t>To 2050 (Figure F6), Darlington Unit 1 avoids 1.0–6.8 Mt and Liddell 0.67–3.9 Mt; Liddell wins clearly only if the NEM stays at 640 g/kWh (16.5 Mt). Grid trajectory, start year and post-coal floor move these results tenfold; capacity factor and our life-cycle interval move them by a few per cent (Appendix B4). An SMR’s climate value depends on when it runs and what it displaces, not on today’s coal share.</w:t>
      </w:r>
    </w:p>
    <w:p>
      <w:pPr>
        <w:pStyle w:val="CaptionedFigure"/>
        <w:rPr/>
      </w:pPr>
      <w:r>
        <w:rPr/>
        <w:drawing>
          <wp:inline distT="0" distB="0" distL="0" distR="0">
            <wp:extent cx="4194810" cy="2862580"/>
            <wp:effectExtent l="0" t="0" r="0" b="0"/>
            <wp:docPr id="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Firmed Renewables for the Same Money</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rPr/>
      </w:pPr>
      <w:r>
        <w:rPr/>
        <w:t>Renewables win because they are cheaper per MWh and start about a decade earlier; integration costs rise beyond the shares GenCost models. On carbon per dollar, an SMR at Liddell loses. Its case rests on firm supply, system security and a hedge against renewables falling behind, which Section 3.7 weighs.</w:t>
      </w:r>
    </w:p>
    <w:p>
      <w:pPr>
        <w:pStyle w:val="CaptionedFigure"/>
        <w:rPr/>
      </w:pPr>
      <w:r>
        <w:rPr/>
        <w:drawing>
          <wp:inline distT="0" distB="0" distL="0" distR="0">
            <wp:extent cx="4769485" cy="2578100"/>
            <wp:effectExtent l="0" t="0" r="0" b="0"/>
            <wp:docPr id="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rPr/>
      </w:pPr>
      <w:r>
        <w:rPr/>
        <w:drawing>
          <wp:inline distT="0" distB="0" distL="0" distR="0">
            <wp:extent cx="5441315" cy="3894455"/>
            <wp:effectExtent l="0" t="0" r="0" b="0"/>
            <wp:docPr id="8"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in C1</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delivery; oversee qualification and a fallback mix</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ratepayers through Ontario Energy Board-approved rates (Ontario Power Generation, 2025b)</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safety case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rights-respecting engagement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C$0.97 bn (4.6%) (Canada Infrastructure Bank, 2022); equity, C$3.0 bn (14.4%) (Canada Growth Fund and Building Ontario Fund,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and suppliers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customers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bl>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(Markandya and Wilkinson, 2007)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keeps acceptance low (Slovic, 1987)</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Duty to consult met; C$700 m loan converting to equity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no process. Kimba ballot 61.6% yes, Barngarla excluded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trades</w:t>
            </w:r>
          </w:p>
        </w:tc>
      </w:tr>
    </w:tbl>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though GenCost’s current edition bases its SMR capital cost on Darlington (Graham and Hayward, 2026), so the agreement is not independent.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Canada Growth Fund (up to C$2 bn) and Building Ontario Fund (up to C$1 bn) supply equity, and the C$715 m of First Nations loan guarantees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First plants are financed by states and rate bases: the US Department of Energy’s US$800 m went to two designs, one the BWRX-300 (US Department of Energy, 2025), out of about 70 worldwide (International Atomic Energy Agency, 2024), and China’s State Council approves batches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a premium on a unit’s 20,000 m³ of eligible concrete (40% of 50,000 m³) is sensitivity, not a quote, since no supplier price has been obtained. Qualification adds to the abatement cost: a C$1 m programme (assumed) adds about C$152/t, and one day of delay costs C$1.8–2.9 m, more than C1’s whole carbon value. Responses are compared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rPr/>
      </w:pPr>
      <w:r>
        <w:rPr/>
        <w:t>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changes position. Repeal alone would not suffice: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and OPG applied in March 2026 to operate Unit 1 (Canadian Nuclear Safety Commission [CNSC], 2026a; 2026b). Units 2–4 need a further authorisation, with C1 reviewed inside it. Concrete in a non-safety auxiliary structure meets ordinary construction requirements, but infill in a safety-significant structure may alter the licensed design basis and needs a fuller demonstration; REGDOC-2.5.2 classifies structures by risk (CNSC, 2023a). The cement standard already allows calcined-clay blends with up to 15% limestone (CSA Group, 2023; Hooton, 2023). The BWRX-300 containment is steel-plate composite, so the infill is governed by GE-Hitachi’s topical report NEDO-33926,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rPr/>
      </w:pPr>
      <w:r>
        <w:rPr/>
        <w:t>The non-safety pilot needs no nuclear qualification; infill qualification must start in 2027, with slag (S1) as the fallback (Section 3.6.2). At Liddell the barrier precedes any materials choice, and LC³ solves none of them.</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(Appendix B1.2; Parliament of Australia, 2026)</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NSW has no nuclear regulator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or a new regulator (Appendix B3)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established (CNSC, 2026a)</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approval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lapses 28 November 2026; Parliament of New South Wales, 2026) or Constitution s 109 override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(Newcastle Herald, 2024a)</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outcome if not met</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non-safety concrete first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next procurement round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Each component’s safety function defined, binder traced; if not, revert to the approved mix</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tranche 2 (around 2028)</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EPDs on a comparable product boundary, transport modelled; if not, no quantified saving claim</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safety-class works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if not met, a further trial or rejection</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and life-cycle assessment in federal procurement (Treasury Board of Canada Secretariat, 2022), but it binds federal departments, and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pPr>
        <w:pStyle w:val="Heading2"/>
        <w:rPr/>
      </w:pPr>
      <w:r>
        <w:rPr/>
        <w:t>3.7 Triple Bottom Line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Unit 1 avoids 1.0–6.8 Mt to 2050.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less than one day of delay (C$1.8–2.9 m).</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underwriting (our inference, Section 3.5.1).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C1 adds no consent issue.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(scores: B8.3, B3).</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w:t>
      </w:r>
    </w:p>
    <w:p>
      <w:pPr>
        <w:pStyle w:val="BodyText"/>
        <w:rPr/>
      </w:pPr>
      <w:r>
        <w:rPr/>
        <w:t>SMR + C1 and SMR are indistinguishable. At 2,200 t per unit (BWRX-300 Ostrołęka sp. z o.o., 2023; Pillai et al., 2019), C1 moves the weighted score by under 0.005 point. At Liddell, an 18.5-day slip would forgo CO₂e equal to 15 times the saving (Appendix B7.5). The status quo’s second place over the SMR is a scaling artefact: it scores full marks on cost, supply and legal feasibility because it changes nothing.</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the slag blend. Qualification must start in 2027 for the 2028 Units 2–4 decision (Section 3.6.2).</w:t>
      </w:r>
    </w:p>
    <w:p>
      <w:pPr>
        <w:pStyle w:val="BodyText"/>
        <w:rPr/>
      </w:pPr>
      <w:r>
        <w:rPr/>
        <w:t>An SMR at Liddell would need its cost gap closed, first power well before 2040, and the legal and consent barriers removed (Appendix B3, route C). We would keep SMRs under review against Darlington’s outturn cost.</w:t>
      </w:r>
    </w:p>
    <w:p>
      <w:pPr>
        <w:pStyle w:val="BodyText"/>
        <w:rPr/>
      </w:pPr>
      <w:r>
        <w:rPr/>
        <w:t>The social, legal and supply scores and all four weight sets are our judgement; only “renewables first” is robust to the scaling. Costs are GenCost’s (Graham, Hayward and Foster, 2024); the renewables supply score uses solar PV alone (International Energy Agency, 2022).</w: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heat data found; M50 strength 56.7 against 60.0 MPa (Pillai et al., 2019)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heat and shrinkage; qualification under NEDO-33926 before approval expected in 2028 (American Nuclear Society, 2026)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(Canadian Nuclear Safety Commission, 2023b)</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(our inference)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application was accepted in August 2025 (Silex Systems Limited, 2025)</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(Krall, Macfarlane and Ewing, 2022; contested); Synroc is pre-commissioning (ANSTO, 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w:t>
            </w:r>
          </w:p>
        </w:tc>
      </w:tr>
    </w:tbl>
    <w:p>
      <w:pPr>
        <w:pStyle w:val="Heading1"/>
        <w:rPr/>
      </w:pPr>
      <w:r>
        <w:rPr/>
        <w:t>4 Conclusion</w:t>
      </w:r>
    </w:p>
    <w:p>
      <w:pPr>
        <w:pStyle w:val="FirstParagraph"/>
        <w:rPr/>
      </w:pPr>
      <w:r>
        <w:rPr/>
        <w:t>Pilot LC³ in eligible non-safety works first; use it in the infill only if qualified on Unit 1 mock-ups and adding no delay to Darlington Units 2–4. For Australia, law, cost and timing bar an SMR at Liddell before about 2040; firmed renewables rank first.</w:t>
      </w:r>
    </w:p>
    <w:p>
      <w:pPr>
        <w:pStyle w:val="BodyText"/>
        <w:rPr/>
      </w:pPr>
      <w:r>
        <w:rPr/>
        <w:t>Our answers to the four research questions are as follows.</w:t>
      </w:r>
    </w:p>
    <w:p>
      <w:pPr>
        <w:pStyle w:val="Compact"/>
        <w:numPr>
          <w:ilvl w:val="0"/>
          <w:numId w:val="11"/>
        </w:numPr>
        <w:rPr/>
      </w:pPr>
      <w:r>
        <w:rPr>
          <w:i/>
          <w:iCs/>
        </w:rPr>
        <w:t>Life cycle (Section 3.2).</w:t>
      </w:r>
      <w:r>
        <w:rPr/>
        <w:t xml:space="preserve"> One BWRX-300 emits about 4 g CO₂e/kWh, mostly from the fuel front end; conversion heat is the largest uncertainty.</w:t>
      </w:r>
    </w:p>
    <w:p>
      <w:pPr>
        <w:pStyle w:val="Compact"/>
        <w:numPr>
          <w:ilvl w:val="0"/>
          <w:numId w:val="12"/>
        </w:numPr>
        <w:rPr/>
      </w:pPr>
      <w:r>
        <w:rPr>
          <w:i/>
          <w:iCs/>
        </w:rPr>
        <w:t>C1 (Sections 3.2–3.3).</w:t>
      </w:r>
      <w:r>
        <w:rPr/>
        <w:t xml:space="preserve"> It saves 2,200 t per unit (1,100–3,300; Section 3.1.4), about 0.36% of the life cycle; a delay of 11.6–18.5 days cancels it (1.7–1.8 days on the marginal grid factor). Granta EduPack confirms the construction footprint within 2.3%, but with the team’s LC³ record it shows only about 240 t, so C1’s carbon case is marginal and uncertain (Monte Carlo 555–3,396 t); its firmer benefits are a 33% lower embodied energy per kilogram, a qualified precedent for low-clinker nuclear concrete, and keeping it off the critical path. The fuel front end matters far more to the plant’s footprint than concrete.</w:t>
      </w:r>
    </w:p>
    <w:p>
      <w:pPr>
        <w:pStyle w:val="Compact"/>
        <w:numPr>
          <w:ilvl w:val="0"/>
          <w:numId w:val="13"/>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14"/>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Schedule: a month’s slip to Units 2–4 costs 29–175 times C1’s carbon value (Section 3.3). Fuel front end: a measured conversion-heat value would narrow the headline most (Section 3.2). Whole-plant steel: up to 3,714 t per unit, if feasible (Section 3.8). Concrete (C1): low-risk, but moves the life cycle by about 0.36%.</w:t>
      </w:r>
    </w:p>
    <w:p>
      <w:pPr>
        <w:pStyle w:val="BodyText"/>
        <w:rPr/>
      </w:pPr>
      <w:r>
        <w:rPr/>
        <w:t>A screening LCA, not critically reviewed; MCDA weights are our judgement; legislation excludes the 2025 EPBC reforms.</w: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BodyText"/>
        <w:rPr/>
      </w:pPr>
      <w:r>
        <w:rPr>
          <w:b/>
          <w:bCs/>
        </w:rPr>
        <w:t>Legislation</w:t>
      </w:r>
    </w:p>
    <w:p>
      <w:pPr>
        <w:pStyle w:val="BodyText"/>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BodyText"/>
        <w:rPr/>
      </w:pPr>
      <w:r>
        <w:rPr>
          <w:b/>
          <w:bCs/>
        </w:rPr>
        <w:t>Cases</w:t>
      </w:r>
    </w:p>
    <w:p>
      <w:pPr>
        <w:pStyle w:val="BodyText"/>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t>This report was prepared with the assistance of Claude (Anthropic), a generative AI tool. The team used it to help plan the report, search for and summarise sources, run and check calculations in Python, draft and edit text, and format the document. The Granta EduPack Eco Audit was run by the team. The team directed this work, reviewed the output, and takes responsibility for the content and its sources.</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All calculations are reproducible from the Python scripts and parameter files in the team repository (03_LCA_Calculations).</w:t>
      </w:r>
    </w:p>
    <w:p>
      <w:pPr>
        <w:pStyle w:val="BodyText"/>
        <w:rPr/>
      </w:pPr>
      <w:r>
        <w:rPr/>
        <w:t>This is a screening LCA (ISO 14040/44 principles). Ostrołęka and Pillai values are used as reported; other inputs are assumptions or placeholders.</w:t>
      </w:r>
    </w:p>
    <w:p>
      <w:pPr>
        <w:pStyle w:val="Heading4"/>
        <w:rPr/>
      </w:pPr>
      <w:r>
        <w:rPr/>
        <w:t>A1 Reproducing the results</w:t>
      </w:r>
    </w:p>
    <w:p>
      <w:pPr>
        <w:pStyle w:val="FirstParagraph"/>
        <w:rPr/>
      </w:pPr>
      <w:r>
        <w:rPr/>
        <w:t xml:space="preserve">Edit </w:t>
      </w:r>
      <w:r>
        <w:rPr>
          <w:rStyle w:val="VerbatimChar"/>
        </w:rPr>
        <w:t>parameters_lca.yaml</w:t>
      </w:r>
      <w:r>
        <w:rPr/>
        <w:t xml:space="preserve"> (68 parameters) and re-run </w:t>
      </w:r>
      <w:r>
        <w:rPr>
          <w:rStyle w:val="VerbatimChar"/>
        </w:rPr>
        <w:t>lca_baseline.py</w:t>
      </w:r>
      <w:r>
        <w:rPr/>
        <w:t xml:space="preserve">, </w:t>
      </w:r>
      <w:r>
        <w:rPr>
          <w:rStyle w:val="VerbatimChar"/>
        </w:rPr>
        <w:t>lca_scenarios.py</w:t>
      </w:r>
      <w:r>
        <w:rPr/>
        <w:t xml:space="preserve"> and </w:t>
      </w:r>
      <w:r>
        <w:rPr>
          <w:rStyle w:val="VerbatimChar"/>
        </w:rPr>
        <w:t>lca_uncertainty.py</w:t>
      </w:r>
      <w:r>
        <w:rPr/>
        <w:t xml:space="preserve"> (</w:t>
      </w:r>
      <w:r>
        <w:rPr>
          <w:rStyle w:val="VerbatimChar"/>
        </w:rPr>
        <w:t>python3 -I 03_LCA_Calculations/scripts/&lt;name&gt;</w:t>
      </w:r>
      <w:r>
        <w:rPr/>
        <w:t xml:space="preserve">). Outputs are in </w:t>
      </w:r>
      <w:r>
        <w:rPr>
          <w:rStyle w:val="VerbatimChar"/>
        </w:rPr>
        <w:t>03_LCA_Calculations/results/</w:t>
      </w:r>
      <w:r>
        <w:rPr/>
        <w:t>.</w:t>
      </w:r>
    </w:p>
    <w:p>
      <w:pPr>
        <w:pStyle w:val="Heading4"/>
        <w:rPr/>
      </w:pPr>
      <w:r>
        <w:rPr/>
        <w:t>A2 Functional unit</w:t>
      </w:r>
    </w:p>
    <w:p>
      <w:pPr>
        <w:pStyle w:val="Compact"/>
        <w:numPr>
          <w:ilvl w:val="0"/>
          <w:numId w:val="3"/>
        </w:numPr>
        <w:rPr/>
      </w:pPr>
      <w:r>
        <w:rPr/>
        <w:t>Annual output = 300 MWe × 8,760 h × 0.90 = 2,365,200 MWh/yr.</w:t>
      </w:r>
    </w:p>
    <w:p>
      <w:pPr>
        <w:pStyle w:val="Compact"/>
        <w:numPr>
          <w:ilvl w:val="0"/>
          <w:numId w:val="3"/>
        </w:numPr>
        <w:rPr/>
      </w:pPr>
      <w:r>
        <w:rPr/>
        <w:t xml:space="preserve">Lifetime output E = 2,365,200 × 60 years = </w:t>
      </w:r>
      <w:r>
        <w:rPr>
          <w:b/>
          <w:bCs/>
        </w:rPr>
        <w:t>1.419 × 10⁸ MWh</w:t>
      </w:r>
      <w:r>
        <w:rPr/>
        <w:t>.</w:t>
      </w:r>
    </w:p>
    <w:p>
      <w:pPr>
        <w:pStyle w:val="Compact"/>
        <w:numPr>
          <w:ilvl w:val="0"/>
          <w:numId w:val="3"/>
        </w:numPr>
        <w:rPr/>
      </w:pPr>
      <w:r>
        <w:rPr/>
        <w:t xml:space="preserve">Net efficiency = 300 / 870 MWt = </w:t>
      </w:r>
      <w:r>
        <w:rPr>
          <w:b/>
          <w:bCs/>
        </w:rPr>
        <w:t>0.345</w:t>
      </w:r>
      <w:r>
        <w:rPr/>
        <w:t xml:space="preserve"> (Sun and Kurosaki, 2025, unrefereed preprint).</w:t>
      </w:r>
    </w:p>
    <w:p>
      <w:pPr>
        <w:pStyle w:val="Compact"/>
        <w:numPr>
          <w:ilvl w:val="0"/>
          <w:numId w:val="3"/>
        </w:numPr>
        <w:rPr/>
      </w:pPr>
      <w:r>
        <w:rPr/>
        <w:t>Inputs: 300 MWe (GE Vernova Hitachi Nuclear Energy, n.d.; 315 in Ontario Power Generation, 2025b); capacity factor 0.90 (placeholder); life 60 years (Canadian Nuclear Safety Commission, 2024).</w:t>
      </w:r>
    </w:p>
    <w:p>
      <w:pPr>
        <w:pStyle w:val="Heading4"/>
        <w:rPr/>
      </w:pPr>
      <w:r>
        <w:rPr/>
        <w:t>A3 Material quantities per unit</w:t>
      </w:r>
    </w:p>
    <w:p>
      <w:pPr>
        <w:pStyle w:val="Compact"/>
        <w:numPr>
          <w:ilvl w:val="0"/>
          <w:numId w:val="15"/>
        </w:numPr>
        <w:rPr/>
      </w:pPr>
      <w:r>
        <w:rPr/>
        <w:t xml:space="preserve">Main case (BWRX-300 Ostrołęka sp. z o.o., 2023, as reported): </w:t>
      </w:r>
      <w:r>
        <w:rPr>
          <w:b/>
          <w:bCs/>
        </w:rPr>
        <w:t>50,000 m³ concrete, 14,000 t steel</w:t>
      </w:r>
      <w:r>
        <w:rPr/>
        <w:t>, a Polish-design proxy rather than Darlington data.</w:t>
      </w:r>
    </w:p>
    <w:p>
      <w:pPr>
        <w:pStyle w:val="Compact"/>
        <w:numPr>
          <w:ilvl w:val="0"/>
          <w:numId w:val="16"/>
        </w:numPr>
        <w:rPr/>
      </w:pPr>
      <w:r>
        <w:rPr/>
        <w:t>Rebar = 0.15 t/m³ × 50,000 = 7,500 t (assumption); plate and equipment steel = 14,000 − 7,500 = 6,500 t.</w:t>
      </w:r>
    </w:p>
    <w:p>
      <w:pPr>
        <w:pStyle w:val="Compact"/>
        <w:numPr>
          <w:ilvl w:val="0"/>
          <w:numId w:val="17"/>
        </w:numPr>
        <w:rPr/>
      </w:pPr>
      <w:r>
        <w:rPr/>
        <w:t xml:space="preserve">C1-eligible concrete = 0.40 × 50,000 = </w:t>
      </w:r>
      <w:r>
        <w:rPr>
          <w:b/>
          <w:bCs/>
        </w:rPr>
        <w:t>20,000 m³</w:t>
      </w:r>
      <w:r>
        <w:rPr/>
        <w:t xml:space="preserve"> (10,000 and 30,000 at 20% and 60%; a scenario, not data).</w:t>
      </w:r>
    </w:p>
    <w:p>
      <w:pPr>
        <w:pStyle w:val="Compact"/>
        <w:numPr>
          <w:ilvl w:val="0"/>
          <w:numId w:val="18"/>
        </w:numPr>
        <w:rPr/>
      </w:pPr>
      <w:r>
        <w:rPr/>
        <w:t>Cross-check (Peterson, Zhao and Petroski, 2005; ESBWR 69 m³/MWe, 33 t/MWe): 20,700 m³ and 9,900 t.</w:t>
      </w:r>
    </w:p>
    <w:p>
      <w:pPr>
        <w:pStyle w:val="Heading4"/>
        <w:rPr/>
      </w:pPr>
      <w:r>
        <w:rPr/>
        <w:t>A4 Construction inventory</w:t>
      </w:r>
    </w:p>
    <w:p>
      <w:pPr>
        <w:pStyle w:val="FirstParagraph"/>
        <w:rPr/>
      </w:pPr>
      <w:r>
        <w:rPr/>
        <w:t xml:space="preserve">Construction emits </w:t>
      </w:r>
      <w:r>
        <w:rPr>
          <w:b/>
          <w:bCs/>
        </w:rPr>
        <w:t>57,600 t CO₂e per unit</w:t>
      </w:r>
      <w:r>
        <w:rPr/>
        <w:t xml:space="preserve"> (mode case, 0.41 g/kWh).</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 × 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 380 kg/m³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 0.97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 × 1.73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km concrete, 500 km steel, 0.10 kg/t-km</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above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bl>
    <w:p>
      <w:pPr>
        <w:pStyle w:val="BodyText"/>
        <w:rPr/>
      </w:pPr>
      <w:r>
        <w:rPr/>
        <w:t>Spreadsheet corrections: site is Clarington, not Ottawa; 4,127.29 m³ is forebay concrete plus rebar, not a bored volume; rebar uses an electric-arc-furnace factor.</w:t>
      </w:r>
    </w:p>
    <w:p>
      <w:pPr>
        <w:pStyle w:val="Heading4"/>
        <w:rPr/>
      </w:pPr>
      <w:r>
        <w:rPr/>
        <w:t>A5 Emission factors</w:t>
      </w:r>
    </w:p>
    <w:p>
      <w:pPr>
        <w:pStyle w:val="FirstParagraph"/>
        <w:rPr/>
      </w:pPr>
      <w:r>
        <w:rPr/>
        <w:t xml:space="preserve">Climate change, GWP100; cradle-to-gate for materials. Source: </w:t>
      </w:r>
      <w:r>
        <w:rPr>
          <w:rStyle w:val="VerbatimChar"/>
        </w:rPr>
        <w:t>parameters_lca.yaml</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(330–420) kg CO₂e/m³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(cut 28.9%)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(1.22–2.50)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(24–81) kg CO₂e/kg U₃O₈</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(heat); 50 kWh/SWU</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Ontario; USA</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 0.373 kg CO₂e/kWh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US EPA (2024)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as reported</w:t>
            </w:r>
          </w:p>
        </w:tc>
      </w:tr>
    </w:tbl>
    <w:p>
      <w:pPr>
        <w:pStyle w:val="BodyText"/>
        <w:rPr/>
      </w:pPr>
      <w:r>
        <w:rPr/>
        <w:t>LC³ cut: 1 − 270/380 = 28.9%.</w:t>
      </w:r>
    </w:p>
    <w:p>
      <w:pPr>
        <w:pStyle w:val="Heading4"/>
        <w:rPr/>
      </w:pPr>
      <w:r>
        <w:rPr/>
        <w:t>A6 Concrete and the C1 scenarios</w:t>
      </w:r>
    </w:p>
    <w:p>
      <w:pPr>
        <w:pStyle w:val="Compact"/>
        <w:numPr>
          <w:ilvl w:val="0"/>
          <w:numId w:val="19"/>
        </w:numPr>
        <w:rPr/>
      </w:pPr>
      <w:r>
        <w:rPr>
          <w:b/>
          <w:bCs/>
        </w:rPr>
        <w:t>LC³ (C1):</w:t>
      </w:r>
      <w:r>
        <w:rPr/>
        <w:t xml:space="preserve"> saving = 20,000 m³ × (380 − 270) / 1,000 = </w:t>
      </w:r>
      <w:r>
        <w:rPr>
          <w:b/>
          <w:bCs/>
        </w:rPr>
        <w:t>2,200 t per unit</w:t>
      </w:r>
      <w:r>
        <w:rPr/>
        <w:t xml:space="preserve"> (1,100 at 20%; 3,300 at 60%); 2,200 / 406,462 = 0.54% of the mode-case life cycle.</w:t>
      </w:r>
    </w:p>
    <w:p>
      <w:pPr>
        <w:pStyle w:val="Compact"/>
        <w:numPr>
          <w:ilvl w:val="0"/>
          <w:numId w:val="20"/>
        </w:numPr>
        <w:rPr/>
      </w:pPr>
      <w:r>
        <w:rPr>
          <w:b/>
          <w:bCs/>
        </w:rPr>
        <w:t>Slag fallback:</w:t>
      </w:r>
      <w:r>
        <w:rPr/>
        <w:t xml:space="preserve"> 20,000 × 0.114 = 2,288 t.</w:t>
      </w:r>
    </w:p>
    <w:p>
      <w:pPr>
        <w:pStyle w:val="Compact"/>
        <w:numPr>
          <w:ilvl w:val="0"/>
          <w:numId w:val="21"/>
        </w:numPr>
        <w:rPr/>
      </w:pPr>
      <w:r>
        <w:rPr>
          <w:b/>
          <w:bCs/>
        </w:rPr>
        <w:t>Clinker avoided:</w:t>
      </w:r>
      <w:r>
        <w:rPr/>
        <w:t xml:space="preserve"> 20,000 × 350 kg/m³ × (0.92 − 0.50) / 1,000 = 2,940 t (indicative).</w:t>
      </w:r>
    </w:p>
    <w:p>
      <w:pPr>
        <w:pStyle w:val="Compact"/>
        <w:numPr>
          <w:ilvl w:val="0"/>
          <w:numId w:val="22"/>
        </w:numPr>
        <w:rPr/>
      </w:pPr>
      <w:r>
        <w:rPr>
          <w:b/>
          <w:bCs/>
        </w:rPr>
        <w:t>Units 2–4:</w:t>
      </w:r>
      <w:r>
        <w:rPr/>
        <w:t xml:space="preserve"> 3 × per unit = 6,600 t.</w:t>
      </w:r>
    </w:p>
    <w:p>
      <w:pPr>
        <w:pStyle w:val="Compact"/>
        <w:numPr>
          <w:ilvl w:val="0"/>
          <w:numId w:val="23"/>
        </w:numPr>
        <w:rPr/>
      </w:pPr>
      <w:r>
        <w:rPr/>
        <w:t>Monte Carlo median for LC³ at 40%: 2,217 t per unit (1,375–3,294).</w:t>
      </w:r>
    </w:p>
    <w:p>
      <w:pPr>
        <w:pStyle w:val="Heading4"/>
        <w:rPr/>
      </w:pPr>
      <w:r>
        <w:rPr/>
        <w:t>A7 Steel, transport and construction total</w:t>
      </w:r>
    </w:p>
    <w:p>
      <w:pPr>
        <w:pStyle w:val="Compact"/>
        <w:numPr>
          <w:ilvl w:val="0"/>
          <w:numId w:val="24"/>
        </w:numPr>
        <w:rPr/>
      </w:pPr>
      <w:r>
        <w:rPr/>
        <w:t xml:space="preserve">Concrete 19,000 t + steel 18,520 t (7,275 + 11,245) + transport 880 t + uplift 0.5 × 38,400 = 19,200 t = </w:t>
      </w:r>
      <w:r>
        <w:rPr>
          <w:b/>
          <w:bCs/>
        </w:rPr>
        <w:t>57,600 t</w:t>
      </w:r>
      <w:r>
        <w:rPr/>
        <w:t>.</w:t>
      </w:r>
    </w:p>
    <w:p>
      <w:pPr>
        <w:pStyle w:val="Compact"/>
        <w:numPr>
          <w:ilvl w:val="0"/>
          <w:numId w:val="25"/>
        </w:numPr>
        <w:rPr/>
      </w:pPr>
      <w:r>
        <w:rPr/>
        <w:t xml:space="preserve">Per kWh: 57,600 / 1.419 × 10⁸ MWh = </w:t>
      </w:r>
      <w:r>
        <w:rPr>
          <w:b/>
          <w:bCs/>
        </w:rPr>
        <w:t>0.406 g/kWh</w:t>
      </w:r>
      <w:r>
        <w:rPr/>
        <w:t>.</w:t>
      </w:r>
    </w:p>
    <w:p>
      <w:pPr>
        <w:pStyle w:val="Compact"/>
        <w:numPr>
          <w:ilvl w:val="0"/>
          <w:numId w:val="26"/>
        </w:numPr>
        <w:rPr/>
      </w:pPr>
      <w:r>
        <w:rPr/>
        <w:t>Steel sensitivity (not part of C1): target-structure steel only 566 t per unit; all steel at best-practice factors 3,915 t; world-average steel −12,655 t (adds emissions).</w:t>
      </w:r>
    </w:p>
    <w:p>
      <w:pPr>
        <w:pStyle w:val="Heading4"/>
        <w:rPr/>
      </w:pPr>
      <w:r>
        <w:rPr/>
        <w:t>A8 Fuel cycle and life-cycle total</w:t>
      </w:r>
    </w:p>
    <w:p>
      <w:pPr>
        <w:pStyle w:val="FirstParagraph"/>
        <w:rPr/>
      </w:pPr>
      <w:r>
        <w:rPr/>
        <w:t xml:space="preserve">Inputs: burnup 45 GWd/t and 3.8% U-235 (placeholders); tails 0.25%; feed 0.711%. - Electricity per kg enriched U = 45 × 24,000 × 0.345 = 372,414 kWh → </w:t>
      </w:r>
      <w:r>
        <w:rPr>
          <w:b/>
          <w:bCs/>
        </w:rPr>
        <w:t>2.685 g enriched U per MWh</w:t>
      </w:r>
      <w:r>
        <w:rPr/>
        <w:t xml:space="preserve">. - Feed factor = (3.8 − 0.25) / (0.711 − 0.25) = </w:t>
      </w:r>
      <w:r>
        <w:rPr>
          <w:b/>
          <w:bCs/>
        </w:rPr>
        <w:t>7.70</w:t>
      </w:r>
      <w:r>
        <w:rPr/>
        <w:t xml:space="preserve">; natural U = 20.68 g/MWh. - Separative work = 5.42 SWU/kg → 0.0146 SWU/MWh. - Four units need about </w:t>
      </w:r>
      <w:r>
        <w:rPr>
          <w:b/>
          <w:bCs/>
        </w:rPr>
        <w:t>196 t natural U and 138 tSWU a year</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(mode case)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bl>
    <w:p>
      <w:pPr>
        <w:pStyle w:val="BodyText"/>
        <w:rPr/>
      </w:pPr>
      <w:r>
        <w:rPr/>
        <w:t>Total 406,462 t CO₂e per unit. Fuel front end 1.458 g/kWh (50.9%).</w:t>
      </w:r>
    </w:p>
    <w:p>
      <w:pPr>
        <w:pStyle w:val="Heading4"/>
        <w:rPr/>
      </w:pPr>
      <w:r>
        <w:rPr/>
        <w:t>A9 Granta EduPack Eco Audit</w:t>
      </w:r>
    </w:p>
    <w:p>
      <w:pPr>
        <w:pStyle w:val="FirstParagraph"/>
        <w:rPr/>
      </w:pPr>
      <w:r>
        <w:rPr/>
        <w:t xml:space="preserve">Granta EduPack 2024 R1 Eco Audit, one BWRX-300, product life 30 years, country of use North America (team model; full reports in the repository, </w:t>
      </w:r>
      <w:r>
        <w:rPr>
          <w:rStyle w:val="VerbatimChar"/>
        </w:rPr>
        <w:t>03_LCA_Calculations/granta/</w:t>
      </w:r>
      <w:r>
        <w:rPr/>
        <w:t>). Components: base concrete 120,000 t (user-defined record, 0.1583 kg CO₂e/kg, 0.90 MJ/kg); structural steel 6,000 t and modular steel 8,000 t (low-carbon steel, virgin, roll formed); transport by truck, 30 km for concrete and 200 km for steel; steel recycled at end of life, concrete not. In the LC³ case 48,000 t (40%) of the concrete uses the team’s LC³ record (0.1533 kg CO₂e/kg, 0.603 MJ/kg).</w:t>
      </w:r>
    </w:p>
    <w:p>
      <w:pPr>
        <w:pStyle w:val="BodyText"/>
        <w:rPr/>
      </w:pPr>
      <w:r>
        <w:rPr>
          <w:i/>
          <w:iCs/>
        </w:rPr>
        <w:t>Table A9. Granta Eco Audit results for one unit (first life).</w:t>
      </w:r>
      <w:r>
        <w:rPr/>
        <w:t xml:space="preserve"> </w:t>
      </w:r>
      <w:r>
        <w:rPr>
          <w:i/>
          <w:iCs/>
        </w:rPr>
        <w:t>Source: Granta EduPack 2024 R1 Eco Audit reports, Base Reactor and LC3 Reactor (25 October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Phase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energy (TJ)</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energy (TJ)</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Material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Manufacture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Disposal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Total, first life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End-of-life potential (steel recycling)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r>
    </w:tbl>
    <w:p>
      <w:pPr>
        <w:pStyle w:val="BodyText"/>
        <w:rPr/>
      </w:pPr>
      <w:r>
        <w:rPr/>
        <w:t>The concrete-only saving is (0.1583 − 0.1533) × 48,000 t = 240 t CO₂e; at Pillai et al.’s (2019) 0.1125 kg/kg it would be (0.1583 − 0.1125) × 48,000 t = 2,198 t, the 2,200 t used in the report. Spread over the 60-year functional unit, Granta’s 58,900 t is 0.42 g CO₂e/kWh, against 0.50 g/kWh for construction in our model.</w:t>
      </w:r>
    </w:p>
    <w:p>
      <w:pPr>
        <w:pStyle w:val="CaptionedFigure"/>
        <w:rPr/>
      </w:pPr>
      <w:r>
        <w:rPr/>
        <w:drawing>
          <wp:inline distT="0" distB="0" distL="0" distR="0">
            <wp:extent cx="4664075" cy="3436620"/>
            <wp:effectExtent l="0" t="0" r="0" b="0"/>
            <wp:docPr id="9" name="Image9" descr="Figure F9. Granta EduPack Eco Audit summary, climate change (kg CO₂e)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F9. Granta EduPack Eco Audit summary, climate change (kg CO₂e) by life phase: base reactor against LC³ reactor. Source: Granta EduPack 2024 R1, team model."/>
                    <pic:cNvPicPr>
                      <a:picLocks noChangeAspect="1" noChangeArrowheads="1"/>
                    </pic:cNvPicPr>
                  </pic:nvPicPr>
                  <pic:blipFill>
                    <a:blip r:embed="rId10"/>
                    <a:stretch>
                      <a:fillRect/>
                    </a:stretch>
                  </pic:blipFill>
                  <pic:spPr bwMode="auto">
                    <a:xfrm>
                      <a:off x="0" y="0"/>
                      <a:ext cx="4664075" cy="3436620"/>
                    </a:xfrm>
                    <a:prstGeom prst="rect">
                      <a:avLst/>
                    </a:prstGeom>
                  </pic:spPr>
                </pic:pic>
              </a:graphicData>
            </a:graphic>
          </wp:inline>
        </w:drawing>
      </w:r>
    </w:p>
    <w:p>
      <w:pPr>
        <w:pStyle w:val="ImageCaption"/>
        <w:rPr/>
      </w:pPr>
      <w:r>
        <w:rPr/>
        <w:t>Figure F9. Granta EduPack Eco Audit summary, climate change (kg CO₂e) by life phase: base reactor against LC³ reactor. Source: Granta EduPack 2024 R1, team model.</w:t>
      </w:r>
    </w:p>
    <w:p>
      <w:pPr>
        <w:pStyle w:val="CaptionedFigure"/>
        <w:rPr/>
      </w:pPr>
      <w:r>
        <w:rPr/>
        <w:drawing>
          <wp:inline distT="0" distB="0" distL="0" distR="0">
            <wp:extent cx="4664075" cy="3436620"/>
            <wp:effectExtent l="0" t="0" r="0" b="0"/>
            <wp:docPr id="10" name="Image10" descr="Figure F10. Granta EduPack Eco Audit summary, energy (MJ)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e F10. Granta EduPack Eco Audit summary, energy (MJ) by life phase: base reactor against LC³ reactor. Source: Granta EduPack 2024 R1, team model."/>
                    <pic:cNvPicPr>
                      <a:picLocks noChangeAspect="1" noChangeArrowheads="1"/>
                    </pic:cNvPicPr>
                  </pic:nvPicPr>
                  <pic:blipFill>
                    <a:blip r:embed="rId11"/>
                    <a:stretch>
                      <a:fillRect/>
                    </a:stretch>
                  </pic:blipFill>
                  <pic:spPr bwMode="auto">
                    <a:xfrm>
                      <a:off x="0" y="0"/>
                      <a:ext cx="4664075" cy="3436620"/>
                    </a:xfrm>
                    <a:prstGeom prst="rect">
                      <a:avLst/>
                    </a:prstGeom>
                  </pic:spPr>
                </pic:pic>
              </a:graphicData>
            </a:graphic>
          </wp:inline>
        </w:drawing>
      </w:r>
    </w:p>
    <w:p>
      <w:pPr>
        <w:pStyle w:val="ImageCaption"/>
        <w:rPr/>
      </w:pPr>
      <w:r>
        <w:rPr/>
        <w:t>Figure F10. Granta EduPack Eco Audit summary, energy (MJ) by life phase: base reactor against LC³ reactor. Source: Granta EduPack 2024 R1, team model.</w:t>
      </w:r>
    </w:p>
    <w:p>
      <w:pPr>
        <w:pStyle w:val="Heading4"/>
        <w:rPr/>
      </w:pPr>
      <w:r>
        <w:rPr/>
        <w:t>A9.1 Reconciliation and verification checks</w:t>
      </w:r>
    </w:p>
    <w:p>
      <w:pPr>
        <w:pStyle w:val="FirstParagraph"/>
        <w:rPr/>
      </w:pPr>
      <w:r>
        <w:rPr/>
        <w:t xml:space="preserve">Back-calculated at 2,400 kg/m³ (the density implied by 120,000 t for 50,000 m³), the base record (0.1583 kg/kg) equals Pillai et al.’s (2019) ordinary concrete, 380 kg CO₂e/m³, but the LC³ record (0.1533 kg/kg) equals 368 kg/m³, a 3.2% cut rather than Pillai’s 28.9%. The source of 0.1533 is not recorded in the reports. The defensible value, on the same source and density basis as the base record, is 270 / 2,400 = 0.1125 kg CO₂e/kg; the embodied energy of 0.603 MJ/kg is kept as entered. Both mixes are M50 (28-day mean strengths 60.0 and 56.7 MPa), so the per-m³ comparison is at the same strength class; whether OPG’s baseline mix already contains slag is not known, which would reduce the saving. Granta has no use phase, so its 30-year product life does not change its construction totals; the per-kWh figures use our 60-year functional unit (Script: </w:t>
      </w:r>
      <w:r>
        <w:rPr>
          <w:rStyle w:val="VerbatimChar"/>
        </w:rPr>
        <w:t>03_LCA_Calculations/scripts/granta_reconcile.py</w:t>
      </w:r>
      <w:r>
        <w:rPr/>
        <w:t>).</w:t>
      </w:r>
    </w:p>
    <w:p>
      <w:pPr>
        <w:pStyle w:val="BodyText"/>
        <w:rPr/>
      </w:pPr>
      <w:r>
        <w:rPr>
          <w:i/>
          <w:iCs/>
        </w:rPr>
        <w:t>Table A9.1. Checks set in advance and their outcomes.</w:t>
      </w:r>
      <w:r>
        <w:rPr/>
        <w:t xml:space="preserve"> </w:t>
      </w:r>
      <w:r>
        <w:rPr>
          <w:i/>
          <w:iCs/>
        </w:rPr>
        <w:t>Source: this study; Granta EduPack 2024 R1; Pillai et al. (2019); UNECE (2021).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Check</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Limit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Outcome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Granta vs our model, construction total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within 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58,900 vs 57,600 t (2.3%)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cut against ordinary concrete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28.9%; Granta record 3.2%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Fail (marginal for Pillai)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Ordinary concrete per m³ vs Ontario industry declaration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within 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tested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tested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Whole-plant intensity vs UNECE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5.1–6.4 g/kWh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4.40 (90%: 3.24–6.05)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Fail on median; interval overlaps</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Mass and energy balances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close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120,000 t; 72,000 + 48,000 t; steel 6,000 + 8,000 t; material energy within 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w:t>
            </w:r>
          </w:p>
        </w:tc>
      </w:tr>
    </w:tbl>
    <w:p>
      <w:pPr>
        <w:pStyle w:val="BodyText"/>
        <w:rPr/>
      </w:pPr>
      <w:r>
        <w:rPr/>
        <w:t>Monte Carlo on the C1 saving (20,000 draws, seed 20261025; eligible share uniform 20–60%; ordinary concrete 342–418 kg/m³; LC³ 230–368 kg/m³ with Sam’s record as the upper bound): median 1,713 t per unit, 90% interval 555–3,396 t. Share of variance: LC³ factor 48%, eligible share 38%, ordinary-concrete factor 14%.</w:t>
      </w:r>
    </w:p>
    <w:p>
      <w:pPr>
        <w:pStyle w:val="Heading2"/>
        <w:rPr/>
      </w:pPr>
      <w:r>
        <w:rPr/>
        <w:t>Appendix B. Policy, economics and supply calculations</w:t>
      </w:r>
    </w:p>
    <w:p>
      <w:pPr>
        <w:pStyle w:val="FirstParagraph"/>
        <w:rPr/>
      </w:pPr>
      <w:r>
        <w:rPr/>
        <w:t xml:space="preserve">Each subsection gives the formula, key inputs and result. Scripts are in </w:t>
      </w:r>
      <w:r>
        <w:rPr>
          <w:rStyle w:val="VerbatimChar"/>
        </w:rPr>
        <w:t>03_LCA_Calculations/scripts/</w:t>
      </w:r>
      <w:r>
        <w:rPr/>
        <w:t xml:space="preserve"> (</w:t>
      </w:r>
      <w:r>
        <w:rPr>
          <w:rStyle w:val="VerbatimChar"/>
        </w:rPr>
        <w:t>law_timelines.py</w:t>
      </w:r>
      <w:r>
        <w:rPr/>
        <w:t xml:space="preserve">, </w:t>
      </w:r>
      <w:r>
        <w:rPr>
          <w:rStyle w:val="VerbatimChar"/>
        </w:rPr>
        <w:t>hhi.py</w:t>
      </w:r>
      <w:r>
        <w:rPr/>
        <w:t xml:space="preserve">, </w:t>
      </w:r>
      <w:r>
        <w:rPr>
          <w:rStyle w:val="VerbatimChar"/>
        </w:rPr>
        <w:t>displacement.py</w:t>
      </w:r>
      <w:r>
        <w:rPr/>
        <w:t xml:space="preserve">, </w:t>
      </w:r>
      <w:r>
        <w:rPr>
          <w:rStyle w:val="VerbatimChar"/>
        </w:rPr>
        <w:t>schedule_value.py</w:t>
      </w:r>
      <w:r>
        <w:rPr/>
        <w:t xml:space="preserve">, </w:t>
      </w:r>
      <w:r>
        <w:rPr>
          <w:rStyle w:val="VerbatimChar"/>
        </w:rPr>
        <w:t>same_money.py</w:t>
      </w:r>
      <w:r>
        <w:rPr/>
        <w:t xml:space="preserve">, </w:t>
      </w:r>
      <w:r>
        <w:rPr>
          <w:rStyle w:val="VerbatimChar"/>
        </w:rPr>
        <w:t>mcda.py</w:t>
      </w:r>
      <w:r>
        <w:rPr/>
        <w:t xml:space="preserve">, </w:t>
      </w:r>
      <w:r>
        <w:rPr>
          <w:rStyle w:val="VerbatimChar"/>
        </w:rPr>
        <w:t>social_licence.py</w:t>
      </w:r>
      <w:r>
        <w:rPr/>
        <w:t>). Scores marked “judgement” are our own, not sourced.</w:t>
      </w:r>
    </w:p>
    <w:p>
      <w:pPr>
        <w:pStyle w:val="Heading4"/>
        <w:rPr/>
      </w:pPr>
      <w:r>
        <w:rPr/>
        <w:t>B1 Legal and political pathway</w:t>
      </w:r>
    </w:p>
    <w:p>
      <w:pPr>
        <w:pStyle w:val="FirstParagraph"/>
        <w:rPr/>
      </w:pPr>
      <w:r>
        <w:rPr/>
        <w:t xml:space="preserve">Three laws bar an SMR at Liddell: </w:t>
      </w:r>
      <w:r>
        <w:rPr>
          <w:i/>
          <w:iCs/>
        </w:rPr>
        <w:t>EPBC Act 1999</w:t>
      </w:r>
      <w:r>
        <w:rPr/>
        <w:t xml:space="preserve"> (Cth) s 140A; </w:t>
      </w:r>
      <w:r>
        <w:rPr>
          <w:i/>
          <w:iCs/>
        </w:rPr>
        <w:t>ARPANS Act 1998</w:t>
      </w:r>
      <w:r>
        <w:rPr/>
        <w:t xml:space="preserve"> (Cth) s 10(2); </w:t>
      </w:r>
      <w:r>
        <w:rPr>
          <w:i/>
          <w:iCs/>
        </w:rPr>
        <w:t>Uranium Mining and Nuclear Facilities (Prohibitions) Act 1986</w:t>
      </w:r>
      <w:r>
        <w:rPr/>
        <w:t xml:space="preserve"> (NSW) s 8. Each has a different veto holder (Commonwealth Parliament, NSW Parliament), plus the site owner AGL.</w:t>
      </w:r>
    </w:p>
    <w:p>
      <w:pPr>
        <w:pStyle w:val="BodyText"/>
        <w:rPr/>
      </w:pPr>
      <w:r>
        <w:rPr/>
        <w:t xml:space="preserve">Senate arithmetic (Parliament of Australia, 2026; 76 seats): - Majority = ⌊76/2⌋ + 1 = </w:t>
      </w:r>
      <w:r>
        <w:rPr>
          <w:b/>
          <w:bCs/>
        </w:rPr>
        <w:t>39</w:t>
      </w:r>
      <w:r>
        <w:rPr/>
        <w:t xml:space="preserve">. - Largest pro-repeal bloc = Coalition 27 + One Nation 4 + Babet 1 = 32 (the last two are assumptions); shortfall = 39 − 32 = </w:t>
      </w:r>
      <w:r>
        <w:rPr>
          <w:b/>
          <w:bCs/>
        </w:rPr>
        <w:t>7</w:t>
      </w:r>
      <w:r>
        <w:rPr/>
        <w:t>. - Adding every other crossbencher gives 36–37, still short. Labor 30 + Greens 10 = 40 blocks.</w:t>
      </w:r>
    </w:p>
    <w:p>
      <w:pPr>
        <w:pStyle w:val="BodyText"/>
        <w:rPr/>
      </w:pPr>
      <w:r>
        <w:rPr/>
        <w:t>NSW repeal bill: introduced 19 November 2025, passed the Legislative Council 6 May 2026, stalled in the Assembly, lapses 28 November 2026.</w:t>
      </w:r>
    </w:p>
    <w:p>
      <w:pPr>
        <w:pStyle w:val="BodyText"/>
        <w:rPr/>
      </w:pPr>
      <w:r>
        <w:rPr/>
        <w:t xml:space="preserve">Darlington licensing (Canadian Nuclear Safety Commission, 2021; 2025; 2026a; 2026b): application 31 October 2022 to licence to construct 4 April 2025 = 886 days ÷ 30.44 = </w:t>
      </w:r>
      <w:r>
        <w:rPr>
          <w:b/>
          <w:bCs/>
        </w:rPr>
        <w:t>29.1 months</w:t>
      </w:r>
      <w:r>
        <w:rPr/>
        <w:t xml:space="preserve">; environmental assessment start (May 2007) to licence = </w:t>
      </w:r>
      <w:r>
        <w:rPr>
          <w:b/>
          <w:bCs/>
        </w:rPr>
        <w:t>17.9 years</w:t>
      </w:r>
      <w:r>
        <w:rPr/>
        <w:t>.</w:t>
      </w:r>
    </w:p>
    <w:p>
      <w:pPr>
        <w:pStyle w:val="Heading4"/>
        <w:rPr/>
      </w:pPr>
      <w:r>
        <w:rPr/>
        <w:t>B2 Supply concentration (HHI)</w:t>
      </w:r>
    </w:p>
    <w:p>
      <w:pPr>
        <w:pStyle w:val="FirstParagraph"/>
        <w:rPr/>
      </w:pPr>
      <w:r>
        <w:rPr/>
        <w:t xml:space="preserve">Formula: share s = 100 × q / Σq; HHI = Σ s²; N_eq = 10,000 / HHI. Enrichment worked example (World Nuclear Association, 2025): Rosatom 29,133 / 68,077 = 42.79%, squared 1,831; sum with Urenco 646, CNNC 410, Orano 121 and Other 0.3 = </w:t>
      </w:r>
      <w:r>
        <w:rPr>
          <w:b/>
          <w:bCs/>
        </w:rPr>
        <w:t>3,009</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(base year)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by country (2024; World Nuclear Association,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by company (World Nuclear Association, 2024)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by company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w:t>
            </w:r>
          </w:p>
        </w:tc>
      </w:tr>
    </w:tbl>
    <w:p>
      <w:pPr>
        <w:pStyle w:val="BodyText"/>
        <w:rPr/>
      </w:pPr>
      <w:r>
        <w:rPr/>
        <w:t>Thresholds (US Department of Justice and Federal Trade Commission, 2023; 2010): above 1,800 is highly concentrated (2023); 1,500–2,500 moderate and above 2,500 high (2010). Mining by company, from the top three firms only, is 851–1,384 (midpoint 1,118), below 1,800.</w:t>
      </w:r>
    </w:p>
    <w:p>
      <w:pPr>
        <w:pStyle w:val="BodyText"/>
        <w:rPr/>
      </w:pPr>
      <w:r>
        <w:rPr/>
        <w:t xml:space="preserve">Darlington demand (four units; burnup 45 GWd/t, 3.8% enrichment, assumed): 195.6 t natural U and 137.7 tSWU a year, which is </w:t>
      </w:r>
      <w:r>
        <w:rPr>
          <w:b/>
          <w:bCs/>
        </w:rPr>
        <w:t>3.2% of Urenco USA’s 4,300 tSWU</w:t>
      </w:r>
      <w:r>
        <w:rPr/>
        <w:t xml:space="preserve"> and 0.20% of world capacity (68,077). The project is too small to move the HHI.</w:t>
      </w:r>
    </w:p>
    <w:p>
      <w:pPr>
        <w:pStyle w:val="Heading4"/>
        <w:rPr/>
      </w:pPr>
      <w:r>
        <w:rPr/>
        <w:t>B3 Routes to a licensable SMR in Australia</w:t>
      </w:r>
    </w:p>
    <w:p>
      <w:pPr>
        <w:pStyle w:val="FirstParagraph"/>
        <w:rPr/>
      </w:pPr>
      <w:r>
        <w:rPr/>
        <w:t>Three routes scored 1 (poor) to 3 (good) on four objectives (judgement; hand calculation).</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Veto points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Regulator readiness</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Durability</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 licence</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Total (of 12)</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Commonwealth-owned plant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 Federal law overriding states</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Cooperative state repeal</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r>
    </w:tbl>
    <w:p>
      <w:pPr>
        <w:pStyle w:val="BodyText"/>
        <w:rPr/>
      </w:pPr>
      <w:r>
        <w:rPr/>
        <w:t>Weight test (one objective doubled): regulator readiness × 2 gives A 9, B 7, C 9; durability × 2 gives A 7, B 6, C 11. Route B ranks last throughout. C1 levers (enforceability, speed, low risk; of 9): OPG specification 8, equity milestone 8, Ontario shareholder direction 7.</w:t>
      </w:r>
    </w:p>
    <w:p>
      <w:pPr>
        <w:pStyle w:val="Heading4"/>
        <w:rPr/>
      </w:pPr>
      <w:r>
        <w:rPr/>
        <w:t>B4 Displacement</w:t>
      </w:r>
    </w:p>
    <w:p>
      <w:pPr>
        <w:pStyle w:val="FirstParagraph"/>
        <w:rPr/>
      </w:pPr>
      <w:r>
        <w:rPr/>
        <w:t xml:space="preserve">Formulae: E = 300 MW × 8,760 h × 0.90 = 2,365,200 MWh/yr; avoided in year y = E × (EF_grid − EF_SMR) / 10⁶ t, with EF_SMR = 4.2 g/kWh (our Monte Carlo median). - Static NSW grid (640 g/kWh; Department of Climate Change, Energy, the Environment and Water, 2025): 2,365,200,000 × (640 − 4.2) / 10⁶ = </w:t>
      </w:r>
      <w:r>
        <w:rPr>
          <w:b/>
          <w:bCs/>
        </w:rPr>
        <w:t>1.50 Mt a year</w:t>
      </w:r>
      <w:r>
        <w:rPr/>
        <w:t xml:space="preserve">. - Static Ontario average 2024 (73.8 g/kWh; The Atmospheric Fund, 2025): 0.165 Mt a year; marginal (343 g/kWh): 0.80 Mt. - Cumulative to 2050: Darlington Unit 1 from 2030 = </w:t>
      </w:r>
      <w:r>
        <w:rPr>
          <w:b/>
          <w:bCs/>
        </w:rPr>
        <w:t>1.01–6.80 Mt</w:t>
      </w:r>
      <w:r>
        <w:rPr/>
        <w:t xml:space="preserve">; Liddell from 2040 = </w:t>
      </w:r>
      <w:r>
        <w:rPr>
          <w:b/>
          <w:bCs/>
        </w:rPr>
        <w:t>0.67–3.85 Mt</w:t>
      </w:r>
      <w:r>
        <w:rPr/>
        <w:t xml:space="preserve"> (Step Change proxy to slow transition); frozen NEM = 16.54 Mt. - Liddell example: 2,365,200,000 × (30 − 4.2) / 10⁶ = 61,022 t a year; × 11 years = 671 kt.</w:t>
      </w:r>
    </w:p>
    <w:p>
      <w:pPr>
        <w:pStyle w:val="BodyText"/>
        <w:rPr/>
      </w:pPr>
      <w:r>
        <w:rPr/>
        <w:t>Grid trajectory, start year and post-coal floor dominate; the SMR’s own life-cycle value moves the result by a few per cent.</w:t>
      </w:r>
    </w:p>
    <w:p>
      <w:pPr>
        <w:pStyle w:val="Heading4"/>
        <w:rPr/>
      </w:pPr>
      <w:r>
        <w:rPr/>
        <w:t>B5 Value of schedule</w:t>
      </w:r>
    </w:p>
    <w:p>
      <w:pPr>
        <w:pStyle w:val="FirstParagraph"/>
        <w:rPr/>
      </w:pPr>
      <w:r>
        <w:rPr/>
        <w:t xml:space="preserve">Formulae: daily output D = E / 365 = 6,480,000 kWh; gross loss per day = D × (EF_grid − EF_SMR) / 10⁶; break-even days = saving / loss per day. - Ontario average (2035 factor 33.4 g/kWh): 189 t a day, so C1’s 2,200 t is cancelled by </w:t>
      </w:r>
      <w:r>
        <w:rPr>
          <w:b/>
          <w:bCs/>
        </w:rPr>
        <w:t>11.6 days</w:t>
      </w:r>
      <w:r>
        <w:rPr/>
        <w:t xml:space="preserve"> (net basis 18.5). - Ontario marginal declining: 1,296 t a day, </w:t>
      </w:r>
      <w:r>
        <w:rPr>
          <w:b/>
          <w:bCs/>
        </w:rPr>
        <w:t>1.7 days</w:t>
      </w:r>
      <w:r>
        <w:rPr/>
        <w:t xml:space="preserve">. - Units 2–4 saving (6,600 t) against delay to one unit: 34.9 days (average), 5.1 days (marginal). - Carbon value of C1, Units 2–4: 6,600 t × C$95/t = C$0.63 m (C$0.76 m at C$115; Environment and Climate Change Canada, 2026). - One-month slip of Units 2–4: deferred output 591,300 MWh × C$149 = C$88 m (Ontario Power Generation, 2026b); carrying cost on C$13.2 bn at 3–10% = C$33–110 m. Ratio to C1’s carbon value: </w:t>
      </w:r>
      <w:r>
        <w:rPr>
          <w:b/>
          <w:bCs/>
        </w:rPr>
        <w:t>29–175 times</w:t>
      </w:r>
      <w:r>
        <w:rPr/>
        <w:t>.</w:t>
      </w:r>
    </w:p>
    <w:p>
      <w:pPr>
        <w:pStyle w:val="Heading4"/>
        <w:rPr/>
      </w:pPr>
      <w:r>
        <w:rPr/>
        <w:t>B6 Same money</w:t>
      </w:r>
    </w:p>
    <w:p>
      <w:pPr>
        <w:pStyle w:val="FirstParagraph"/>
        <w:rPr/>
      </w:pPr>
      <w:r>
        <w:rPr/>
        <w:t xml:space="preserve">Formulae: CRF = r(1 + r)ⁿ / ((1 + r)ⁿ − 1) = 0.0806 (7%, 30 years); energy ratio = SMR LCOE / renewables LCOE. - Inputs (Graham, Hayward and Foster, 2024, as reported): SMR A$306/MWh (230–382), firmed renewables A$107/MWh (89–125), 2030; Darlington C$20.9 bn (Government of Ontario, 2025) at A$1.119 per C$. - Energy ratio = 306 / 107 = </w:t>
      </w:r>
      <w:r>
        <w:rPr>
          <w:b/>
          <w:bCs/>
        </w:rPr>
        <w:t>2.9×</w:t>
      </w:r>
      <w:r>
        <w:rPr/>
        <w:t xml:space="preserve">; the same annual spend (A$0.72 bn) buys 6.8 TWh against 2.37 TWh. - Capital only: C$5.225 bn × 1.119 × 0.0806 = A$471 m a year ÷ 2,365,200 MWh = </w:t>
      </w:r>
      <w:r>
        <w:rPr>
          <w:b/>
          <w:bCs/>
        </w:rPr>
        <w:t>A$199/MWh</w:t>
      </w:r>
      <w:r>
        <w:rPr/>
        <w:t>, buying 1.9× the energy. - CO₂e avoided to 2050, renewables ÷ SMR, Liddell from 2040: 5.7× (frozen grid), 10.9× (slow transition), 26.0× (Step Change); range across cases tested 4.9–26.0×. - Ontario average grid: SMR wins (−0.4×), because the grid falls below the renewables’ assumed 30 g/kWh.</w:t>
      </w:r>
    </w:p>
    <w:p>
      <w:pPr>
        <w:pStyle w:val="Heading4"/>
        <w:rPr/>
      </w:pPr>
      <w:r>
        <w:rPr/>
        <w:t>B7 Multi-criteria analysis</w:t>
      </w:r>
    </w:p>
    <w:p>
      <w:pPr>
        <w:pStyle w:val="FirstParagraph"/>
        <w:rPr/>
      </w:pPr>
      <w:r>
        <w:rPr/>
        <w:t>Method (Dodgson et al., 2009): min–max normalisation s = (x − worst) / (best − worst); total T = 100 × Σ w_c s_c. Seven criteria: life-cycle CO₂e, CO₂e avoided per dollar, cost, first-power year, supply HHI, social licence, legal feasibility (last two judgement).</w:t>
      </w:r>
    </w:p>
    <w:p>
      <w:pPr>
        <w:pStyle w:val="BodyText"/>
        <w:rPr/>
      </w:pPr>
      <w:r>
        <w:rPr/>
        <w:t xml:space="preserve">Worked example (SMR, equal weights): 0.99998 + 0.0921 + 0.0001 + 0.4545 + 0.5298 + 0 + 0 = 2.0766; T = 100 × 2.0766 / 7 = </w:t>
      </w:r>
      <w:r>
        <w:rPr>
          <w:b/>
          <w:bCs/>
        </w:rPr>
        <w:t>29.7</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r>
    </w:tbl>
    <w:p>
      <w:pPr>
        <w:pStyle w:val="BodyText"/>
        <w:rPr/>
      </w:pPr>
      <w:r>
        <w:rPr/>
        <w:t>Robustness: ±50% weight tests change first place in 2 of 56 cases (both in W2); under 20,000 random weight sets renewables rank first in 85.4%. C1 changes the SMR’s life cycle from 4.200 to 4.1845 g/kWh (2,200 / 1.419 × 10¹¹ kWh = 0.0155 g/kWh), under 0.005 point of score.</w:t>
      </w:r>
    </w:p>
    <w:p>
      <w:pPr>
        <w:pStyle w:val="Heading4"/>
        <w:rPr/>
      </w:pPr>
      <w:r>
        <w:rPr/>
        <w:t>B8 Social licence and stakeholder working</w:t>
      </w:r>
    </w:p>
    <w:p>
      <w:pPr>
        <w:pStyle w:val="Compact"/>
        <w:numPr>
          <w:ilvl w:val="0"/>
          <w:numId w:val="27"/>
        </w:numPr>
        <w:rPr/>
      </w:pPr>
      <w:r>
        <w:rPr>
          <w:b/>
          <w:bCs/>
        </w:rPr>
        <w:t>Deaths avoided:</w:t>
      </w:r>
      <w:r>
        <w:rPr/>
        <w:t xml:space="preserve"> output 2.365 TWh a year × (death rate displaced − nuclear’s 0.03 per TWh; Ritchie, 2020; Markandya and Wilkinson, 2007). Black coal (24.62): 2.365 × 24.59 = </w:t>
      </w:r>
      <w:r>
        <w:rPr>
          <w:b/>
          <w:bCs/>
        </w:rPr>
        <w:t>58.2 a year</w:t>
      </w:r>
      <w:r>
        <w:rPr/>
        <w:t xml:space="preserve"> (upper bound); gas (2.82): </w:t>
      </w:r>
      <w:r>
        <w:rPr>
          <w:b/>
          <w:bCs/>
        </w:rPr>
        <w:t>6.6 a year</w:t>
      </w:r>
      <w:r>
        <w:rPr/>
        <w:t>.</w:t>
      </w:r>
    </w:p>
    <w:p>
      <w:pPr>
        <w:pStyle w:val="Compact"/>
        <w:numPr>
          <w:ilvl w:val="0"/>
          <w:numId w:val="28"/>
        </w:numPr>
        <w:rPr/>
      </w:pPr>
      <w:r>
        <w:rPr>
          <w:b/>
          <w:bCs/>
        </w:rPr>
        <w:t>Power-weighted stance</w:t>
      </w:r>
      <w:r>
        <w:rPr/>
        <w:t xml:space="preserve"> = Σ(power × stance) / Σ(power). Darlington: 46 / 43 = </w:t>
      </w:r>
      <w:r>
        <w:rPr>
          <w:b/>
          <w:bCs/>
        </w:rPr>
        <w:t>+1.07</w:t>
      </w:r>
      <w:r>
        <w:rPr/>
        <w:t xml:space="preserve">; Liddell: −37 / 36 = </w:t>
      </w:r>
      <w:r>
        <w:rPr>
          <w:b/>
          <w:bCs/>
        </w:rPr>
        <w:t>−1.03</w:t>
      </w:r>
      <w:r>
        <w:rPr/>
        <w:t xml:space="preserve"> (scores are judgement).</w:t>
      </w:r>
    </w:p>
    <w:p>
      <w:pPr>
        <w:pStyle w:val="Compact"/>
        <w:numPr>
          <w:ilvl w:val="0"/>
          <w:numId w:val="29"/>
        </w:numPr>
        <w:rPr/>
      </w:pPr>
      <w:r>
        <w:rPr>
          <w:b/>
          <w:bCs/>
        </w:rPr>
        <w:t>Siting routes</w:t>
      </w:r>
      <w:r>
        <w:rPr/>
        <w:t xml:space="preserve"> (scored 1–3 on five criteria, judgement): Commonwealth-led 7; volunteer host 11; with First Nations equity 11; no SMR (firmed renewables) 14 of 15.</w:t>
      </w:r>
    </w:p>
    <w:p>
      <w:pPr>
        <w:pStyle w:val="Compact"/>
        <w:numPr>
          <w:ilvl w:val="0"/>
          <w:numId w:val="30"/>
        </w:numPr>
        <w:rPr/>
      </w:pPr>
      <w:r>
        <w:rPr>
          <w:b/>
          <w:bCs/>
        </w:rPr>
        <w:t>Financing</w:t>
      </w:r>
      <w:r>
        <w:rPr/>
        <w:t xml:space="preserve"> of C$20.9 bn (Government of Ontario, 2025): Canada Growth Fund 2.00 (9.6%), Building Ontario Fund 1.00 (4.8%), Canada Infrastructure Bank 0.97 (4.6%), Williams Treaties First Nations 0.70 (3.3%); remainder 16.23 (77.7%) from OPG’s balance sheet, a subtraction rather than a reported figure.</w:t>
      </w:r>
    </w:p>
    <w:p>
      <w:pPr>
        <w:pStyle w:val="Heading2"/>
        <w:rPr/>
      </w:pPr>
      <w:r>
        <w:rPr/>
        <w:t>Appendix C. Sensitivity analysis</w:t>
      </w:r>
    </w:p>
    <w:p>
      <w:pPr>
        <w:pStyle w:val="Heading4"/>
        <w:rPr/>
      </w:pPr>
      <w:r>
        <w:rPr/>
        <w:t>C1 Set-up</w:t>
      </w:r>
    </w:p>
    <w:p>
      <w:pPr>
        <w:pStyle w:val="Compact"/>
        <w:numPr>
          <w:ilvl w:val="0"/>
          <w:numId w:val="31"/>
        </w:numPr>
        <w:rPr/>
      </w:pPr>
      <w:r>
        <w:rPr>
          <w:b/>
          <w:bCs/>
        </w:rPr>
        <w:t>Tornado:</w:t>
      </w:r>
      <w:r>
        <w:rPr/>
        <w:t xml:space="preserve"> each of 45 ranged inputs set to its low and high value, others at central. Ranges are in </w:t>
      </w:r>
      <w:r>
        <w:rPr>
          <w:rStyle w:val="VerbatimChar"/>
        </w:rPr>
        <w:t>parameters_lca.yaml</w:t>
      </w:r>
      <w:r>
        <w:rPr/>
        <w:t>.</w:t>
      </w:r>
    </w:p>
    <w:p>
      <w:pPr>
        <w:pStyle w:val="Compact"/>
        <w:numPr>
          <w:ilvl w:val="0"/>
          <w:numId w:val="32"/>
        </w:numPr>
        <w:rPr/>
      </w:pPr>
      <w:r>
        <w:rPr>
          <w:b/>
          <w:bCs/>
        </w:rPr>
        <w:t>Monte Carlo:</w:t>
      </w:r>
      <w:r>
        <w:rPr/>
        <w:t xml:space="preserve"> 20,000 draws, seed 20261021, inputs independent and triangular (net output uniform 300–315 MWe). Twenty-nine inputs affect the main case.</w:t>
      </w:r>
    </w:p>
    <w:p>
      <w:pPr>
        <w:pStyle w:val="Compact"/>
        <w:numPr>
          <w:ilvl w:val="0"/>
          <w:numId w:val="33"/>
        </w:numPr>
        <w:rPr/>
      </w:pPr>
      <w:r>
        <w:rPr/>
        <w:t xml:space="preserve">Reproduce: </w:t>
      </w:r>
      <w:r>
        <w:rPr>
          <w:rStyle w:val="VerbatimChar"/>
        </w:rPr>
        <w:t>python3 -I 03_LCA_Calculations/scripts/lca_uncertainty.py</w:t>
      </w:r>
      <w:r>
        <w:rPr/>
        <w:t>.</w:t>
      </w:r>
    </w:p>
    <w:p>
      <w:pPr>
        <w:pStyle w:val="Heading4"/>
        <w:rPr/>
      </w:pPr>
      <w:r>
        <w:rPr/>
        <w:t>C2 Ranged inputs and tornado results</w:t>
      </w:r>
    </w:p>
    <w:p>
      <w:pPr>
        <w:pStyle w:val="FirstParagraph"/>
        <w:rPr/>
      </w:pPr>
      <w:r>
        <w:rPr/>
        <w:t>Swing in life-cycle intensity (g CO₂e/kWh), ranked (Parker, McNaughton and Sparrow, 2016; Gibon and Hahn Menacho, 2023; EDF R&amp;D, 2024):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(low / central / high)</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Swing</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(26 / 26 / 665 kWh/kg U)</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2.669</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(24 / 42 / 81 kg CO₂e/kg U₃O₈)</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(0.28 / 0.56 / 1.11 g/kWh)</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(35 / 45 / 55 GWd/t)</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0.682</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(3.4 / 3.8 / 4.95%)</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0.663</w:t>
            </w:r>
          </w:p>
        </w:tc>
      </w:tr>
    </w:tbl>
    <w:p>
      <w:pPr>
        <w:pStyle w:val="BodyText"/>
        <w:rPr/>
      </w:pPr>
      <w:r>
        <w:rPr/>
        <w:t>Plant steel moves the total by 0.105 and plant concrete by 0.057. C1’s saving (2,200 t) moves with eligible share (1,100–3,300 t), LC³ cut (1,672–2,964 t), plant concrete (1,760–2,640 t) and OPC factor (1,911–2,432 t).</w:t>
      </w:r>
    </w:p>
    <w:p>
      <w:pPr>
        <w:pStyle w:val="Heading4"/>
        <w:rPr/>
      </w:pPr>
      <w:r>
        <w:rPr/>
        <w:t>C3 What the tornado shows</w:t>
      </w:r>
    </w:p>
    <w:p>
      <w:pPr>
        <w:pStyle w:val="FirstParagraph"/>
        <w:rPr/>
      </w:pPr>
      <w:r>
        <w:rPr/>
        <w:t>Fuel-cycle inputs dominate; construction inputs are minor. Expected stage means (Monte Carlo) total 4.487 g/kWh: mining 1.261, conversion 1.105, back end 0.651, O&amp;M 0.390, enrichment 0.355, construction 0.515.</w:t>
      </w:r>
    </w:p>
    <w:p>
      <w:pPr>
        <w:pStyle w:val="Heading4"/>
        <w:rPr/>
      </w:pPr>
      <w:r>
        <w:rPr/>
        <w:t>C4 Monte Carlo results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(g/kWh)</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per unit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bl>
    <w:p>
      <w:pPr>
        <w:pStyle w:val="BodyText"/>
        <w:rPr/>
      </w:pPr>
      <w:r>
        <w:rPr/>
        <w:t>LC³ beats slag in 55% of draws.</w:t>
      </w:r>
    </w:p>
    <w:p>
      <w:pPr>
        <w:pStyle w:val="Heading4"/>
        <w:rPr/>
      </w:pPr>
      <w:r>
        <w:rPr/>
        <w:t>C5 Why the median (4.40) sits above the mode case (2.86)</w:t>
      </w:r>
    </w:p>
    <w:p>
      <w:pPr>
        <w:pStyle w:val="FirstParagraph"/>
        <w:rPr/>
      </w:pPr>
      <w:r>
        <w:rPr/>
        <w:t xml:space="preserve">Skewed upper tails, mainly conversion heat: triangular mean (26 + 26 + 665) / 3 ≈ 239 kWh/kg U, nine times the mode, adds +0.98 of the +1.62 g/kWh gap. With conversion heat fixed at 26 the median is 3.51; log-uniform 26–665 gives 4.11. The reported range of medians is </w:t>
      </w:r>
      <w:r>
        <w:rPr>
          <w:b/>
          <w:bCs/>
        </w:rPr>
        <w:t>3.51–4.40 g CO₂e/kWh</w:t>
      </w:r>
      <w:r>
        <w:rPr/>
        <w:t>.</w:t>
      </w:r>
    </w:p>
    <w:p>
      <w:pPr>
        <w:pStyle w:val="Heading4"/>
        <w:rPr/>
      </w:pPr>
      <w:r>
        <w:rPr/>
        <w:t>C6 Limitations</w:t>
      </w:r>
    </w:p>
    <w:p>
      <w:pPr>
        <w:pStyle w:val="FirstParagraph"/>
        <w:rPr/>
      </w:pPr>
      <w:r>
        <w:rPr/>
        <w:t>Inputs are drawn independently; some ranges (±20%, eligible share, LC³ cut, EDF transfer ranges) are assumptions; triangular shapes are conventions; the Ostrołęka and Pillai tables were not opened; model boundary and cut-offs are not sampled.</w:t>
      </w:r>
    </w:p>
    <w:p>
      <w:pPr>
        <w:pStyle w:val="Heading4"/>
        <w:rPr/>
      </w:pPr>
      <w:r>
        <w:rPr/>
        <w:t>C7 Benchmarks</w:t>
      </w:r>
    </w:p>
    <w:p>
      <w:pPr>
        <w:pStyle w:val="FirstParagraph"/>
        <w:rPr/>
      </w:pPr>
      <w:r>
        <w:rPr/>
        <w:t>Our median 4.40 (3.24–6.05) g/kWh against UNECE (2021) 5.1–6.4, EDF R&amp;D (2024) 3.7 (2.9–4.6), Gibon and Hahn Menacho (2023) 6.1, Warner and Heath (2012) median 12, and coal 751–1,095 g/kWh. Differences arise mainly from high-grade ore, centrifuge enrichment and fuel-inventory cut-offs.</w:t>
      </w:r>
    </w:p>
    <w:p>
      <w:pPr>
        <w:pStyle w:val="Heading2"/>
        <w:rPr/>
      </w:pPr>
      <w:r>
        <w:rPr/>
        <w:t>Appendix E. Search log</w:t>
      </w:r>
    </w:p>
    <w:p>
      <w:pPr>
        <w:pStyle w:val="Heading4"/>
        <w:rPr/>
      </w:pPr>
      <w:r>
        <w:rPr/>
        <w:t>E1 Method and access</w:t>
      </w:r>
    </w:p>
    <w:p>
      <w:pPr>
        <w:pStyle w:val="FirstParagraph"/>
        <w:rPr/>
      </w:pPr>
      <w:r>
        <w:rPr/>
        <w:t>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p>
      <w:pPr>
        <w:pStyle w:val="Heading4"/>
        <w:rPr/>
      </w:pPr>
      <w:r>
        <w:rPr/>
        <w:t>E2 Search strings and results</w:t>
      </w:r>
    </w:p>
    <w:p>
      <w:pPr>
        <w:pStyle w:val="FirstParagraph"/>
        <w:rPr/>
      </w:pPr>
      <w:r>
        <w:rPr/>
        <w:t xml:space="preserve">Twelve strings were run (area (i): 5; (ii): 3; (iii): 4), for example “GE-Hitachi patent isolation condenser small modular boiling water reactor”, “patent steel-plate composite modular wall nuclear” and “patent limestone calcined clay cement LC3”. Area (i) found isolation-condenser and underground-shaft families; area (ii) found </w:t>
      </w:r>
      <w:r>
        <w:rPr>
          <w:b/>
          <w:bCs/>
        </w:rPr>
        <w:t>no</w:t>
      </w:r>
      <w:r>
        <w:rPr/>
        <w:t xml:space="preserve"> DP-SC patent (gap: search “diaphragm plate”, GE-Hitachi, when the host is reachable); area (iii) found clay-processing and admixture patents.</w:t>
      </w:r>
    </w:p>
    <w:p>
      <w:pPr>
        <w:pStyle w:val="Heading4"/>
        <w:rPr/>
      </w:pPr>
      <w:r>
        <w:rPr/>
        <w:t>E3 Patents kept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(passive cooling)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Condenser pool make-up</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Calcined-clay clinker substitute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low-temperature clay</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composition</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workability</w:t>
            </w:r>
          </w:p>
        </w:tc>
      </w:tr>
    </w:tbl>
    <w:p>
      <w:pPr>
        <w:pStyle w:val="BodyText"/>
        <w:rPr/>
      </w:pPr>
      <w:r>
        <w:rPr/>
        <w:t>LC³ itself appears in no core composition patent in these results; patenting is around clay processing and workability admixtures. No freedom-to-operate search was done.</w:t>
      </w:r>
    </w:p>
    <w:p>
      <w:pPr>
        <w:pStyle w:val="Heading4"/>
        <w:rPr/>
      </w:pPr>
      <w:r>
        <w:rPr/>
        <w:t>E4 Literature searches</w:t>
      </w:r>
    </w:p>
    <w:p>
      <w:pPr>
        <w:pStyle w:val="FirstParagraph"/>
        <w:spacing w:before="180" w:after="180"/>
        <w:rPr/>
      </w:pPr>
      <w:r>
        <w:rPr/>
        <w:t>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53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65">
          <wp:simplePos x="0" y="0"/>
          <wp:positionH relativeFrom="margin">
            <wp:posOffset>4845050</wp:posOffset>
          </wp:positionH>
          <wp:positionV relativeFrom="margin">
            <wp:posOffset>-457200</wp:posOffset>
          </wp:positionV>
          <wp:extent cx="887730" cy="318135"/>
          <wp:effectExtent l="0" t="0" r="0" b="0"/>
          <wp:wrapNone/>
          <wp:docPr id="1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119">
          <wp:simplePos x="0" y="0"/>
          <wp:positionH relativeFrom="page">
            <wp:posOffset>752475</wp:posOffset>
          </wp:positionH>
          <wp:positionV relativeFrom="page">
            <wp:posOffset>314325</wp:posOffset>
          </wp:positionV>
          <wp:extent cx="1401445" cy="595630"/>
          <wp:effectExtent l="0" t="0" r="0" b="0"/>
          <wp:wrapNone/>
          <wp:docPr id="1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1">
          <wp:simplePos x="0" y="0"/>
          <wp:positionH relativeFrom="page">
            <wp:posOffset>752475</wp:posOffset>
          </wp:positionH>
          <wp:positionV relativeFrom="page">
            <wp:posOffset>9858375</wp:posOffset>
          </wp:positionV>
          <wp:extent cx="1401445" cy="595630"/>
          <wp:effectExtent l="0" t="0" r="0" b="0"/>
          <wp:wrapNone/>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2">
          <wp:simplePos x="0" y="0"/>
          <wp:positionH relativeFrom="margin">
            <wp:posOffset>4845050</wp:posOffset>
          </wp:positionH>
          <wp:positionV relativeFrom="margin">
            <wp:posOffset>9086850</wp:posOffset>
          </wp:positionV>
          <wp:extent cx="887730" cy="318135"/>
          <wp:effectExtent l="0" t="0" r="0" b="0"/>
          <wp:wrapSquare wrapText="bothSides"/>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0" w:after="2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0" w:after="2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0" w:after="2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12.png"/>
</Relationships>
</file>

<file path=word/_rels/header3.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1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54</Pages>
  <Words>16317</Words>
  <Characters>94756</Characters>
  <CharactersWithSpaces>109489</CharactersWithSpaces>
  <Paragraphs>1077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2026-10-25T12:53:38Z</dcterms:created>
  <dc:creator/>
  <dc:description/>
  <dc:language>en-US</dc:language>
  <cp:lastModifiedBy/>
  <dcterms:modified xsi:type="dcterms:W3CDTF">2026-10-25T12:53:54Z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