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30.png" ContentType="image/png"/>
  <Override PartName="/word/media/rId34.png" ContentType="image/png"/>
  <Override PartName="/word/media/rId39.png" ContentType="image/png"/>
  <Override PartName="/word/media/rId42.png" ContentType="image/png"/>
  <Override PartName="/word/media/rId46.png" ContentType="image/png"/>
  <Override PartName="/word/media/rId52.png" ContentType="image/png"/>
  <Override PartName="/word/media/rId56.png" ContentType="image/png"/>
  <Override PartName="/word/media/rId65.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where</w:t>
      </w:r>
      <w:r>
        <w:t xml:space="preserve"> </w:t>
      </w:r>
      <w:r>
        <w:t xml:space="preserve">they</w:t>
      </w:r>
      <w:r>
        <w:t xml:space="preserve"> </w:t>
      </w:r>
      <w:r>
        <w:t xml:space="preserve">cut</w:t>
      </w:r>
      <w:r>
        <w:t xml:space="preserve"> </w:t>
      </w:r>
      <w:r>
        <w:t xml:space="preserve">the</w:t>
      </w:r>
      <w:r>
        <w:t xml:space="preserve"> </w:t>
      </w:r>
      <w:r>
        <w:t xml:space="preserve">most</w:t>
      </w:r>
      <w:r>
        <w:t xml:space="preserve"> </w:t>
      </w:r>
      <w:r>
        <w:t xml:space="preserve">carbon,</w:t>
      </w:r>
      <w:r>
        <w:t xml:space="preserve"> </w:t>
      </w:r>
      <w:r>
        <w:t xml:space="preserve">what</w:t>
      </w:r>
      <w:r>
        <w:t xml:space="preserve"> </w:t>
      </w:r>
      <w:r>
        <w:t xml:space="preserve">holds</w:t>
      </w:r>
      <w:r>
        <w:t xml:space="preserve"> </w:t>
      </w:r>
      <w:r>
        <w:t xml:space="preserve">them</w:t>
      </w:r>
      <w:r>
        <w:t xml:space="preserve"> </w:t>
      </w:r>
      <w:r>
        <w:t xml:space="preserve">back,</w:t>
      </w:r>
      <w:r>
        <w:t xml:space="preserve"> </w:t>
      </w:r>
      <w:r>
        <w:t xml:space="preserve">and</w:t>
      </w:r>
      <w:r>
        <w:t xml:space="preserve"> </w:t>
      </w:r>
      <w:r>
        <w:t xml:space="preserve">a</w:t>
      </w:r>
      <w:r>
        <w:t xml:space="preserve"> </w:t>
      </w:r>
      <w:r>
        <w:t xml:space="preserve">low-clinker</w:t>
      </w:r>
      <w:r>
        <w:t xml:space="preserve"> </w:t>
      </w:r>
      <w:r>
        <w:t xml:space="preserve">concrete</w:t>
      </w:r>
      <w:r>
        <w:t xml:space="preserve"> </w:t>
      </w:r>
      <w:r>
        <w:t xml:space="preserve">initiative</w:t>
      </w:r>
      <w:r>
        <w:t xml:space="preserve"> </w:t>
      </w:r>
      <w:r>
        <w:t xml:space="preserve">for</w:t>
      </w:r>
      <w:r>
        <w:t xml:space="preserve"> </w:t>
      </w:r>
      <w:r>
        <w:t xml:space="preserve">Darlington</w:t>
      </w:r>
    </w:p>
    <w:p>
      <w:pPr>
        <w:pStyle w:val="Subtitle"/>
      </w:pPr>
      <w:r>
        <w:t xml:space="preserve">MTE4593</w:t>
      </w:r>
      <w:r>
        <w:t xml:space="preserve"> </w:t>
      </w:r>
      <w:r>
        <w:t xml:space="preserve">Materials</w:t>
      </w:r>
      <w:r>
        <w:t xml:space="preserve"> </w:t>
      </w:r>
      <w:r>
        <w:t xml:space="preserve">and</w:t>
      </w:r>
      <w:r>
        <w:t xml:space="preserve"> </w:t>
      </w:r>
      <w:r>
        <w:t xml:space="preserve">Sustainability,</w:t>
      </w:r>
      <w:r>
        <w:t xml:space="preserve"> </w:t>
      </w:r>
      <w:r>
        <w:t xml:space="preserve">Assignment</w:t>
      </w:r>
      <w:r>
        <w:t xml:space="preserve"> </w:t>
      </w:r>
      <w:r>
        <w:t xml:space="preserve">2</w:t>
      </w:r>
      <w:r>
        <w:t xml:space="preserve"> </w:t>
      </w:r>
      <w:r>
        <w:t xml:space="preserve">(Group</w:t>
      </w:r>
      <w:r>
        <w:t xml:space="preserve"> </w:t>
      </w:r>
      <w:r>
        <w:t xml:space="preserve">9)</w:t>
      </w:r>
    </w:p>
    <w:p>
      <w:pPr>
        <w:pStyle w:val="Author"/>
      </w:pPr>
      <w:r>
        <w:t xml:space="preserve">Victor</w:t>
      </w:r>
      <w:r>
        <w:t xml:space="preserve"> </w:t>
      </w:r>
      <w:r>
        <w:t xml:space="preserve">Clarke</w:t>
      </w:r>
      <w:r>
        <w:t xml:space="preserve"> </w:t>
      </w:r>
      <w:r>
        <w:rPr>
          <w:rStyle w:val="TeamNote"/>
        </w:rPr>
        <w:t xml:space="preserve">ADD</w:t>
      </w:r>
      <w:r>
        <w:rPr>
          <w:rStyle w:val="TeamNote"/>
        </w:rPr>
        <w:t xml:space="preserve"> </w:t>
      </w:r>
      <w:r>
        <w:rPr>
          <w:rStyle w:val="TeamNote"/>
        </w:rPr>
        <w:t xml:space="preserve">STUDENT</w:t>
      </w:r>
      <w:r>
        <w:rPr>
          <w:rStyle w:val="TeamNote"/>
        </w:rPr>
        <w:t xml:space="preserve"> </w:t>
      </w:r>
      <w:r>
        <w:rPr>
          <w:rStyle w:val="TeamNote"/>
        </w:rPr>
        <w:t xml:space="preserve">ID</w:t>
      </w:r>
    </w:p>
    <w:p>
      <w:pPr>
        <w:pStyle w:val="Author"/>
      </w:pPr>
      <w:r>
        <w:t xml:space="preserve">Leroy</w:t>
      </w:r>
      <w:r>
        <w:t xml:space="preserve"> </w:t>
      </w:r>
      <w:r>
        <w:t xml:space="preserve">Louis</w:t>
      </w:r>
      <w:r>
        <w:t xml:space="preserve"> </w:t>
      </w:r>
      <w:r>
        <w:t xml:space="preserve">Jean</w:t>
      </w:r>
      <w:r>
        <w:t xml:space="preserve"> </w:t>
      </w:r>
      <w:r>
        <w:t xml:space="preserve">(33880212)</w:t>
      </w:r>
    </w:p>
    <w:p>
      <w:pPr>
        <w:pStyle w:val="Author"/>
      </w:pPr>
      <w:r>
        <w:t xml:space="preserve">Sam</w:t>
      </w:r>
      <w:r>
        <w:t xml:space="preserve"> </w:t>
      </w:r>
      <w:r>
        <w:rPr>
          <w:rStyle w:val="TeamNote"/>
        </w:rPr>
        <w:t xml:space="preserve">ADD</w:t>
      </w:r>
      <w:r>
        <w:rPr>
          <w:rStyle w:val="TeamNote"/>
        </w:rPr>
        <w:t xml:space="preserve"> </w:t>
      </w:r>
      <w:r>
        <w:rPr>
          <w:rStyle w:val="TeamNote"/>
        </w:rPr>
        <w:t xml:space="preserve">SURNAME</w:t>
      </w:r>
      <w:r>
        <w:t xml:space="preserve"> </w:t>
      </w:r>
      <w:r>
        <w:rPr>
          <w:rStyle w:val="TeamNote"/>
        </w:rPr>
        <w:t xml:space="preserve">ADD</w:t>
      </w:r>
      <w:r>
        <w:rPr>
          <w:rStyle w:val="TeamNote"/>
        </w:rPr>
        <w:t xml:space="preserve"> </w:t>
      </w:r>
      <w:r>
        <w:rPr>
          <w:rStyle w:val="TeamNote"/>
        </w:rPr>
        <w:t xml:space="preserve">STUDENT</w:t>
      </w:r>
      <w:r>
        <w:rPr>
          <w:rStyle w:val="TeamNote"/>
        </w:rPr>
        <w:t xml:space="preserve"> </w:t>
      </w:r>
      <w:r>
        <w:rPr>
          <w:rStyle w:val="TeamNote"/>
        </w:rPr>
        <w:t xml:space="preserve">ID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X2dfb1858b493784faa8b63dddf1eba57828d596"/>
    <w:p>
      <w:pPr>
        <w:pStyle w:val="Heading2"/>
      </w:pPr>
      <w:r>
        <w:t xml:space="preserve">Team review checklist (this page is removed in the submission version)</w:t>
      </w:r>
    </w:p>
    <w:p>
      <w:pPr>
        <w:pStyle w:val="FirstParagraph"/>
      </w:pPr>
      <w:r>
        <w:rPr>
          <w:rStyle w:val="TeamNote"/>
        </w:rPr>
        <w:t xml:space="preserve">Highlighted notes like this one mark what each person needs to add or check. Everything else is finished and fact-checked.</w:t>
      </w:r>
    </w:p>
    <w:p>
      <w:pPr>
        <w:pStyle w:val="BodyText"/>
      </w:pPr>
      <w:r>
        <w:rPr>
          <w:bCs/>
          <w:b/>
        </w:rPr>
        <w:t xml:space="preserve">Everyone</w:t>
      </w:r>
    </w:p>
    <w:p>
      <w:pPr>
        <w:numPr>
          <w:ilvl w:val="0"/>
          <w:numId w:val="1001"/>
        </w:numPr>
        <w:pStyle w:val="Compact"/>
      </w:pPr>
      <w:r>
        <w:t xml:space="preserve">Title page: Victor’s and Sam’s student IDs; Sam’s surname (Leroy’s is in).</w:t>
      </w:r>
    </w:p>
    <w:p>
      <w:pPr>
        <w:numPr>
          <w:ilvl w:val="0"/>
          <w:numId w:val="1001"/>
        </w:numPr>
        <w:pStyle w:val="Compact"/>
      </w:pPr>
      <w:r>
        <w:t xml:space="preserve">Agree the wording of the AI-use declaration (placeholder before the appendices).</w:t>
      </w:r>
    </w:p>
    <w:p>
      <w:pPr>
        <w:pStyle w:val="FirstParagraph"/>
      </w:pPr>
      <w:r>
        <w:rPr>
          <w:bCs/>
          <w:b/>
        </w:rPr>
        <w:t xml:space="preserve">Leroy</w:t>
      </w:r>
      <w:r>
        <w:t xml:space="preserve"> </w:t>
      </w:r>
      <w:r>
        <w:t xml:space="preserve">(§4.1, §4.2, §5, §10, Appendix E were drafted for you from your slides and script)</w:t>
      </w:r>
    </w:p>
    <w:p>
      <w:pPr>
        <w:numPr>
          <w:ilvl w:val="0"/>
          <w:numId w:val="1002"/>
        </w:numPr>
        <w:pStyle w:val="Compact"/>
      </w:pPr>
      <w:r>
        <w:t xml:space="preserve">Check, correct or replace these sections; keep to about 1,250 words in total.</w:t>
      </w:r>
    </w:p>
    <w:p>
      <w:pPr>
        <w:numPr>
          <w:ilvl w:val="0"/>
          <w:numId w:val="1002"/>
        </w:numPr>
        <w:pStyle w:val="Compact"/>
      </w:pPr>
      <w:r>
        <w:t xml:space="preserve">Confirm the projects table (T2) status, dates and TRL ratings, and the BWRX-300 data in §4.2.</w:t>
      </w:r>
    </w:p>
    <w:p>
      <w:pPr>
        <w:numPr>
          <w:ilvl w:val="0"/>
          <w:numId w:val="1002"/>
        </w:numPr>
        <w:pStyle w:val="Compact"/>
      </w:pPr>
      <w:r>
        <w:t xml:space="preserve">Replace or confirm the patent log in Appendix E (Google Patents could not be opened from our tools).</w:t>
      </w:r>
    </w:p>
    <w:p>
      <w:pPr>
        <w:pStyle w:val="FirstParagraph"/>
      </w:pPr>
      <w:r>
        <w:rPr>
          <w:bCs/>
          <w:b/>
        </w:rPr>
        <w:t xml:space="preserve">Sam</w:t>
      </w:r>
      <w:r>
        <w:t xml:space="preserve"> </w:t>
      </w:r>
      <w:r>
        <w:t xml:space="preserve">(§6, Appendices A and C were re-based on the deck’s numbers for you)</w:t>
      </w:r>
    </w:p>
    <w:p>
      <w:pPr>
        <w:numPr>
          <w:ilvl w:val="0"/>
          <w:numId w:val="1003"/>
        </w:numPr>
        <w:pStyle w:val="Compact"/>
      </w:pPr>
      <w:r>
        <w:t xml:space="preserve">Run the Granta EduPack Eco Audit (details in the note at the top of §6) and send the results, or confirm it can’t be done.</w:t>
      </w:r>
    </w:p>
    <w:p>
      <w:pPr>
        <w:numPr>
          <w:ilvl w:val="0"/>
          <w:numId w:val="1003"/>
        </w:numPr>
        <w:pStyle w:val="Compact"/>
      </w:pPr>
      <w:r>
        <w:t xml:space="preserve">Confirm Ostrołęka PIS Table 14, p. 83 (50,000 m³, 14,000 t) and Pillai et al. (2019) Table 2 (380 vs 270 kg CO₂e/m³).</w:t>
      </w:r>
    </w:p>
    <w:p>
      <w:pPr>
        <w:numPr>
          <w:ilvl w:val="0"/>
          <w:numId w:val="1003"/>
        </w:numPr>
        <w:pStyle w:val="Compact"/>
      </w:pPr>
      <w:r>
        <w:t xml:space="preserve">Check §6’s numbers and figures F1–F5.</w:t>
      </w:r>
    </w:p>
    <w:p>
      <w:pPr>
        <w:pStyle w:val="FirstParagraph"/>
      </w:pPr>
      <w:r>
        <w:rPr>
          <w:bCs/>
          <w:b/>
        </w:rPr>
        <w:t xml:space="preserve">Victor</w:t>
      </w:r>
      <w:r>
        <w:t xml:space="preserve"> </w:t>
      </w:r>
      <w:r>
        <w:t xml:space="preserve">(before submitting)</w:t>
      </w:r>
    </w:p>
    <w:p>
      <w:pPr>
        <w:numPr>
          <w:ilvl w:val="0"/>
          <w:numId w:val="1004"/>
        </w:numPr>
        <w:pStyle w:val="Compact"/>
      </w:pPr>
      <w:r>
        <w:t xml:space="preserve">Update the table of contents in Word (right-click, Update Field).</w:t>
      </w:r>
    </w:p>
    <w:p>
      <w:pPr>
        <w:numPr>
          <w:ilvl w:val="0"/>
          <w:numId w:val="1004"/>
        </w:numPr>
        <w:pStyle w:val="Compact"/>
      </w:pPr>
      <w:r>
        <w:t xml:space="preserve">Send any edits back so the report can be rebuilt.</w:t>
      </w:r>
    </w:p>
    <w:p>
      <w:r>
        <w:br w:type="page"/>
      </w:r>
    </w:p>
    <w:bookmarkEnd w:id="20"/>
    <w:bookmarkStart w:id="21"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1"/>
    <w:bookmarkStart w:id="22"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2"/>
    <w:bookmarkStart w:id="23" w:name="methods-and-data"/>
    <w:p>
      <w:pPr>
        <w:pStyle w:val="Heading2"/>
      </w:pPr>
      <w:r>
        <w:t xml:space="preserve">2 Methods and data</w:t>
      </w:r>
    </w:p>
    <w:p>
      <w:pPr>
        <w:pStyle w:val="FirstParagraph"/>
      </w:pPr>
      <w:r>
        <w:rPr>
          <w:rStyle w:val="TeamNote"/>
        </w:rPr>
        <w:t xml:space="preserve">SAM: if you run Granta, this section’s Granta sentence changes too.</w:t>
      </w:r>
    </w:p>
    <w:p>
      <w:pPr>
        <w:pStyle w:val="BodyText"/>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 Granta EduPack Eco Audit cross-check was planned but not completed.</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3"/>
    <w:bookmarkStart w:id="24"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4"/>
    <w:bookmarkStart w:id="28" w:name="the-technology-and-the-initiative"/>
    <w:p>
      <w:pPr>
        <w:pStyle w:val="Heading2"/>
      </w:pPr>
      <w:r>
        <w:t xml:space="preserve">4 The technology and the initiative</w:t>
      </w:r>
    </w:p>
    <w:bookmarkStart w:id="25" w:name="technology-projects-and-patents"/>
    <w:p>
      <w:pPr>
        <w:pStyle w:val="Heading3"/>
      </w:pPr>
      <w:r>
        <w:t xml:space="preserve">4.1 Technology, projects and patents</w:t>
      </w:r>
    </w:p>
    <w:p>
      <w:pPr>
        <w:pStyle w:val="FirstParagraph"/>
      </w:pPr>
      <w:r>
        <w:rPr>
          <w:rStyle w:val="TeamNote"/>
        </w:rPr>
        <w:t xml:space="preserve">LEROY: we had no reply, so §4.1, §4.2, §5, §10 and Appendix E were drafted for you from your slides, script and web research. Please check, correct or replace them (about 1,250 words in total). Check especially: Table T2 project status and dates, the TRL ratings, and the patents (Google Patents could not be opened, so numbers and assignees come from search summaries).</w:t>
      </w:r>
    </w:p>
    <w:p>
      <w:pPr>
        <w:pStyle w:val="BodyText"/>
      </w:pPr>
      <w:r>
        <w:rPr>
          <w:bCs/>
          <w:b/>
        </w:rPr>
        <w:t xml:space="preserve">No light-water SMR is yet reported operating on land; the BWRX-300 is the Western design closest to doing so, and China’s ACP100 (Linglong One) was still in commissioning, with no criticality reported, in May 2026.</w:t>
      </w:r>
      <w:r>
        <w:t xml:space="preserve"> </w:t>
      </w:r>
      <w:r>
        <w:t xml:space="preserve">Table T2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T2.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rPr>
          <w:bCs/>
          <w:b/>
        </w:rPr>
        <w:t xml:space="preserve">Cost, not licensing, stopped NuScale.</w:t>
      </w:r>
      <w:r>
        <w:t xml:space="preserve"> </w:t>
      </w:r>
      <w:r>
        <w:t xml:space="preserve">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pPr>
      <w:r>
        <w:rPr>
          <w:bCs/>
          <w:b/>
        </w:rPr>
        <w:t xml:space="preserve">Patents.</w:t>
      </w:r>
      <w:r>
        <w:t xml:space="preserve"> </w:t>
      </w: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rPr>
          <w:bCs/>
          <w:b/>
        </w:rPr>
        <w:t xml:space="preserve">Australia’s earliest date is about 2040.</w:t>
      </w:r>
      <w:r>
        <w:t xml:space="preserve"> </w:t>
      </w:r>
      <w:r>
        <w:t xml:space="preserve">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(§8.1), assumed by 2029, and build a licensing regime, assumed to take three years: 2029 + 3 + 8 gives about 2040, matching first power at Liddell (§7).</w:t>
      </w:r>
    </w:p>
    <w:bookmarkEnd w:id="25"/>
    <w:bookmarkStart w:id="26" w:name="the-bwrx-300-at-darlington"/>
    <w:p>
      <w:pPr>
        <w:pStyle w:val="Heading3"/>
      </w:pPr>
      <w:r>
        <w:t xml:space="preserve">4.2 The BWRX-300 at Darlington</w:t>
      </w:r>
    </w:p>
    <w:p>
      <w:pPr>
        <w:pStyle w:val="FirstParagraph"/>
      </w:pPr>
      <w:r>
        <w:rPr>
          <w:rStyle w:val="TeamNote"/>
        </w:rPr>
        <w:t xml:space="preserve">LEROY: please check the BWRX-300 data: 300 vs 315 MWe net, capacity factor, 60-year life, fuel enrichment and cycle, passive cooling.</w:t>
      </w:r>
    </w:p>
    <w:p>
      <w:pPr>
        <w:pStyle w:val="BodyText"/>
      </w:pPr>
      <w:r>
        <w:rPr>
          <w:bCs/>
          <w:b/>
        </w:rPr>
        <w:t xml:space="preserve">The BWRX-300’s composite building is what C1 targets.</w:t>
      </w:r>
      <w:r>
        <w:t xml:space="preserve"> </w:t>
      </w:r>
      <w:r>
        <w:t xml:space="preserve">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rPr>
          <w:bCs/>
          <w:b/>
        </w:rPr>
        <w:t xml:space="preserve">The vendor’s concrete claim is hard to reconcile with Ostrołęka.</w:t>
      </w:r>
      <w:r>
        <w:t xml:space="preserve"> </w:t>
      </w:r>
      <w:r>
        <w:t xml:space="preserve">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(§4.3).</w:t>
      </w:r>
    </w:p>
    <w:bookmarkEnd w:id="26"/>
    <w:bookmarkStart w:id="27" w:name="X90098c7b12d1bfce5617586e418e3203c93a876"/>
    <w:p>
      <w:pPr>
        <w:pStyle w:val="Heading3"/>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is set by schedule, not by the concrete: under three weeks of delay to a unit cancels its saving (§7.1), so C1 is a qualification programme timed to Unit 1 mock-ups rather than a binder swap. Third, its lever is financial: the Units 2–4 equity tranche can carry the condition (§8.6).</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7"/>
    <w:bookmarkEnd w:id="28"/>
    <w:bookmarkStart w:id="29" w:name="materials-from-extraction-to-end-of-life"/>
    <w:p>
      <w:pPr>
        <w:pStyle w:val="Heading2"/>
      </w:pPr>
      <w:r>
        <w:t xml:space="preserve">5 Materials from extraction to end-of-life</w:t>
      </w:r>
    </w:p>
    <w:p>
      <w:pPr>
        <w:pStyle w:val="FirstParagraph"/>
      </w:pPr>
      <w:r>
        <w:rPr>
          <w:rStyle w:val="TeamNote"/>
        </w:rPr>
        <w:t xml:space="preserve">LEROY: please check this materials life cycle (extraction to end-of-life) against your notes; add sources you have.</w:t>
      </w:r>
    </w:p>
    <w:p>
      <w:pPr>
        <w:pStyle w:val="BodyText"/>
      </w:pPr>
      <w:r>
        <w:rPr>
          <w:bCs/>
          <w:b/>
        </w:rPr>
        <w:t xml:space="preserve">For C1, the binder’s carbon arises in the kiln, but its risks arise in the pour and at decommissioning.</w:t>
      </w:r>
      <w:r>
        <w:t xml:space="preserve"> </w:t>
      </w:r>
      <w:r>
        <w:t xml:space="preserve">Stages follow §6’s boundary; operation, decommissioning and waste use published per-kWh values (§6.1).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(§10)</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p>
      <w:pPr>
        <w:pStyle w:val="BodyText"/>
      </w:pPr>
      <w:r>
        <w:rPr>
          <w:bCs/>
          <w:b/>
        </w:rPr>
        <w:t xml:space="preserve">Steel.</w:t>
      </w:r>
      <w:r>
        <w:t xml:space="preserve"> </w:t>
      </w: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 US Nuclear Regulatory Commission, 1988).</w:t>
      </w:r>
    </w:p>
    <w:p>
      <w:pPr>
        <w:pStyle w:val="BodyText"/>
      </w:pPr>
      <w:r>
        <w:rPr>
          <w:bCs/>
          <w:b/>
        </w:rPr>
        <w:t xml:space="preserve">End of life.</w:t>
      </w:r>
      <w:r>
        <w:t xml:space="preserve"> </w:t>
      </w: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(§10).</w:t>
      </w:r>
    </w:p>
    <w:bookmarkEnd w:id="29"/>
    <w:bookmarkStart w:id="50" w:name="life-cycle-assessment-and-eco-audit"/>
    <w:p>
      <w:pPr>
        <w:pStyle w:val="Heading2"/>
      </w:pPr>
      <w:r>
        <w:t xml:space="preserve">6 Life-cycle assessment and eco-audit</w:t>
      </w:r>
    </w:p>
    <w:p>
      <w:pPr>
        <w:pStyle w:val="FirstParagraph"/>
      </w:pPr>
      <w:r>
        <w:rPr>
          <w:rStyle w:val="TeamNote"/>
        </w:rPr>
        <w:t xml:space="preserve">SAM: §6 and Appendices A and C were re-based on the deck’s numbers without you (Ostrołęka 50,000 m³ concrete and 14,000 t steel; Pillai 380 vs 270 kg CO₂e/m³; 20/40/60% eligible). Please (1) run the Granta EduPack Eco Audit on one BWRX-300: concrete 120,000 t (50,000 m³ × 2.4 t/m³) and steel 14,000 t (Ostrołęka PIS, Table 14), with a second run where 40% of the concrete (20,000 m³) is LC³ at 270 instead of 380 kg CO₂e/m³ (Pillai et al., 2019). Send the CO₂ footprint and energy per life stage (screenshot or export); the report currently says Granta was not run; (2) confirm the Ostrołęka Table 14 p. 83 and Pillai Table 2 values, and the Ostrołęka URL; (3) check the numbers and figures F1–F5.</w:t>
      </w:r>
    </w:p>
    <w:p>
      <w:pPr>
        <w:pStyle w:val="BodyText"/>
      </w:pPr>
      <w:r>
        <w:t xml:space="preserve">One BWRX-300 at Darlington emits an estimated</w:t>
      </w:r>
      <w:r>
        <w:t xml:space="preserve"> </w:t>
      </w:r>
      <w:r>
        <w:rPr>
          <w:bCs/>
          <w:b/>
        </w:rPr>
        <w:t xml:space="preserve">4.4 g CO₂e per kWh (Monte Carlo median; 90% interval 3.2–6.1; 3.5 if conversion heat takes its central published value)</w:t>
      </w:r>
      <w:r>
        <w:t xml:space="preserve">, below UNECE’s 5.1–6.4 g/kWh for nuclear power. The fuel front end contributes 62% and construction 11.5%. The initiative, C1 (§4.3), puts limestone calcined clay cement (LC³) in 20–60% of the concrete. It saves</w:t>
      </w:r>
      <w:r>
        <w:t xml:space="preserve"> </w:t>
      </w:r>
      <w:r>
        <w:rPr>
          <w:bCs/>
          <w:b/>
        </w:rPr>
        <w:t xml:space="preserve">2,200 t CO₂e per unit (1,100–3,300 t), about 0.36% of the life cycle</w:t>
      </w:r>
      <w:r>
        <w:t xml:space="preserve">: real but small, so worth adopting only if schedule-neutral (§6.3).</w:t>
      </w:r>
    </w:p>
    <w:bookmarkStart w:id="33"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numPr>
          <w:ilvl w:val="0"/>
          <w:numId w:val="1005"/>
        </w:numPr>
        <w:pStyle w:val="Compact"/>
      </w:pPr>
      <w:r>
        <w:rPr>
          <w:bCs/>
          <w:b/>
        </w:rPr>
        <w:t xml:space="preserve">Functional unit:</w:t>
      </w:r>
      <w:r>
        <w:t xml:space="preserve"> </w:t>
      </w:r>
      <w:r>
        <w:t xml:space="preserve">1 MWh of net electricity at the grid connection (g CO₂e/kWh equals kg CO₂e/MWh); transmission is outside. One unit delivers 300 MWe × 8,760 h × 0.90 × 60 years =</w:t>
      </w:r>
      <w:r>
        <w:t xml:space="preserve"> </w:t>
      </w:r>
      <w:r>
        <w:rPr>
          <w:bCs/>
          <w:b/>
        </w:rPr>
        <w:t xml:space="preserve">1.419 × 10⁸ MWh</w:t>
      </w:r>
      <w:r>
        <w:t xml:space="preserve"> </w:t>
      </w:r>
      <w:r>
        <w:t xml:space="preserve">(Appendix A2).</w:t>
      </w:r>
    </w:p>
    <w:p>
      <w:pPr>
        <w:numPr>
          <w:ilvl w:val="0"/>
          <w:numId w:val="1005"/>
        </w:numPr>
        <w:pStyle w:val="Compact"/>
      </w:pPr>
      <w:r>
        <w:rPr>
          <w:bCs/>
          <w:b/>
        </w:rPr>
        <w:t xml:space="preserve">Boundary (Figure F1):</w:t>
      </w:r>
      <w:r>
        <w:t xml:space="preserve"> </w:t>
      </w:r>
      <w:r>
        <w:t xml:space="preserve">cradle to grave. Construction materials and the fuel front end (mining and milling, conversion, enrichment, fabrication) are modelled from published factors; operation and maintenance (O&amp;M), decommissioning and the back end are per-kWh values from EDF’s French-fleet study (EDF R&amp;D, 2024).</w:t>
      </w:r>
    </w:p>
    <w:p>
      <w:pPr>
        <w:numPr>
          <w:ilvl w:val="0"/>
          <w:numId w:val="1005"/>
        </w:numPr>
        <w:pStyle w:val="Compact"/>
      </w:pPr>
      <w:r>
        <w:rPr>
          <w:bCs/>
          <w:b/>
        </w:rPr>
        <w:t xml:space="preserve">Baseline (S0):</w:t>
      </w:r>
      <w:r>
        <w:t xml:space="preserve"> </w:t>
      </w:r>
      <w:r>
        <w:t xml:space="preserve">the concrete OPG would pour anyway, at 380 kg CO₂e/m³ (Pillai et al., 2019, as reported; Indian M50 mixes). We have not seen OPG’s mix or any cement-type limit in the specification (GE-Hitachi Nuclear Energy, 2024).</w:t>
      </w:r>
    </w:p>
    <w:p>
      <w:pPr>
        <w:numPr>
          <w:ilvl w:val="0"/>
          <w:numId w:val="1005"/>
        </w:numPr>
        <w:pStyle w:val="Compact"/>
      </w:pPr>
      <w:r>
        <w:rPr>
          <w:bCs/>
          <w:b/>
        </w:rPr>
        <w:t xml:space="preserve">Cut-offs:</w:t>
      </w:r>
      <w:r>
        <w:t xml:space="preserve"> </w:t>
      </w:r>
      <w:r>
        <w:t xml:space="preserve">fuel cladding and hardware, conversion chemicals, upstream gas, fuel-plant capital goods and recycling credits; each biases the result low (§6.5). Impact category: climate change, GWP100.</w:t>
      </w:r>
    </w:p>
    <w:p>
      <w:pPr>
        <w:pStyle w:val="FirstParagraph"/>
      </w:pPr>
      <w:r>
        <w:rPr>
          <w:bCs/>
          <w:b/>
        </w:rPr>
        <w:t xml:space="preserve">Method and inventory.</w:t>
      </w:r>
      <w:r>
        <w:t xml:space="preserve"> </w:t>
      </w:r>
      <w:r>
        <w:t xml:space="preserve">A reproducible Python model multiplies quantities by published emission factors (Appendices A and C). Plant quantities come from the Ostrołęka project information sheet (BWRX-300 Ostrołęka sp. z o.o., 2023, as reported in the project information sheet):</w:t>
      </w:r>
      <w:r>
        <w:t xml:space="preserve"> </w:t>
      </w:r>
      <w:r>
        <w:rPr>
          <w:bCs/>
          <w:b/>
        </w:rPr>
        <w:t xml:space="preserve">50,000 m³ of concrete and 14,000 t of steel per unit</w:t>
      </w:r>
      <w:r>
        <w:t xml:space="preserve">.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w:t>
      </w:r>
      <w:r>
        <w:t xml:space="preserve"> </w:t>
      </w:r>
      <w:r>
        <w:rPr>
          <w:bCs/>
          <w:b/>
        </w:rPr>
        <w:t xml:space="preserve">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31" name="Picture"/>
            <a:graphic>
              <a:graphicData uri="http://schemas.openxmlformats.org/drawingml/2006/picture">
                <pic:pic>
                  <pic:nvPicPr>
                    <pic:cNvPr descr="/home/user/MTE4593-Group-Assignment/03_LCA_Calculations/results/F1_system_boundary.png" id="32" name="Picture"/>
                    <pic:cNvPicPr>
                      <a:picLocks noChangeArrowheads="1" noChangeAspect="1"/>
                    </pic:cNvPicPr>
                  </pic:nvPicPr>
                  <pic:blipFill>
                    <a:blip r:embed="rId30"/>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33"/>
    <w:bookmarkStart w:id="37" w:name="baseline-and-hotspots"/>
    <w:p>
      <w:pPr>
        <w:pStyle w:val="Heading3"/>
      </w:pPr>
      <w:r>
        <w:t xml:space="preserve">6.2 Baseline and hotspots</w:t>
      </w:r>
    </w:p>
    <w:p>
      <w:pPr>
        <w:pStyle w:val="FirstParagraph"/>
      </w:pPr>
      <w:r>
        <w:rPr>
          <w:bCs/>
          <w:b/>
        </w:rPr>
        <w:t xml:space="preserve">One unit emits 4.40 g/kWh (median; 90% interval 3.24–6.05).</w:t>
      </w:r>
      <w:r>
        <w:t xml:space="preserve"> </w:t>
      </w:r>
      <w:r>
        <w:t xml:space="preserve">With every input at its most likely value (the</w:t>
      </w:r>
      <w:r>
        <w:t xml:space="preserve"> </w:t>
      </w:r>
      <w:r>
        <w:t xml:space="preserve">“</w:t>
      </w:r>
      <w:r>
        <w:t xml:space="preserve">mode case</w:t>
      </w:r>
      <w:r>
        <w:t xml:space="preserve">”</w:t>
      </w:r>
      <w:r>
        <w:t xml:space="preserve">) it is 2.86; §6.4 explains the gap. On the expected basis (Figure F2):</w:t>
      </w:r>
    </w:p>
    <w:p>
      <w:pPr>
        <w:numPr>
          <w:ilvl w:val="0"/>
          <w:numId w:val="1006"/>
        </w:numPr>
        <w:pStyle w:val="Compact"/>
      </w:pPr>
      <w:r>
        <w:rPr>
          <w:bCs/>
          <w:b/>
        </w:rPr>
        <w:t xml:space="preserve">Mining and milling: 1.26 g/kWh (28%),</w:t>
      </w:r>
      <w:r>
        <w:t xml:space="preserve"> </w:t>
      </w:r>
      <w:r>
        <w:t xml:space="preserve">low because Saskatchewan ores are high-grade (Parker, McNaughton and Sparrow, 2016).</w:t>
      </w:r>
    </w:p>
    <w:p>
      <w:pPr>
        <w:numPr>
          <w:ilvl w:val="0"/>
          <w:numId w:val="1006"/>
        </w:numPr>
        <w:pStyle w:val="Compact"/>
      </w:pPr>
      <w:r>
        <w:rPr>
          <w:bCs/>
          <w:b/>
        </w:rPr>
        <w:t xml:space="preserve">Conversion: 1.10 g/kWh (25%),</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w:t>
      </w:r>
    </w:p>
    <w:p>
      <w:pPr>
        <w:numPr>
          <w:ilvl w:val="0"/>
          <w:numId w:val="1006"/>
        </w:numPr>
        <w:pStyle w:val="Compact"/>
      </w:pPr>
      <w:r>
        <w:rPr>
          <w:bCs/>
          <w:b/>
        </w:rPr>
        <w:t xml:space="preserve">Back end: 0.65 g/kWh (15%),</w:t>
      </w:r>
      <w:r>
        <w:t xml:space="preserve"> </w:t>
      </w:r>
      <w:r>
        <w:t xml:space="preserve">transferred from France, which reprocesses; Canada plans direct disposal (Nuclear Waste Management Organization, 2024a), so this may be high.</w:t>
      </w:r>
    </w:p>
    <w:p>
      <w:pPr>
        <w:pStyle w:val="FirstParagraph"/>
      </w:pPr>
      <w:r>
        <w:t xml:space="preserve">The back end and decommissioning add 18%, O&amp;M 9% and</w:t>
      </w:r>
      <w:r>
        <w:t xml:space="preserve"> </w:t>
      </w:r>
      <w:r>
        <w:rPr>
          <w:bCs/>
          <w:b/>
        </w:rPr>
        <w:t xml:space="preserve">construction 11.5%</w:t>
      </w:r>
      <w:r>
        <w:t xml:space="preserve"> </w:t>
      </w:r>
      <w:r>
        <w:t xml:space="preserve">(0.52 g/kWh; 7.2–17.8% across draws). The C1-eligible concrete is only 1.9% of the mode-case total, so</w:t>
      </w:r>
      <w:r>
        <w:t xml:space="preserve"> </w:t>
      </w:r>
      <w:r>
        <w:rPr>
          <w:bCs/>
          <w:b/>
        </w:rPr>
        <w:t xml:space="preserve">C1 acts on about one-fiftieth of the footprint</w:t>
      </w:r>
      <w:r>
        <w:t xml:space="preserve">.</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35" name="Picture"/>
            <a:graphic>
              <a:graphicData uri="http://schemas.openxmlformats.org/drawingml/2006/picture">
                <pic:pic>
                  <pic:nvPicPr>
                    <pic:cNvPr descr="/home/user/MTE4593-Group-Assignment/03_LCA_Calculations/results/F2_stage_breakdown.png" id="36" name="Picture"/>
                    <pic:cNvPicPr>
                      <a:picLocks noChangeArrowheads="1" noChangeAspect="1"/>
                    </pic:cNvPicPr>
                  </pic:nvPicPr>
                  <pic:blipFill>
                    <a:blip r:embed="rId34"/>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37"/>
    <w:bookmarkStart w:id="38" w:name="the-initiative-against-the-baseline"/>
    <w:p>
      <w:pPr>
        <w:pStyle w:val="Heading3"/>
      </w:pPr>
      <w:r>
        <w:t xml:space="preserve">6.3 The initiative against the baseline</w:t>
      </w:r>
    </w:p>
    <w:p>
      <w:pPr>
        <w:pStyle w:val="FirstParagraph"/>
      </w:pPr>
      <w:r>
        <w:rPr>
          <w:bCs/>
          <w:b/>
        </w:rPr>
        <w:t xml:space="preserve">C1 is low-clinker concrete: LC³ on eligible non-safety works first and on the steel-composite infill only if qualified, a slag blend as the fallback, specified only if schedule-neutral (§4.3).</w:t>
      </w:r>
      <w:r>
        <w:t xml:space="preserve"> </w:t>
      </w:r>
      <w:r>
        <w:t xml:space="preserve">Pillai et al. (2019, as reported) give 380 kg CO₂e/m³ for ordinary concrete and 270 for LC³, a cut of 110 kg/m³ (28.9%). The eligible share is our scenario, not data, and drives the result. At 20, 40 and 60% of 50,000 m³, C1 saves</w:t>
      </w:r>
      <w:r>
        <w:t xml:space="preserve"> </w:t>
      </w:r>
      <w:r>
        <w:rPr>
          <w:bCs/>
          <w:b/>
        </w:rPr>
        <w:t xml:space="preserve">1,100, 2,200 and 3,300 t per unit, or 0.18, 0.36 and 0.54% of its life cycle</w:t>
      </w:r>
      <w:r>
        <w:t xml:space="preserve"> </w:t>
      </w:r>
      <w:r>
        <w:t xml:space="preserve">(Table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Four findings follow, each with a consequence for the initiative.</w:t>
      </w:r>
      <w:r>
        <w:t xml:space="preserve"> </w:t>
      </w:r>
      <w:r>
        <w:t xml:space="preserve">1.</w:t>
      </w:r>
      <w:r>
        <w:t xml:space="preserve"> </w:t>
      </w:r>
      <w:r>
        <w:rPr>
          <w:bCs/>
          <w:b/>
        </w:rPr>
        <w:t xml:space="preserve">The saving is small at plant scale.</w:t>
      </w:r>
      <w:r>
        <w:t xml:space="preserve"> </w:t>
      </w:r>
      <w:r>
        <w:t xml:space="preserve">It is about 0.016 g/kWh, so C1 does not change the plant’s climate case. It still exceeds the swing from the LC³ cut (1,672–2,964 t), the largest input other than eligibility. Its economic value is in §8.2.</w:t>
      </w:r>
      <w:r>
        <w:t xml:space="preserve"> </w:t>
      </w:r>
      <w:r>
        <w:t xml:space="preserve">2.</w:t>
      </w:r>
      <w:r>
        <w:t xml:space="preserve"> </w:t>
      </w:r>
      <w:r>
        <w:rPr>
          <w:bCs/>
          <w:b/>
        </w:rPr>
        <w:t xml:space="preserve">Slag is about as good as LC³, so the carbon case is for low-clinker concrete, not LC³ in particular.</w:t>
      </w:r>
      <w:r>
        <w:t xml:space="preserve"> </w:t>
      </w:r>
      <w:r>
        <w:t xml:space="preserve">LC³ beats slag in only 55% of draws (median difference +54 t; 90% interval −588 to +766). If OPG’s baseline already contains slag, LC³’s gain is about −90 t, within noise. The specification should accept whichever binder qualifies first (§8.1).3.</w:t>
      </w:r>
      <w:r>
        <w:t xml:space="preserve"> </w:t>
      </w:r>
      <w:r>
        <w:rPr>
          <w:bCs/>
          <w:b/>
        </w:rPr>
        <w:t xml:space="preserve">Lower-carbon steel is the larger lever but is not part of C1.</w:t>
      </w:r>
      <w:r>
        <w:t xml:space="preserve"> </w:t>
      </w:r>
      <w:r>
        <w:t xml:space="preserve">Steel in the structures C1 targets saves only 566 t per unit (Appendix A7). All 14,000 t at best-practice electric-arc-furnace factors would save up to 3,915 t (1.8 times LC³), but this is an upper bound, not shown feasible for forgings and nuclear-grade plate. It is the next lever (§10).</w:t>
      </w:r>
      <w:r>
        <w:t xml:space="preserve"> </w:t>
      </w:r>
      <w:r>
        <w:t xml:space="preserve">4.</w:t>
      </w:r>
      <w:r>
        <w:t xml:space="preserve"> </w:t>
      </w:r>
      <w:r>
        <w:rPr>
          <w:bCs/>
          <w:b/>
        </w:rPr>
        <w:t xml:space="preserve">Schedule dominates.</w:t>
      </w:r>
      <w:r>
        <w:t xml:space="preserve"> </w:t>
      </w:r>
      <w:r>
        <w:t xml:space="preserve">A delay of</w:t>
      </w:r>
      <w:r>
        <w:t xml:space="preserve"> </w:t>
      </w:r>
      <w:r>
        <w:rPr>
          <w:bCs/>
          <w:b/>
        </w:rPr>
        <w:t xml:space="preserve">11.6–18.5 days</w:t>
      </w:r>
      <w:r>
        <w:t xml:space="preserve"> </w:t>
      </w:r>
      <w:r>
        <w:t xml:space="preserve">to one unit on Ontario’s average grid factor, or</w:t>
      </w:r>
      <w:r>
        <w:t xml:space="preserve"> </w:t>
      </w:r>
      <w:r>
        <w:rPr>
          <w:bCs/>
          <w:b/>
        </w:rPr>
        <w:t xml:space="preserve">1.7–1.8 days</w:t>
      </w:r>
      <w:r>
        <w:t xml:space="preserve"> </w:t>
      </w:r>
      <w:r>
        <w:t xml:space="preserve">on the marginal factor, cancels its saving (§7.1; Appendix B5). C1 is therefore specified only if schedule-neutral (§8.6).</w:t>
      </w:r>
    </w:p>
    <w:p>
      <w:pPr>
        <w:pStyle w:val="BodyText"/>
      </w:pPr>
      <w:r>
        <w:t xml:space="preserve">For the triple-bottom-line evaluation (§9), C1 is environmentally positive but marginal; feasibility hinges on qualification and schedule.</w:t>
      </w:r>
    </w:p>
    <w:bookmarkEnd w:id="38"/>
    <w:bookmarkStart w:id="45" w:name="uncertainty-tornado-and-monte-carlo"/>
    <w:p>
      <w:pPr>
        <w:pStyle w:val="Heading3"/>
      </w:pPr>
      <w:r>
        <w:t xml:space="preserve">6.4 Uncertainty: tornado and Monte Carlo</w:t>
      </w:r>
    </w:p>
    <w:p>
      <w:pPr>
        <w:pStyle w:val="FirstParagraph"/>
      </w:pPr>
      <w:r>
        <w:t xml:space="preserve">The tornado varies 45 inputs one at a time; the Monte Carlo varies them together, 20,000 times (Appendix C).</w:t>
      </w:r>
    </w:p>
    <w:p>
      <w:pPr>
        <w:pStyle w:val="BodyText"/>
      </w:pPr>
      <w:r>
        <w:rPr>
          <w:bCs/>
          <w:b/>
        </w:rPr>
        <w:t xml:space="preserve">The total depends on the fuel inputs, not the concrete (Figure F3).</w:t>
      </w:r>
      <w:r>
        <w:t xml:space="preserve"> </w:t>
      </w:r>
      <w:r>
        <w:t xml:space="preserve">The largest swings are conversion heat (2.86 → 5.53 g/kWh), the mining factor (2.43 → 3.82) and the back end (2.58 → 3.41). No concrete input moves the total by more than 0.06 g/kWh.</w:t>
      </w:r>
      <w:r>
        <w:t xml:space="preserve"> </w:t>
      </w:r>
      <w:r>
        <w:rPr>
          <w:bCs/>
          <w:b/>
        </w:rPr>
        <w:t xml:space="preserve">The saving depends on four inputs:</w:t>
      </w:r>
      <w:r>
        <w:t xml:space="preserve"> </w:t>
      </w:r>
      <w:r>
        <w:t xml:space="preserve">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40" name="Picture"/>
            <a:graphic>
              <a:graphicData uri="http://schemas.openxmlformats.org/drawingml/2006/picture">
                <pic:pic>
                  <pic:nvPicPr>
                    <pic:cNvPr descr="/home/user/MTE4593-Group-Assignment/03_LCA_Calculations/results/F3_tornado.png" id="41" name="Picture"/>
                    <pic:cNvPicPr>
                      <a:picLocks noChangeArrowheads="1" noChangeAspect="1"/>
                    </pic:cNvPicPr>
                  </pic:nvPicPr>
                  <pic:blipFill>
                    <a:blip r:embed="rId39"/>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rPr>
          <w:bCs/>
          <w:b/>
        </w:rPr>
        <w:t xml:space="preserve">Monte Carlo (Figure F4): why we report 4.4, not 2.9.</w:t>
      </w:r>
      <w:r>
        <w:t xml:space="preserve"> </w:t>
      </w:r>
      <w:r>
        <w:t xml:space="preserve">Several inputs can mostly only rise: conversion heat is most likely 26 kWh/kg U but could be 665, which alone adds about 1.0 g/kWh to the mean (Appendix C5). We therefore quote the median.</w:t>
      </w:r>
      <w:r>
        <w:t xml:space="preserve"> </w:t>
      </w:r>
      <w:r>
        <w:rPr>
          <w:bCs/>
          <w:b/>
        </w:rPr>
        <w:t xml:space="preserve">The headline depends on how conversion heat is distributed:</w:t>
      </w:r>
      <w:r>
        <w:t xml:space="preserve"> </w:t>
      </w:r>
      <w:r>
        <w:t xml:space="preserve">fixed at Gibon and Hahn Menacho’s (2023) central 26 kWh/kg U, the median is 3.51 g/kWh (2.80–4.39); log-uniform over 26–665, 4.11 (3.06–6.12). We quote the</w:t>
      </w:r>
      <w:r>
        <w:t xml:space="preserve"> </w:t>
      </w:r>
      <w:r>
        <w:rPr>
          <w:bCs/>
          <w:b/>
        </w:rPr>
        <w:t xml:space="preserve">range of medians, 3.51–4.40</w:t>
      </w:r>
      <w:r>
        <w:t xml:space="preserve">.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43" name="Picture"/>
            <a:graphic>
              <a:graphicData uri="http://schemas.openxmlformats.org/drawingml/2006/picture">
                <pic:pic>
                  <pic:nvPicPr>
                    <pic:cNvPr descr="/home/user/MTE4593-Group-Assignment/03_LCA_Calculations/results/F4_montecarlo.png" id="44" name="Picture"/>
                    <pic:cNvPicPr>
                      <a:picLocks noChangeArrowheads="1" noChangeAspect="1"/>
                    </pic:cNvPicPr>
                  </pic:nvPicPr>
                  <pic:blipFill>
                    <a:blip r:embed="rId42"/>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45"/>
    <w:bookmarkStart w:id="49" w:name="comparison-with-published-values"/>
    <w:p>
      <w:pPr>
        <w:pStyle w:val="Heading3"/>
      </w:pPr>
      <w:r>
        <w:t xml:space="preserve">6.5 Comparison with published values</w:t>
      </w:r>
    </w:p>
    <w:p>
      <w:pPr>
        <w:pStyle w:val="FirstParagraph"/>
      </w:pPr>
      <w:r>
        <w:rPr>
          <w:bCs/>
          <w:b/>
        </w:rPr>
        <w:t xml:space="preserve">Our median (3.5–4.4 across conversion-heat assumptions) is below UNECE’s 5.1–6.4 g/kWh (United Nations Economic Commission for Europe, 2021), though our 90% interval overlaps it, and sits at the low end of the wider literature for reasons we can identify (Figure F5).</w:t>
      </w:r>
      <w:r>
        <w:t xml:space="preserve"> </w:t>
      </w:r>
      <w:r>
        <w:t xml:space="preserve">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rPr>
          <w:bCs/>
          <w:b/>
        </w:rPr>
        <w:t xml:space="preserve">Three reasons explain most of the gap</w:t>
      </w:r>
      <w:r>
        <w:t xml:space="preserve"> </w:t>
      </w:r>
      <w:r>
        <w:t xml:space="preserve">(sizes in Appendix C7):</w:t>
      </w:r>
      <w:r>
        <w:t xml:space="preserve"> </w:t>
      </w:r>
      <w:r>
        <w:t xml:space="preserve">1.</w:t>
      </w:r>
      <w:r>
        <w:t xml:space="preserve"> </w:t>
      </w:r>
      <w:r>
        <w:rPr>
          <w:bCs/>
          <w:b/>
        </w:rPr>
        <w:t xml:space="preserve">Ore grade:</w:t>
      </w:r>
      <w:r>
        <w:t xml:space="preserve"> </w:t>
      </w:r>
      <w:r>
        <w:t xml:space="preserve">our mining is 1.0–1.3 g/kWh, against about 2.8 at global-average grades (Gibon and Hahn Menacho, 2023).</w:t>
      </w:r>
      <w:r>
        <w:t xml:space="preserve"> </w:t>
      </w:r>
      <w:r>
        <w:t xml:space="preserve">2.</w:t>
      </w:r>
      <w:r>
        <w:t xml:space="preserve"> </w:t>
      </w:r>
      <w:r>
        <w:rPr>
          <w:bCs/>
          <w:b/>
        </w:rPr>
        <w:t xml:space="preserve">Enrichment:</w:t>
      </w:r>
      <w:r>
        <w:t xml:space="preserve"> </w:t>
      </w:r>
      <w:r>
        <w:t xml:space="preserve">centrifuges at 50 kWh per separative work unit, against about 2,500 for the diffusion plants in older study sets.</w:t>
      </w:r>
      <w:r>
        <w:t xml:space="preserve"> </w:t>
      </w:r>
      <w:r>
        <w:t xml:space="preserve">3.</w:t>
      </w:r>
      <w:r>
        <w:t xml:space="preserve"> </w:t>
      </w:r>
      <w:r>
        <w:rPr>
          <w:bCs/>
          <w:b/>
        </w:rPr>
        <w:t xml:space="preserve">Cut-offs and long life:</w:t>
      </w:r>
      <w:r>
        <w:t xml:space="preserve"> </w:t>
      </w:r>
      <w:r>
        <w:t xml:space="preserve">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§6.3.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47" name="Picture"/>
            <a:graphic>
              <a:graphicData uri="http://schemas.openxmlformats.org/drawingml/2006/picture">
                <pic:pic>
                  <pic:nvPicPr>
                    <pic:cNvPr descr="/home/user/MTE4593-Group-Assignment/03_LCA_Calculations/results/F5_benchmarks.png" id="48" name="Picture"/>
                    <pic:cNvPicPr>
                      <a:picLocks noChangeArrowheads="1" noChangeAspect="1"/>
                    </pic:cNvPicPr>
                  </pic:nvPicPr>
                  <pic:blipFill>
                    <a:blip r:embed="rId46"/>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49"/>
    <w:bookmarkEnd w:id="50"/>
    <w:bookmarkStart w:id="60"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alone, 29–175 times the carbon value of C1’s whole saving, and defers about C$88 m of output.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51"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51"/>
    <w:bookmarkStart w:id="55"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(§1).</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3" name="Picture"/>
            <a:graphic>
              <a:graphicData uri="http://schemas.openxmlformats.org/drawingml/2006/picture">
                <pic:pic>
                  <pic:nvPicPr>
                    <pic:cNvPr descr="/home/user/MTE4593-Group-Assignment/03_LCA_Calculations/results/F6_displacement.png" id="54" name="Picture"/>
                    <pic:cNvPicPr>
                      <a:picLocks noChangeArrowheads="1" noChangeAspect="1"/>
                    </pic:cNvPicPr>
                  </pic:nvPicPr>
                  <pic:blipFill>
                    <a:blip r:embed="rId52"/>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5"/>
    <w:bookmarkStart w:id="59"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7" name="Picture"/>
            <a:graphic>
              <a:graphicData uri="http://schemas.openxmlformats.org/drawingml/2006/picture">
                <pic:pic>
                  <pic:nvPicPr>
                    <pic:cNvPr descr="/home/user/MTE4593-Group-Assignment/03_LCA_Calculations/results/F7_same_money.png" id="58" name="Picture"/>
                    <pic:cNvPicPr>
                      <a:picLocks noChangeArrowheads="1" noChangeAspect="1"/>
                    </pic:cNvPicPr>
                  </pic:nvPicPr>
                  <pic:blipFill>
                    <a:blip r:embed="rId56"/>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9"/>
    <w:bookmarkEnd w:id="60"/>
    <w:bookmarkStart w:id="70" w:name="Xabf1823ab98fa71e358698492c3b3ca10e02619"/>
    <w:p>
      <w:pPr>
        <w:pStyle w:val="Heading2"/>
      </w:pPr>
      <w:r>
        <w:t xml:space="preserve">8 Non-technical factors affecting translation to practice</w:t>
      </w:r>
    </w:p>
    <w:bookmarkStart w:id="61"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licence to construct covers one unit, so Units 2–4 need a further CNSC authorisation, with C1 reviewed inside it (our inference). The cement standard already allows calcined-clay blends with up to 15% limestone (CSA Group, 2023; Hooton, 2023). The infill, though, is governed by GE-Hitachi’s topical report NEDO-33926 (self-consolidating concrete, strength per draft AISC N690, not CSA N287),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(our inference)</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61"/>
    <w:bookmarkStart w:id="62"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62"/>
    <w:bookmarkStart w:id="63"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Contracts with allied enrichers, as OPG uses, cut a buyer’s exposure but not concentration (§8.6).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3"/>
    <w:bookmarkStart w:id="64"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4"/>
    <w:bookmarkStart w:id="68"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8.1–8.4. Source: this study, Appendix B8.2." title="" id="66" name="Picture"/>
            <a:graphic>
              <a:graphicData uri="http://schemas.openxmlformats.org/drawingml/2006/picture">
                <pic:pic>
                  <pic:nvPicPr>
                    <pic:cNvPr descr="/home/user/MTE4593-Group-Assignment/03_LCA_Calculations/results/F8_stakeholder_map.png" id="67" name="Picture"/>
                    <pic:cNvPicPr>
                      <a:picLocks noChangeArrowheads="1" noChangeAspect="1"/>
                    </pic:cNvPicPr>
                  </pic:nvPicPr>
                  <pic:blipFill>
                    <a:blip r:embed="rId65"/>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8"/>
    <w:bookmarkStart w:id="69" w:name="implementation-pathway"/>
    <w:p>
      <w:pPr>
        <w:pStyle w:val="Heading3"/>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9"/>
    <w:bookmarkEnd w:id="70"/>
    <w:bookmarkStart w:id="74"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0.36%, and no predefined weight set, input test or ±50% weight test puts an SMR first.</w:t>
      </w:r>
    </w:p>
    <w:bookmarkStart w:id="71"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0.36%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A first unit would need Commonwealth ownership or underwriting (our inference, §8.2).</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71"/>
    <w:bookmarkStart w:id="72"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72"/>
    <w:bookmarkStart w:id="73"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3"/>
    <w:bookmarkEnd w:id="74"/>
    <w:bookmarkStart w:id="75" w:name="future-material-properties-and-processes"/>
    <w:p>
      <w:pPr>
        <w:pStyle w:val="Heading2"/>
      </w:pPr>
      <w:r>
        <w:t xml:space="preserve">10 Future material properties and processes</w:t>
      </w:r>
    </w:p>
    <w:p>
      <w:pPr>
        <w:pStyle w:val="FirstParagraph"/>
      </w:pPr>
      <w:r>
        <w:rPr>
          <w:rStyle w:val="TeamNote"/>
        </w:rPr>
        <w:t xml:space="preserve">LEROY: please check the future-materials needs and add anything from your research.</w:t>
      </w:r>
    </w:p>
    <w:p>
      <w:pPr>
        <w:pStyle w:val="BodyText"/>
      </w:pPr>
      <w:r>
        <w:rPr>
          <w:bCs/>
          <w:b/>
        </w:rPr>
        <w:t xml:space="preserve">C1 and the levers beyond it each depend on a property or process still to be proven (Table T15).</w:t>
      </w:r>
    </w:p>
    <w:p>
      <w:pPr>
        <w:pStyle w:val="BodyText"/>
      </w:pPr>
      <w:r>
        <w:rPr>
          <w:iCs/>
          <w:i/>
        </w:rPr>
        <w:t xml:space="preserve">Table T15.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(§8.3);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75"/>
    <w:bookmarkStart w:id="76"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§4.3), about 0.36%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Darlington Unit 1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Law (three bans), cost (C$149–198/MWh) and time (2040 at the earliest) decide; firmed renewables rank first under all four weight sets (80 against 30 with equal weights).</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29–175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0.36%.</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6"/>
    <w:bookmarkStart w:id="79"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[pdf] Table 14, p. 83. Available at: https://am.lrv.lt/media/viesa/saugykla/2024/2/oHCKCUp7Lrs.pdf</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77"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7"/>
    <w:bookmarkStart w:id="78"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78"/>
    <w:bookmarkEnd w:id="79"/>
    <w:bookmarkStart w:id="80" w:name="declaration-of-generative-ai-use"/>
    <w:p>
      <w:pPr>
        <w:pStyle w:val="Heading2"/>
      </w:pPr>
      <w:r>
        <w:t xml:space="preserve">Declaration of generative AI use</w:t>
      </w:r>
    </w:p>
    <w:p>
      <w:pPr>
        <w:pStyle w:val="FirstParagraph"/>
      </w:pPr>
      <w:r>
        <w:rPr>
          <w:rStyle w:val="TeamNote"/>
        </w:rPr>
        <w:t xml:space="preserve">TEAM: agree the AI-use declaration wording and add it here.</w:t>
      </w:r>
    </w:p>
    <w:p>
      <w:r>
        <w:br w:type="page"/>
      </w:r>
    </w:p>
    <w:bookmarkEnd w:id="80"/>
    <w:bookmarkStart w:id="147" w:name="appendices"/>
    <w:p>
      <w:pPr>
        <w:pStyle w:val="Heading1"/>
      </w:pPr>
      <w:r>
        <w:t xml:space="preserve">Appendices</w:t>
      </w:r>
    </w:p>
    <w:bookmarkStart w:id="90" w:name="Xddcc31d2d3503f687b8b233cd4a745104a63a5c"/>
    <w:p>
      <w:pPr>
        <w:pStyle w:val="Heading2"/>
      </w:pPr>
      <w:r>
        <w:t xml:space="preserve">Appendix A. LCA inventory and calculations</w:t>
      </w:r>
    </w:p>
    <w:p>
      <w:pPr>
        <w:pStyle w:val="FirstParagraph"/>
      </w:pPr>
      <w:r>
        <w:rPr>
          <w:rStyle w:val="TeamNote"/>
        </w:rPr>
        <w:t xml:space="preserve">SAM: please review this appendix; your Granta results go in A9.</w:t>
      </w:r>
    </w:p>
    <w:p>
      <w:pPr>
        <w:pStyle w:val="BodyText"/>
      </w:pPr>
      <w:r>
        <w:t xml:space="preserve">This appendix gives the full working behind §6.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81"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81"/>
    <w:bookmarkStart w:id="82" w:name="Xa2e77a4399fb77857bb3994dd1c371f451280a3"/>
    <w:p>
      <w:pPr>
        <w:pStyle w:val="Heading3"/>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7"/>
        </w:numPr>
        <w:pStyle w:val="Compact"/>
      </w:pPr>
      <w:r>
        <w:t xml:space="preserve">Annual output = P_net × 8,760 h × CF = 300 MWe × 8,760 × 0.90 = 2,365,200 MWh/yr.</w:t>
      </w:r>
    </w:p>
    <w:p>
      <w:pPr>
        <w:numPr>
          <w:ilvl w:val="0"/>
          <w:numId w:val="1007"/>
        </w:numPr>
        <w:pStyle w:val="Compact"/>
      </w:pPr>
      <w:r>
        <w:t xml:space="preserve">Lifetime output E = 2,365,200 × 60 =</w:t>
      </w:r>
      <w:r>
        <w:t xml:space="preserve"> </w:t>
      </w:r>
      <w:r>
        <w:rPr>
          <w:bCs/>
          <w:b/>
        </w:rPr>
        <w:t xml:space="preserve">1.419 × 10⁸ MWh</w:t>
      </w:r>
      <w:r>
        <w:t xml:space="preserve">.</w:t>
      </w:r>
    </w:p>
    <w:p>
      <w:pPr>
        <w:numPr>
          <w:ilvl w:val="0"/>
          <w:numId w:val="1007"/>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7"/>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§7;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82"/>
    <w:bookmarkStart w:id="83" w:name="a3.-material-quantities-per-unit"/>
    <w:p>
      <w:pPr>
        <w:pStyle w:val="Heading3"/>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8"/>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8"/>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8"/>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83"/>
    <w:bookmarkStart w:id="84" w:name="X19344571a4b16ef4e61846afd028c6c0d6b769c"/>
    <w:p>
      <w:pPr>
        <w:pStyle w:val="Heading3"/>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84"/>
    <w:bookmarkStart w:id="85"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85"/>
    <w:bookmarkStart w:id="86" w:name="a6.-concrete-and-the-c1-scenarios"/>
    <w:p>
      <w:pPr>
        <w:pStyle w:val="Heading3"/>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9"/>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(§6.4).</w:t>
      </w:r>
    </w:p>
    <w:p>
      <w:pPr>
        <w:numPr>
          <w:ilvl w:val="0"/>
          <w:numId w:val="1009"/>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9"/>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9"/>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86"/>
    <w:bookmarkStart w:id="87"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10"/>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10"/>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10"/>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10"/>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87"/>
    <w:bookmarkStart w:id="88"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88"/>
    <w:bookmarkStart w:id="89" w:name="a9.-granta-edupack-eco-audit"/>
    <w:p>
      <w:pPr>
        <w:pStyle w:val="Heading3"/>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89"/>
    <w:bookmarkEnd w:id="90"/>
    <w:bookmarkStart w:id="133"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5"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91"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91"/>
    <w:bookmarkStart w:id="92"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92"/>
    <w:bookmarkStart w:id="93"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3"/>
    <w:bookmarkStart w:id="94"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4"/>
    <w:bookmarkEnd w:id="95"/>
    <w:bookmarkStart w:id="102"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6" w:name="b2.1-method"/>
    <w:p>
      <w:pPr>
        <w:pStyle w:val="Heading4"/>
      </w:pPr>
      <w:r>
        <w:t xml:space="preserve">B2.1 Method</w:t>
      </w:r>
    </w:p>
    <w:p>
      <w:pPr>
        <w:numPr>
          <w:ilvl w:val="0"/>
          <w:numId w:val="1011"/>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11"/>
        </w:numPr>
        <w:pStyle w:val="Compact"/>
      </w:pPr>
      <w:r>
        <w:t xml:space="preserve">HHI = Σ s</w:t>
      </w:r>
      <w:r>
        <w:rPr>
          <w:iCs/>
          <w:i/>
        </w:rPr>
        <w:t xml:space="preserve">ᵢ</w:t>
      </w:r>
      <w:r>
        <w:t xml:space="preserve">² (range 0 to 10,000; one supplier = 10,000).</w:t>
      </w:r>
    </w:p>
    <w:p>
      <w:pPr>
        <w:numPr>
          <w:ilvl w:val="0"/>
          <w:numId w:val="1011"/>
        </w:numPr>
        <w:pStyle w:val="Compact"/>
      </w:pPr>
      <w:r>
        <w:t xml:space="preserve">Equivalent number of equal-sized suppliers: N_eq = 10,000 / HHI.</w:t>
      </w:r>
    </w:p>
    <w:p>
      <w:pPr>
        <w:numPr>
          <w:ilvl w:val="0"/>
          <w:numId w:val="1011"/>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11"/>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11"/>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11"/>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6"/>
    <w:bookmarkStart w:id="97"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7"/>
    <w:bookmarkStart w:id="98"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98"/>
    <w:bookmarkStart w:id="99"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9"/>
    <w:bookmarkStart w:id="100"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100"/>
    <w:bookmarkStart w:id="101"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01"/>
    <w:bookmarkEnd w:id="102"/>
    <w:bookmarkStart w:id="104"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103" w:name="X0217c3edb9f1194b9fccb10b42373507355a848"/>
    <w:p>
      <w:pPr>
        <w:pStyle w:val="Heading4"/>
      </w:pPr>
      <w:r>
        <w:t xml:space="preserve">B3.1 Implementation levers for C1 (the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3"/>
    <w:bookmarkEnd w:id="104"/>
    <w:bookmarkStart w:id="108"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5" w:name="b4.1-method"/>
    <w:p>
      <w:pPr>
        <w:pStyle w:val="Heading4"/>
      </w:pPr>
      <w:r>
        <w:t xml:space="preserve">B4.1 Method</w:t>
      </w:r>
    </w:p>
    <w:p>
      <w:pPr>
        <w:numPr>
          <w:ilvl w:val="0"/>
          <w:numId w:val="1012"/>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12"/>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12"/>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12"/>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5"/>
    <w:bookmarkStart w:id="106"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6"/>
    <w:bookmarkStart w:id="107" w:name="b4.3-limitations"/>
    <w:p>
      <w:pPr>
        <w:pStyle w:val="Heading4"/>
      </w:pPr>
      <w:r>
        <w:t xml:space="preserve">B4.3 Limitations</w:t>
      </w:r>
    </w:p>
    <w:p>
      <w:pPr>
        <w:numPr>
          <w:ilvl w:val="0"/>
          <w:numId w:val="1013"/>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13"/>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13"/>
        </w:numPr>
        <w:pStyle w:val="Compact"/>
      </w:pPr>
      <w:r>
        <w:rPr>
          <w:bCs/>
          <w:b/>
        </w:rPr>
        <w:t xml:space="preserve">Counterfactual.</w:t>
      </w:r>
      <w:r>
        <w:t xml:space="preserve"> </w:t>
      </w:r>
      <w:r>
        <w:t xml:space="preserve">In both grids the real alternative is other new supply, not today’s grid forever (B6).</w:t>
      </w:r>
    </w:p>
    <w:p>
      <w:pPr>
        <w:numPr>
          <w:ilvl w:val="0"/>
          <w:numId w:val="1013"/>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13"/>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7"/>
    <w:bookmarkEnd w:id="108"/>
    <w:bookmarkStart w:id="115"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9" w:name="b5.1-method"/>
    <w:p>
      <w:pPr>
        <w:pStyle w:val="Heading4"/>
      </w:pPr>
      <w:r>
        <w:t xml:space="preserve">B5.1 Method</w:t>
      </w:r>
    </w:p>
    <w:p>
      <w:pPr>
        <w:numPr>
          <w:ilvl w:val="0"/>
          <w:numId w:val="1014"/>
        </w:numPr>
        <w:pStyle w:val="Compact"/>
      </w:pPr>
      <w:r>
        <w:t xml:space="preserve">Output of one unit: monthly M = E / 12 = 197,100,000 kWh; daily D = E / 365 = 6,480,000 kWh.</w:t>
      </w:r>
    </w:p>
    <w:p>
      <w:pPr>
        <w:numPr>
          <w:ilvl w:val="0"/>
          <w:numId w:val="1014"/>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4"/>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4"/>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9"/>
    <w:bookmarkStart w:id="110"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10"/>
    <w:bookmarkStart w:id="111"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11"/>
    <w:bookmarkStart w:id="112"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12"/>
    <w:bookmarkStart w:id="113"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3"/>
    <w:bookmarkStart w:id="114" w:name="b5.6-limitations"/>
    <w:p>
      <w:pPr>
        <w:pStyle w:val="Heading4"/>
      </w:pPr>
      <w:r>
        <w:t xml:space="preserve">B5.6 Limitations</w:t>
      </w:r>
    </w:p>
    <w:p>
      <w:pPr>
        <w:numPr>
          <w:ilvl w:val="0"/>
          <w:numId w:val="1015"/>
        </w:numPr>
        <w:pStyle w:val="Compact"/>
      </w:pPr>
      <w:r>
        <w:t xml:space="preserve">Average factors understate what a late baseload unit would have displaced in Ontario, where gas is on the margin.</w:t>
      </w:r>
    </w:p>
    <w:p>
      <w:pPr>
        <w:numPr>
          <w:ilvl w:val="0"/>
          <w:numId w:val="1015"/>
        </w:numPr>
        <w:pStyle w:val="Compact"/>
      </w:pPr>
      <w:r>
        <w:t xml:space="preserve">The net basis assumes the plant’s life is fixed in years, not extended.</w:t>
      </w:r>
    </w:p>
    <w:p>
      <w:pPr>
        <w:numPr>
          <w:ilvl w:val="0"/>
          <w:numId w:val="1015"/>
        </w:numPr>
        <w:pStyle w:val="Compact"/>
      </w:pPr>
      <w:r>
        <w:t xml:space="preserve">The carbon value is realised only if someone prices it. Construction-material emissions appear to fall outside Ontario’s Emissions Performance Standards (our inference).</w:t>
      </w:r>
    </w:p>
    <w:p>
      <w:pPr>
        <w:numPr>
          <w:ilvl w:val="0"/>
          <w:numId w:val="1015"/>
        </w:numPr>
        <w:pStyle w:val="Compact"/>
      </w:pPr>
      <w:r>
        <w:t xml:space="preserve">The carrying cost is an upper bound for an early slip.</w:t>
      </w:r>
    </w:p>
    <w:p>
      <w:pPr>
        <w:numPr>
          <w:ilvl w:val="0"/>
          <w:numId w:val="1015"/>
        </w:numPr>
        <w:pStyle w:val="Compact"/>
      </w:pPr>
      <w:r>
        <w:t xml:space="preserve">The eligible share (20–60%) is an assumption; the saving per m³ (0.110 t) is fixed, so volume and saving move together.</w:t>
      </w:r>
    </w:p>
    <w:p>
      <w:r>
        <w:pict>
          <v:rect style="width:0;height:1.5pt" o:hralign="center" o:hrstd="t" o:hr="t"/>
        </w:pict>
      </w:r>
    </w:p>
    <w:bookmarkEnd w:id="114"/>
    <w:bookmarkEnd w:id="115"/>
    <w:bookmarkStart w:id="120"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6"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6"/>
    <w:bookmarkStart w:id="117"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7"/>
    <w:bookmarkStart w:id="118"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8"/>
    <w:bookmarkStart w:id="119" w:name="b6.4-limitations"/>
    <w:p>
      <w:pPr>
        <w:pStyle w:val="Heading4"/>
      </w:pPr>
      <w:r>
        <w:t xml:space="preserve">B6.4 Limitations</w:t>
      </w:r>
    </w:p>
    <w:p>
      <w:pPr>
        <w:numPr>
          <w:ilvl w:val="0"/>
          <w:numId w:val="1016"/>
        </w:numPr>
        <w:pStyle w:val="Compact"/>
      </w:pPr>
      <w:r>
        <w:t xml:space="preserve">Adding several TWh a year of firmed renewables would itself change the NEM trajectory, so the comparison holds only at the margin of the stated trajectory.</w:t>
      </w:r>
    </w:p>
    <w:p>
      <w:pPr>
        <w:numPr>
          <w:ilvl w:val="0"/>
          <w:numId w:val="1016"/>
        </w:numPr>
        <w:pStyle w:val="Compact"/>
      </w:pPr>
      <w:r>
        <w:t xml:space="preserve">The LCOE of firmed renewables rises with their share, and GenCost’s integration costs cover this only up to the shares it models.</w:t>
      </w:r>
    </w:p>
    <w:p>
      <w:pPr>
        <w:numPr>
          <w:ilvl w:val="0"/>
          <w:numId w:val="1016"/>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6"/>
        </w:numPr>
        <w:pStyle w:val="Compact"/>
      </w:pPr>
      <w:r>
        <w:t xml:space="preserve">Renewable assets last about 25–30 years (GenCost). No replacement falls before 2050, but a whole-life comparison would need one.</w:t>
      </w:r>
    </w:p>
    <w:p>
      <w:pPr>
        <w:numPr>
          <w:ilvl w:val="0"/>
          <w:numId w:val="1016"/>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9"/>
    <w:bookmarkEnd w:id="120"/>
    <w:bookmarkStart w:id="127"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(the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21"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21"/>
    <w:bookmarkStart w:id="122" w:name="b7.2-method"/>
    <w:p>
      <w:pPr>
        <w:pStyle w:val="Heading4"/>
      </w:pPr>
      <w:r>
        <w:t xml:space="preserve">B7.2 Method</w:t>
      </w:r>
    </w:p>
    <w:p>
      <w:pPr>
        <w:numPr>
          <w:ilvl w:val="0"/>
          <w:numId w:val="1017"/>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7"/>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7"/>
        </w:numPr>
        <w:pStyle w:val="Compact"/>
      </w:pPr>
      <w:r>
        <w:rPr>
          <w:bCs/>
          <w:b/>
        </w:rPr>
        <w:t xml:space="preserve">Total.</w:t>
      </w:r>
      <w:r>
        <w:t xml:space="preserve"> </w:t>
      </w:r>
      <w:r>
        <w:t xml:space="preserve">T = 100 × Σ w_c s_c, with weights renormalised to sum to 1.</w:t>
      </w:r>
    </w:p>
    <w:p>
      <w:pPr>
        <w:numPr>
          <w:ilvl w:val="0"/>
          <w:numId w:val="1017"/>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7"/>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22"/>
    <w:bookmarkStart w:id="123"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3"/>
    <w:bookmarkStart w:id="124"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8"/>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8"/>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8"/>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4"/>
    <w:bookmarkStart w:id="125"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5"/>
    <w:bookmarkStart w:id="126" w:name="b7.6-limitations"/>
    <w:p>
      <w:pPr>
        <w:pStyle w:val="Heading4"/>
      </w:pPr>
      <w:r>
        <w:t xml:space="preserve">B7.6 Limitations</w:t>
      </w:r>
    </w:p>
    <w:p>
      <w:pPr>
        <w:numPr>
          <w:ilvl w:val="0"/>
          <w:numId w:val="1019"/>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9"/>
        </w:numPr>
        <w:pStyle w:val="Compact"/>
      </w:pPr>
      <w:r>
        <w:t xml:space="preserve">Local min–max scaling makes each score depend on which options are compared. The status quo’s second place changes on fixed global scales (B7.4).</w:t>
      </w:r>
    </w:p>
    <w:p>
      <w:pPr>
        <w:numPr>
          <w:ilvl w:val="0"/>
          <w:numId w:val="1019"/>
        </w:numPr>
        <w:pStyle w:val="Compact"/>
      </w:pPr>
      <w:r>
        <w:t xml:space="preserve">Renewables’ supply HHI uses solar PV only; batteries, wind turbines and transmission are not assessed, and the IEA (2022) report was not opened in full.</w:t>
      </w:r>
    </w:p>
    <w:p>
      <w:pPr>
        <w:numPr>
          <w:ilvl w:val="0"/>
          <w:numId w:val="1019"/>
        </w:numPr>
        <w:pStyle w:val="Compact"/>
      </w:pPr>
      <w:r>
        <w:t xml:space="preserve">TRL is not scored, and first-power years depend on CSIRO’s 2040 and the Coalition’s 2035 (as reported).</w:t>
      </w:r>
    </w:p>
    <w:p>
      <w:pPr>
        <w:numPr>
          <w:ilvl w:val="0"/>
          <w:numId w:val="1019"/>
        </w:numPr>
        <w:pStyle w:val="Compact"/>
      </w:pPr>
      <w:r>
        <w:t xml:space="preserve">Renewables’ 30 g/kWh and 2028 start are assumptions, and the GenCost reading is the one stated in B6. Adding several TWh of renewables would itself change the grid trajectory (B6.4).</w:t>
      </w:r>
    </w:p>
    <w:p>
      <w:pPr>
        <w:numPr>
          <w:ilvl w:val="0"/>
          <w:numId w:val="1019"/>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6"/>
    <w:bookmarkEnd w:id="127"/>
    <w:bookmarkStart w:id="132"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28" w:name="X8871295422bcc52b42d843e419a224e284f0009"/>
    <w:p>
      <w:pPr>
        <w:pStyle w:val="Heading4"/>
      </w:pPr>
      <w:r>
        <w:t xml:space="preserve">B8.1 Perceived and actual safety, and deaths avoided</w:t>
      </w:r>
    </w:p>
    <w:p>
      <w:pPr>
        <w:numPr>
          <w:ilvl w:val="0"/>
          <w:numId w:val="1020"/>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20"/>
        </w:numPr>
        <w:pStyle w:val="Compact"/>
      </w:pPr>
      <w:r>
        <w:t xml:space="preserve">Output of one unit: 300 MWe × 8,760 h × 0.9 = 2.365 TWh a year (2.102–2.497 at capacity factors of 0.80–0.95).</w:t>
      </w:r>
    </w:p>
    <w:p>
      <w:pPr>
        <w:numPr>
          <w:ilvl w:val="0"/>
          <w:numId w:val="1020"/>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8"/>
    <w:bookmarkStart w:id="129"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9"/>
    <w:bookmarkStart w:id="130"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(§9).</w:t>
      </w:r>
    </w:p>
    <w:bookmarkEnd w:id="130"/>
    <w:bookmarkStart w:id="131"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31"/>
    <w:bookmarkEnd w:id="132"/>
    <w:bookmarkEnd w:id="133"/>
    <w:bookmarkStart w:id="141" w:name="X2538f2b2fc20c8063ffc88885f2cb513202a3b3"/>
    <w:p>
      <w:pPr>
        <w:pStyle w:val="Heading2"/>
      </w:pPr>
      <w:r>
        <w:t xml:space="preserve">Appendix C. Sensitivity: tornado and Monte Carlo set-up and results</w:t>
      </w:r>
    </w:p>
    <w:p>
      <w:pPr>
        <w:pStyle w:val="FirstParagraph"/>
      </w:pPr>
      <w:r>
        <w:rPr>
          <w:rStyle w:val="TeamNote"/>
        </w:rPr>
        <w:t xml:space="preserve">SAM: please review this appendix.</w:t>
      </w:r>
    </w:p>
    <w:p>
      <w:pPr>
        <w:pStyle w:val="BodyText"/>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34" w:name="c1.-set-up"/>
    <w:p>
      <w:pPr>
        <w:pStyle w:val="Heading3"/>
      </w:pPr>
      <w:r>
        <w:t xml:space="preserve">C1. Set-up</w:t>
      </w:r>
    </w:p>
    <w:p>
      <w:pPr>
        <w:numPr>
          <w:ilvl w:val="0"/>
          <w:numId w:val="1021"/>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21"/>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21"/>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21"/>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21"/>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21"/>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34"/>
    <w:bookmarkStart w:id="135"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35"/>
    <w:bookmarkStart w:id="136" w:name="X8f754cc28aabff45bd5ffa0c19e17af6b52329b"/>
    <w:p>
      <w:pPr>
        <w:pStyle w:val="Heading3"/>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36"/>
    <w:bookmarkStart w:id="137"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§6.3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37"/>
    <w:bookmarkStart w:id="138" w:name="X31250b838455e6096b9edbd1b8f7a12ed088df6"/>
    <w:p>
      <w:pPr>
        <w:pStyle w:val="Heading3"/>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22"/>
        </w:numPr>
        <w:pStyle w:val="Compact"/>
      </w:pPr>
      <w:r>
        <w:t xml:space="preserve">A triangular distribution’s mean is (low + mode + high) / 3. For conversion heat that is (26 + 26 + 665) / 3 ≈ 239 kWh/kg U, nine times the mode of 26.</w:t>
      </w:r>
    </w:p>
    <w:p>
      <w:pPr>
        <w:numPr>
          <w:ilvl w:val="0"/>
          <w:numId w:val="1022"/>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22"/>
        </w:numPr>
        <w:pStyle w:val="Compact"/>
      </w:pPr>
      <w:r>
        <w:t xml:space="preserve">C1’s saving is almost symmetric (mode 2,200 t, median 2,217 t), so its share of the total falls from 0.54% at the mode case to 0.36%.</w:t>
      </w:r>
    </w:p>
    <w:p>
      <w:pPr>
        <w:numPr>
          <w:ilvl w:val="0"/>
          <w:numId w:val="1022"/>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22"/>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§6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38"/>
    <w:bookmarkStart w:id="139" w:name="X861311e05ca973e4ff92563d183b5e9367fe19f"/>
    <w:p>
      <w:pPr>
        <w:pStyle w:val="Heading3"/>
      </w:pPr>
      <w:r>
        <w:t xml:space="preserve">C6. Limitations of the uncertainty analysis</w:t>
      </w:r>
    </w:p>
    <w:p>
      <w:pPr>
        <w:numPr>
          <w:ilvl w:val="0"/>
          <w:numId w:val="1023"/>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23"/>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23"/>
        </w:numPr>
        <w:pStyle w:val="Compact"/>
      </w:pPr>
      <w:r>
        <w:rPr>
          <w:bCs/>
          <w:b/>
        </w:rPr>
        <w:t xml:space="preserve">Triangular shape.</w:t>
      </w:r>
      <w:r>
        <w:t xml:space="preserve"> </w:t>
      </w:r>
      <w:r>
        <w:t xml:space="preserve">A convention, not a fitted distribution; Table C5 tests it for conversion heat only.</w:t>
      </w:r>
    </w:p>
    <w:p>
      <w:pPr>
        <w:numPr>
          <w:ilvl w:val="0"/>
          <w:numId w:val="1023"/>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23"/>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(C7).</w:t>
      </w:r>
    </w:p>
    <w:bookmarkEnd w:id="139"/>
    <w:bookmarkStart w:id="140" w:name="X35b5ee5f237d4555b3db06902854d0e23ac87dc"/>
    <w:p>
      <w:pPr>
        <w:pStyle w:val="Heading3"/>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§6.3.</w:t>
      </w:r>
    </w:p>
    <w:p>
      <w:r>
        <w:pict>
          <v:rect style="width:0;height:1.5pt" o:hralign="center" o:hrstd="t" o:hr="t"/>
        </w:pict>
      </w:r>
    </w:p>
    <w:bookmarkEnd w:id="140"/>
    <w:bookmarkEnd w:id="141"/>
    <w:bookmarkStart w:id="146" w:name="appendix-e.-search-log"/>
    <w:p>
      <w:pPr>
        <w:pStyle w:val="Heading2"/>
      </w:pPr>
      <w:r>
        <w:t xml:space="preserve">Appendix E. Search log</w:t>
      </w:r>
    </w:p>
    <w:p>
      <w:pPr>
        <w:pStyle w:val="FirstParagraph"/>
      </w:pPr>
      <w:r>
        <w:rPr>
          <w:rStyle w:val="TeamNote"/>
        </w:rPr>
        <w:t xml:space="preserve">LEROY: please check or replace this search log with your own Google Patents searches.</w:t>
      </w:r>
    </w:p>
    <w:p>
      <w:pPr>
        <w:pStyle w:val="BodyText"/>
      </w:pPr>
      <w:r>
        <w:rPr>
          <w:iCs/>
          <w:i/>
        </w:rPr>
        <w:t xml:space="preserve">Drafted for Leroy; Leroy may reclaim.</w:t>
      </w:r>
    </w:p>
    <w:bookmarkStart w:id="142" w:name="e1.-method-and-access"/>
    <w:p>
      <w:pPr>
        <w:pStyle w:val="Heading3"/>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42"/>
    <w:bookmarkStart w:id="143" w:name="e2.-search-strings-and-results"/>
    <w:p>
      <w:pPr>
        <w:pStyle w:val="Heading3"/>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43"/>
    <w:bookmarkStart w:id="144" w:name="e3.-patents-kept"/>
    <w:p>
      <w:pPr>
        <w:pStyle w:val="Heading3"/>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(§4.2)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(§4.2;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(§10)</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(§10)</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44"/>
    <w:bookmarkStart w:id="145" w:name="X6772717928f13429d4d4f50caaf7675f61535b4"/>
    <w:p>
      <w:pPr>
        <w:pStyle w:val="Heading3"/>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45"/>
    <w:bookmarkEnd w:id="146"/>
    <w:bookmarkEnd w:id="147"/>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mNote" w:type="character">
    <w:name w:val="Team Note"/>
    <w:rPr>
      <w:b/>
      <w:color w:val="C00000"/>
      <w:highlight w:val="yellow"/>
    </w:rPr>
  </w:style>
  <w:style w:type="character" w:customStyle="1" w:styleId="TeamNote">
    <w:name w:val="TeamNote"/>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where they cut the most carbon, what holds them back, and a low-clinker concrete initiative for Darlington</dc:title>
  <dc:creator>Victor Clarke ADD STUDENT ID; Leroy Louis Jean (33880212); Sam ADD SURNAME ADD STUDENT ID</dc:creator>
  <cp:keywords/>
  <dcterms:created xsi:type="dcterms:W3CDTF">2026-10-25T11:01:13Z</dcterms:created>
  <dcterms:modified xsi:type="dcterms:W3CDTF">2026-10-25T11:01:13Z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MTE4593 Materials and Sustainability, Assignment 2 (Group 9)</vt:lpwstr>
  </property>
</Properties>
</file>