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[surname] ([student ID]), Victor Clarke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r>
            <w:rPr>
              <w:webHidden/>
              <w:rStyle w:val="IndexLink"/>
            </w:rPr>
            <w:t>Abstract</w:t>
            <w:tab/>
            <w:t>1</w:t>
          </w:r>
        </w:p>
        <w:p>
          <w:pPr>
            <w:pStyle w:val="TOC1"/>
            <w:tabs>
              <w:tab w:val="clear" w:pos="9026"/>
              <w:tab w:val="right" w:pos="9025" w:leader="dot"/>
            </w:tabs>
            <w:rPr/>
          </w:pPr>
          <w:r>
            <w:rPr>
              <w:webHidden/>
              <w:rStyle w:val="IndexLink"/>
            </w:rPr>
            <w:t>Table of Contents</w:t>
            <w:tab/>
            <w:t>2</w:t>
          </w:r>
        </w:p>
        <w:p>
          <w:pPr>
            <w:pStyle w:val="TOC1"/>
            <w:tabs>
              <w:tab w:val="clear" w:pos="9026"/>
              <w:tab w:val="right" w:pos="9025" w:leader="dot"/>
            </w:tabs>
            <w:rPr/>
          </w:pPr>
          <w:r>
            <w:rPr>
              <w:webHidden/>
              <w:rStyle w:val="IndexLink"/>
            </w:rPr>
            <w:t>1 Introduction</w:t>
            <w:tab/>
            <w:t>4</w:t>
          </w:r>
        </w:p>
        <w:p>
          <w:pPr>
            <w:pStyle w:val="TOC1"/>
            <w:tabs>
              <w:tab w:val="clear" w:pos="9026"/>
              <w:tab w:val="right" w:pos="9025" w:leader="dot"/>
            </w:tabs>
            <w:rPr/>
          </w:pPr>
          <w:r>
            <w:rPr>
              <w:webHidden/>
              <w:rStyle w:val="IndexLink"/>
            </w:rPr>
            <w:t>2 Data Sources/Methodology</w:t>
            <w:tab/>
            <w:t>4</w:t>
          </w:r>
        </w:p>
        <w:p>
          <w:pPr>
            <w:pStyle w:val="TOC1"/>
            <w:tabs>
              <w:tab w:val="clear" w:pos="9026"/>
              <w:tab w:val="right" w:pos="9025" w:leader="dot"/>
            </w:tabs>
            <w:rPr/>
          </w:pPr>
          <w:r>
            <w:rPr>
              <w:webHidden/>
              <w:rStyle w:val="IndexLink"/>
            </w:rPr>
            <w:t>3 Discussion</w:t>
            <w:tab/>
            <w:t>5</w:t>
          </w:r>
        </w:p>
        <w:p>
          <w:pPr>
            <w:pStyle w:val="TOC2"/>
            <w:tabs>
              <w:tab w:val="clear" w:pos="9026"/>
              <w:tab w:val="right" w:pos="9025" w:leader="dot"/>
            </w:tabs>
            <w:rPr/>
          </w:pPr>
          <w:r>
            <w:rPr>
              <w:webHidden/>
              <w:rStyle w:val="IndexLink"/>
            </w:rPr>
            <w:t>3.1 Overview of SMR</w:t>
            <w:tab/>
            <w:t>5</w:t>
          </w:r>
        </w:p>
        <w:p>
          <w:pPr>
            <w:pStyle w:val="TOC3"/>
            <w:tabs>
              <w:tab w:val="clear" w:pos="9026"/>
              <w:tab w:val="right" w:pos="9025" w:leader="dot"/>
            </w:tabs>
            <w:rPr/>
          </w:pPr>
          <w:r>
            <w:rPr>
              <w:webHidden/>
              <w:rStyle w:val="IndexLink"/>
            </w:rPr>
            <w:t>3.1.1 Current Projects and Patents</w:t>
            <w:tab/>
            <w:t>5</w:t>
          </w:r>
        </w:p>
        <w:p>
          <w:pPr>
            <w:pStyle w:val="TOC3"/>
            <w:tabs>
              <w:tab w:val="clear" w:pos="9026"/>
              <w:tab w:val="right" w:pos="9025" w:leader="dot"/>
            </w:tabs>
            <w:rPr/>
          </w:pPr>
          <w:r>
            <w:rPr>
              <w:webHidden/>
              <w:rStyle w:val="IndexLink"/>
            </w:rPr>
            <w:t>3.1.2 Technical Descriptions: the BWRX-300 at Darlington</w:t>
            <w:tab/>
            <w:t>7</w:t>
          </w:r>
        </w:p>
        <w:p>
          <w:pPr>
            <w:pStyle w:val="TOC3"/>
            <w:tabs>
              <w:tab w:val="clear" w:pos="9026"/>
              <w:tab w:val="right" w:pos="9025" w:leader="dot"/>
            </w:tabs>
            <w:rPr/>
          </w:pPr>
          <w:r>
            <w:rPr>
              <w:webHidden/>
              <w:rStyle w:val="IndexLink"/>
            </w:rPr>
            <w:t>3.1.3 Barriers to cutting emissions with small modular reactors</w:t>
            <w:tab/>
            <w:t>7</w:t>
          </w:r>
        </w:p>
        <w:p>
          <w:pPr>
            <w:pStyle w:val="TOC3"/>
            <w:tabs>
              <w:tab w:val="clear" w:pos="9026"/>
              <w:tab w:val="right" w:pos="9025" w:leader="dot"/>
            </w:tabs>
            <w:rPr/>
          </w:pPr>
          <w:r>
            <w:rPr>
              <w:webHidden/>
              <w:rStyle w:val="IndexLink"/>
            </w:rPr>
            <w:t>3.1.4 The initiative: low-clinker concrete for the Darlington Units 2–4 infill</w:t>
            <w:tab/>
            <w:t>9</w:t>
          </w:r>
        </w:p>
        <w:p>
          <w:pPr>
            <w:pStyle w:val="TOC3"/>
            <w:tabs>
              <w:tab w:val="clear" w:pos="9026"/>
              <w:tab w:val="right" w:pos="9025" w:leader="dot"/>
            </w:tabs>
            <w:rPr/>
          </w:pPr>
          <w:r>
            <w:rPr>
              <w:webHidden/>
              <w:rStyle w:val="IndexLink"/>
            </w:rPr>
            <w:t>3.1.5 Materials from extraction to end-of-life</w:t>
            <w:tab/>
            <w:t>10</w:t>
          </w:r>
        </w:p>
        <w:p>
          <w:pPr>
            <w:pStyle w:val="TOC2"/>
            <w:tabs>
              <w:tab w:val="clear" w:pos="9026"/>
              <w:tab w:val="right" w:pos="9025" w:leader="dot"/>
            </w:tabs>
            <w:rPr/>
          </w:pPr>
          <w:r>
            <w:rPr>
              <w:webHidden/>
              <w:rStyle w:val="IndexLink"/>
            </w:rPr>
            <w:t>3.2 Lifecycle Analysis</w:t>
            <w:tab/>
            <w:t>11</w:t>
          </w:r>
        </w:p>
        <w:p>
          <w:pPr>
            <w:pStyle w:val="TOC3"/>
            <w:tabs>
              <w:tab w:val="clear" w:pos="9026"/>
              <w:tab w:val="right" w:pos="9025" w:leader="dot"/>
            </w:tabs>
            <w:rPr/>
          </w:pPr>
          <w:r>
            <w:rPr>
              <w:webHidden/>
              <w:rStyle w:val="IndexLink"/>
            </w:rPr>
            <w:t>3.2.1 Goal, scope and method</w:t>
            <w:tab/>
            <w:t>11</w:t>
          </w:r>
        </w:p>
        <w:p>
          <w:pPr>
            <w:pStyle w:val="TOC3"/>
            <w:tabs>
              <w:tab w:val="clear" w:pos="9026"/>
              <w:tab w:val="right" w:pos="9025" w:leader="dot"/>
            </w:tabs>
            <w:rPr/>
          </w:pPr>
          <w:r>
            <w:rPr>
              <w:webHidden/>
              <w:rStyle w:val="IndexLink"/>
            </w:rPr>
            <w:t>3.2.2 Baseline and hotspots</w:t>
            <w:tab/>
            <w:t>12</w:t>
          </w:r>
        </w:p>
        <w:p>
          <w:pPr>
            <w:pStyle w:val="TOC3"/>
            <w:tabs>
              <w:tab w:val="clear" w:pos="9026"/>
              <w:tab w:val="right" w:pos="9025" w:leader="dot"/>
            </w:tabs>
            <w:rPr/>
          </w:pPr>
          <w:r>
            <w:rPr>
              <w:webHidden/>
              <w:rStyle w:val="IndexLink"/>
            </w:rPr>
            <w:t>3.2.3 The initiative against the baseline</w:t>
            <w:tab/>
            <w:t>13</w:t>
          </w:r>
        </w:p>
        <w:p>
          <w:pPr>
            <w:pStyle w:val="TOC3"/>
            <w:tabs>
              <w:tab w:val="clear" w:pos="9026"/>
              <w:tab w:val="right" w:pos="9025" w:leader="dot"/>
            </w:tabs>
            <w:rPr/>
          </w:pPr>
          <w:r>
            <w:rPr>
              <w:webHidden/>
              <w:rStyle w:val="IndexLink"/>
            </w:rPr>
            <w:t>3.2.4 Uncertainty: tornado and Monte Carlo</w:t>
            <w:tab/>
            <w:t>14</w:t>
          </w:r>
        </w:p>
        <w:p>
          <w:pPr>
            <w:pStyle w:val="TOC3"/>
            <w:tabs>
              <w:tab w:val="clear" w:pos="9026"/>
              <w:tab w:val="right" w:pos="9025" w:leader="dot"/>
            </w:tabs>
            <w:rPr/>
          </w:pPr>
          <w:r>
            <w:rPr>
              <w:webHidden/>
              <w:rStyle w:val="IndexLink"/>
            </w:rPr>
            <w:t>3.2.5 Comparison with published values</w:t>
            <w:tab/>
            <w:t>15</w:t>
          </w:r>
        </w:p>
        <w:p>
          <w:pPr>
            <w:pStyle w:val="TOC2"/>
            <w:tabs>
              <w:tab w:val="clear" w:pos="9026"/>
              <w:tab w:val="right" w:pos="9025" w:leader="dot"/>
            </w:tabs>
            <w:rPr/>
          </w:pPr>
          <w:r>
            <w:rPr>
              <w:webHidden/>
              <w:rStyle w:val="IndexLink"/>
            </w:rPr>
            <w:t>3.3 National Strategies and Industrial Policies: Carbon Avoided in Ontario and Australia</w:t>
            <w:tab/>
            <w:t>16</w:t>
          </w:r>
        </w:p>
        <w:p>
          <w:pPr>
            <w:pStyle w:val="TOC3"/>
            <w:tabs>
              <w:tab w:val="clear" w:pos="9026"/>
              <w:tab w:val="right" w:pos="9025" w:leader="dot"/>
            </w:tabs>
            <w:rPr/>
          </w:pPr>
          <w:r>
            <w:rPr>
              <w:webHidden/>
              <w:rStyle w:val="IndexLink"/>
            </w:rPr>
            <w:t>3.3.1 The value of schedule</w:t>
            <w:tab/>
            <w:t>16</w:t>
          </w:r>
        </w:p>
        <w:p>
          <w:pPr>
            <w:pStyle w:val="TOC3"/>
            <w:tabs>
              <w:tab w:val="clear" w:pos="9026"/>
              <w:tab w:val="right" w:pos="9025" w:leader="dot"/>
            </w:tabs>
            <w:rPr/>
          </w:pPr>
          <w:r>
            <w:rPr>
              <w:webHidden/>
              <w:rStyle w:val="IndexLink"/>
            </w:rPr>
            <w:t>3.3.2 What one BWRX-300 displaces: Darlington vs Liddell</w:t>
            <w:tab/>
            <w:t>17</w:t>
          </w:r>
        </w:p>
        <w:p>
          <w:pPr>
            <w:pStyle w:val="TOC3"/>
            <w:tabs>
              <w:tab w:val="clear" w:pos="9026"/>
              <w:tab w:val="right" w:pos="9025" w:leader="dot"/>
            </w:tabs>
            <w:rPr/>
          </w:pPr>
          <w:r>
            <w:rPr>
              <w:webHidden/>
              <w:rStyle w:val="IndexLink"/>
            </w:rPr>
            <w:t>3.3.3 The same money on firmed renewables</w:t>
            <w:tab/>
            <w:t>18</w:t>
          </w:r>
        </w:p>
        <w:p>
          <w:pPr>
            <w:pStyle w:val="TOC2"/>
            <w:tabs>
              <w:tab w:val="clear" w:pos="9026"/>
              <w:tab w:val="right" w:pos="9025" w:leader="dot"/>
            </w:tabs>
            <w:rPr/>
          </w:pPr>
          <w:r>
            <w:rPr>
              <w:webHidden/>
              <w:rStyle w:val="IndexLink"/>
            </w:rPr>
            <w:t>3.4 Stakeholder Analysis</w:t>
            <w:tab/>
            <w:t>19</w:t>
          </w:r>
        </w:p>
        <w:p>
          <w:pPr>
            <w:pStyle w:val="TOC3"/>
            <w:tabs>
              <w:tab w:val="clear" w:pos="9026"/>
              <w:tab w:val="right" w:pos="9025" w:leader="dot"/>
            </w:tabs>
            <w:rPr/>
          </w:pPr>
          <w:r>
            <w:rPr>
              <w:webHidden/>
              <w:rStyle w:val="IndexLink"/>
            </w:rPr>
            <w:t>3.4.1 Stakeholders and money flows</w:t>
            <w:tab/>
            <w:t>19</w:t>
          </w:r>
        </w:p>
        <w:p>
          <w:pPr>
            <w:pStyle w:val="TOC3"/>
            <w:tabs>
              <w:tab w:val="clear" w:pos="9026"/>
              <w:tab w:val="right" w:pos="9025" w:leader="dot"/>
            </w:tabs>
            <w:rPr/>
          </w:pPr>
          <w:r>
            <w:rPr>
              <w:webHidden/>
              <w:rStyle w:val="IndexLink"/>
            </w:rPr>
            <w:t>3.4.2 Social licence</w:t>
            <w:tab/>
            <w:t>21</w:t>
          </w:r>
        </w:p>
        <w:p>
          <w:pPr>
            <w:pStyle w:val="TOC2"/>
            <w:tabs>
              <w:tab w:val="clear" w:pos="9026"/>
              <w:tab w:val="right" w:pos="9025" w:leader="dot"/>
            </w:tabs>
            <w:rPr/>
          </w:pPr>
          <w:r>
            <w:rPr>
              <w:webHidden/>
              <w:rStyle w:val="IndexLink"/>
            </w:rPr>
            <w:t>3.5 Market Analysis and Economic Feasibility</w:t>
            <w:tab/>
            <w:t>23</w:t>
          </w:r>
        </w:p>
        <w:p>
          <w:pPr>
            <w:pStyle w:val="TOC3"/>
            <w:tabs>
              <w:tab w:val="clear" w:pos="9026"/>
              <w:tab w:val="right" w:pos="9025" w:leader="dot"/>
            </w:tabs>
            <w:rPr/>
          </w:pPr>
          <w:r>
            <w:rPr>
              <w:webHidden/>
              <w:rStyle w:val="IndexLink"/>
            </w:rPr>
            <w:t>3.5.1 Economics, finance and market barriers</w:t>
            <w:tab/>
            <w:t>23</w:t>
          </w:r>
        </w:p>
        <w:p>
          <w:pPr>
            <w:pStyle w:val="TOC3"/>
            <w:tabs>
              <w:tab w:val="clear" w:pos="9026"/>
              <w:tab w:val="right" w:pos="9025" w:leader="dot"/>
            </w:tabs>
            <w:rPr/>
          </w:pPr>
          <w:r>
            <w:rPr>
              <w:webHidden/>
              <w:rStyle w:val="IndexLink"/>
            </w:rPr>
            <w:t>3.5.2 Supply concentration and geopolitics</w:t>
            <w:tab/>
            <w:t>25</w:t>
          </w:r>
        </w:p>
        <w:p>
          <w:pPr>
            <w:pStyle w:val="TOC2"/>
            <w:tabs>
              <w:tab w:val="clear" w:pos="9026"/>
              <w:tab w:val="right" w:pos="9025" w:leader="dot"/>
            </w:tabs>
            <w:rPr/>
          </w:pPr>
          <w:r>
            <w:rPr>
              <w:webHidden/>
              <w:rStyle w:val="IndexLink"/>
            </w:rPr>
            <w:t>3.6 Government Regulations Review</w:t>
            <w:tab/>
            <w:t>27</w:t>
          </w:r>
        </w:p>
        <w:p>
          <w:pPr>
            <w:pStyle w:val="TOC3"/>
            <w:tabs>
              <w:tab w:val="clear" w:pos="9026"/>
              <w:tab w:val="right" w:pos="9025" w:leader="dot"/>
            </w:tabs>
            <w:rPr/>
          </w:pPr>
          <w:r>
            <w:rPr>
              <w:webHidden/>
              <w:rStyle w:val="IndexLink"/>
            </w:rPr>
            <w:t>3.6.1 Law, regulation and licensing</w:t>
            <w:tab/>
            <w:t>27</w:t>
          </w:r>
        </w:p>
        <w:p>
          <w:pPr>
            <w:pStyle w:val="TOC3"/>
            <w:tabs>
              <w:tab w:val="clear" w:pos="9026"/>
              <w:tab w:val="right" w:pos="9025" w:leader="dot"/>
            </w:tabs>
            <w:rPr/>
          </w:pPr>
          <w:r>
            <w:rPr>
              <w:webHidden/>
              <w:rStyle w:val="IndexLink"/>
            </w:rPr>
            <w:t>3.6.2 Implementation pathway</w:t>
            <w:tab/>
            <w:t>29</w:t>
          </w:r>
        </w:p>
        <w:p>
          <w:pPr>
            <w:pStyle w:val="TOC2"/>
            <w:tabs>
              <w:tab w:val="clear" w:pos="9026"/>
              <w:tab w:val="right" w:pos="9025" w:leader="dot"/>
            </w:tabs>
            <w:rPr/>
          </w:pPr>
          <w:r>
            <w:rPr>
              <w:webHidden/>
              <w:rStyle w:val="IndexLink"/>
            </w:rPr>
            <w:t>3.7 Triple-bottom-line evaluation and multi-criteria analysis</w:t>
            <w:tab/>
            <w:t>31</w:t>
          </w:r>
        </w:p>
        <w:p>
          <w:pPr>
            <w:pStyle w:val="TOC3"/>
            <w:tabs>
              <w:tab w:val="clear" w:pos="9026"/>
              <w:tab w:val="right" w:pos="9025" w:leader="dot"/>
            </w:tabs>
            <w:rPr/>
          </w:pPr>
          <w:r>
            <w:rPr>
              <w:webHidden/>
              <w:rStyle w:val="IndexLink"/>
            </w:rPr>
            <w:t>3.7.1 Triple bottom line</w:t>
            <w:tab/>
            <w:t>31</w:t>
          </w:r>
        </w:p>
        <w:p>
          <w:pPr>
            <w:pStyle w:val="TOC3"/>
            <w:tabs>
              <w:tab w:val="clear" w:pos="9026"/>
              <w:tab w:val="right" w:pos="9025" w:leader="dot"/>
            </w:tabs>
            <w:rPr/>
          </w:pPr>
          <w:r>
            <w:rPr>
              <w:webHidden/>
              <w:rStyle w:val="IndexLink"/>
            </w:rPr>
            <w:t>3.7.2 Multi-criteria analysis</w:t>
            <w:tab/>
            <w:t>32</w:t>
          </w:r>
        </w:p>
        <w:p>
          <w:pPr>
            <w:pStyle w:val="TOC3"/>
            <w:tabs>
              <w:tab w:val="clear" w:pos="9026"/>
              <w:tab w:val="right" w:pos="9025" w:leader="dot"/>
            </w:tabs>
            <w:rPr/>
          </w:pPr>
          <w:r>
            <w:rPr>
              <w:webHidden/>
              <w:rStyle w:val="IndexLink"/>
            </w:rPr>
            <w:t>3.7.3 Verdict and limits</w:t>
            <w:tab/>
            <w:t>33</w:t>
          </w:r>
        </w:p>
        <w:p>
          <w:pPr>
            <w:pStyle w:val="TOC2"/>
            <w:tabs>
              <w:tab w:val="clear" w:pos="9026"/>
              <w:tab w:val="right" w:pos="9025" w:leader="dot"/>
            </w:tabs>
            <w:rPr/>
          </w:pPr>
          <w:r>
            <w:rPr>
              <w:webHidden/>
              <w:rStyle w:val="IndexLink"/>
            </w:rPr>
            <w:t>3.8 Future material properties and processes</w:t>
            <w:tab/>
            <w:t>34</w:t>
          </w:r>
        </w:p>
        <w:p>
          <w:pPr>
            <w:pStyle w:val="TOC1"/>
            <w:tabs>
              <w:tab w:val="clear" w:pos="9026"/>
              <w:tab w:val="right" w:pos="9025" w:leader="dot"/>
            </w:tabs>
            <w:rPr/>
          </w:pPr>
          <w:r>
            <w:rPr>
              <w:webHidden/>
              <w:rStyle w:val="IndexLink"/>
            </w:rPr>
            <w:t>4 Conclusion</w:t>
            <w:tab/>
            <w:t>35</w:t>
          </w:r>
        </w:p>
        <w:p>
          <w:pPr>
            <w:pStyle w:val="TOC1"/>
            <w:tabs>
              <w:tab w:val="clear" w:pos="9026"/>
              <w:tab w:val="right" w:pos="9025" w:leader="dot"/>
            </w:tabs>
            <w:rPr/>
          </w:pPr>
          <w:r>
            <w:rPr>
              <w:webHidden/>
              <w:rStyle w:val="IndexLink"/>
            </w:rPr>
            <w:t>5 References</w:t>
            <w:tab/>
            <w:t>36</w:t>
          </w:r>
        </w:p>
        <w:p>
          <w:pPr>
            <w:pStyle w:val="TOC1"/>
            <w:tabs>
              <w:tab w:val="clear" w:pos="9026"/>
              <w:tab w:val="right" w:pos="9025" w:leader="dot"/>
            </w:tabs>
            <w:rPr/>
          </w:pPr>
          <w:r>
            <w:rPr>
              <w:webHidden/>
              <w:rStyle w:val="IndexLink"/>
            </w:rPr>
            <w:t>Declaration of generative AI use</w:t>
            <w:tab/>
            <w:t>51</w:t>
          </w:r>
        </w:p>
        <w:p>
          <w:pPr>
            <w:pStyle w:val="TOC1"/>
            <w:tabs>
              <w:tab w:val="clear" w:pos="9026"/>
              <w:tab w:val="right" w:pos="9025" w:leader="dot"/>
            </w:tabs>
            <w:rPr/>
          </w:pPr>
          <w:r>
            <w:rPr>
              <w:webHidden/>
              <w:rStyle w:val="IndexLink"/>
            </w:rPr>
            <w:t>Appendices</w:t>
            <w:tab/>
            <w:t>52</w:t>
          </w:r>
        </w:p>
        <w:p>
          <w:pPr>
            <w:pStyle w:val="TOC2"/>
            <w:tabs>
              <w:tab w:val="clear" w:pos="9026"/>
              <w:tab w:val="right" w:pos="9025" w:leader="dot"/>
            </w:tabs>
            <w:rPr/>
          </w:pPr>
          <w:r>
            <w:rPr>
              <w:webHidden/>
              <w:rStyle w:val="IndexLink"/>
            </w:rPr>
            <w:t>Appendix A. LCA inventory and calculations</w:t>
            <w:tab/>
            <w:t>52</w:t>
          </w:r>
        </w:p>
        <w:p>
          <w:pPr>
            <w:pStyle w:val="TOC2"/>
            <w:tabs>
              <w:tab w:val="clear" w:pos="9026"/>
              <w:tab w:val="right" w:pos="9025" w:leader="dot"/>
            </w:tabs>
            <w:rPr/>
          </w:pPr>
          <w:r>
            <w:rPr>
              <w:webHidden/>
              <w:rStyle w:val="IndexLink"/>
            </w:rPr>
            <w:t>Appendix B. Working for the policy and supply-chain analysis</w:t>
            <w:tab/>
            <w:t>62</w:t>
          </w:r>
        </w:p>
        <w:p>
          <w:pPr>
            <w:pStyle w:val="TOC2"/>
            <w:tabs>
              <w:tab w:val="clear" w:pos="9026"/>
              <w:tab w:val="right" w:pos="9025" w:leader="dot"/>
            </w:tabs>
            <w:rPr/>
          </w:pPr>
          <w:r>
            <w:rPr>
              <w:webHidden/>
              <w:rStyle w:val="IndexLink"/>
            </w:rPr>
            <w:t>Appendix C. Sensitivity: tornado and Monte Carlo set-up and results</w:t>
            <w:tab/>
            <w:t>106</w:t>
          </w:r>
        </w:p>
        <w:p>
          <w:pPr>
            <w:pStyle w:val="TOC2"/>
            <w:tabs>
              <w:tab w:val="clear" w:pos="9026"/>
              <w:tab w:val="right" w:pos="9025" w:leader="dot"/>
            </w:tabs>
            <w:rPr/>
          </w:pPr>
          <w:r>
            <w:rPr>
              <w:webHidden/>
              <w:rStyle w:val="IndexLink"/>
            </w:rPr>
            <w:t>Appendix E. Search log</w:t>
            <w:tab/>
            <w:t>116</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rPr/>
      </w:pPr>
      <w:r>
        <w:rPr/>
        <w:t>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rPr/>
      </w:pPr>
      <w:r>
        <w:rPr>
          <w:i/>
          <w:iCs/>
        </w:rPr>
        <w:t>Darlington, Ontario</w:t>
      </w:r>
      <w:r>
        <w:rPr/>
        <w:t xml:space="preserve"> is the initiative site: Ontario Power Generation (OPG) plans four units for C$20.9 billion, Unit 1 in service in 2030 (Ontario Power Generation, 2025a); Units 2–4 need further licensing (Section 3.6.1). </w:t>
      </w:r>
      <w:r>
        <w:rPr>
          <w:i/>
          <w:iCs/>
        </w:rPr>
        <w:t>Liddell</w:t>
      </w:r>
      <w:r>
        <w:rPr/>
        <w:t xml:space="preserve"> is the Australian comparison, a closed coal site with a grid connection.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21"/>
        </w:numPr>
        <w:rPr/>
      </w:pPr>
      <w:r>
        <w:rPr/>
        <w:t>What does one BWRX-300 emit, and where? (Section 3.2)</w:t>
      </w:r>
    </w:p>
    <w:p>
      <w:pPr>
        <w:pStyle w:val="Compact"/>
        <w:numPr>
          <w:ilvl w:val="0"/>
          <w:numId w:val="1"/>
        </w:numPr>
        <w:rPr/>
      </w:pPr>
      <w:r>
        <w:rPr/>
        <w:t>How much does C1 save, and what delay cancels it? (Sections 3.2–3.3)</w:t>
      </w:r>
    </w:p>
    <w:p>
      <w:pPr>
        <w:pStyle w:val="Compact"/>
        <w:numPr>
          <w:ilvl w:val="0"/>
          <w:numId w:val="1"/>
        </w:numPr>
        <w:rPr/>
      </w:pPr>
      <w:r>
        <w:rPr/>
        <w:t>Does a unit’s climate value differ between Ontario and Liddell? (Section 3.3)</w:t>
      </w:r>
    </w:p>
    <w:p>
      <w:pPr>
        <w:pStyle w:val="Compact"/>
        <w:numPr>
          <w:ilvl w:val="0"/>
          <w:numId w:val="1"/>
        </w:numPr>
        <w:rPr/>
      </w:pPr>
      <w:r>
        <w:rPr/>
        <w:t>Which barriers decide whether an SMR is built, and does it beat firmed renewables? (Section 3.1.3, Sections 3.4–3.7)</w:t>
      </w:r>
    </w:p>
    <w:p>
      <w:pPr>
        <w:pStyle w:val="normal1"/>
        <w:rPr/>
      </w:pPr>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rPr/>
      </w:pPr>
      <w:r>
        <w:rPr/>
        <w:t>2 Data Sources/Methodology</w:t>
      </w:r>
    </w:p>
    <w:p>
      <w:pPr>
        <w:pStyle w:val="FirstParagraph"/>
        <w:rPr/>
      </w:pPr>
      <w:r>
        <w:rPr/>
        <w:t>Four methods carry the numbers: a screening life-cycle assessment (LCA), grid displacement with a schedule break-even, a concentration index for fuel supply, and a multi-criteria analysis. Scripts and parameter files regenerate every figure (Appendix A1). Values are taken from the documents cited, or, where marked “as reported”, from the secondary source named. Where readings differ we give the range, and our own assumptions and inferences are labelled as such.</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The screening model is scripted in Python; a Granta EduPack Eco Audit cross-check was planned but not completed.</w:t>
      </w:r>
    </w:p>
    <w:p>
      <w:pPr>
        <w:pStyle w:val="BodyText"/>
        <w:rPr/>
      </w:pPr>
      <w:r>
        <w:rPr/>
        <w:t xml:space="preserve">One unit (300 MWe net assumed; an OPG filing gives 315, within our sensitivity range)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 “without Russia” adds no capacity (Appendix B2).</w:t>
      </w:r>
    </w:p>
    <w:p>
      <w:pPr>
        <w:pStyle w:val="BodyText"/>
        <w:rPr/>
      </w:pPr>
      <w:r>
        <w:rPr/>
        <w:t>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rPr/>
      </w:pPr>
      <w:r>
        <w:rPr/>
        <w:t>Search strategy and patent search: Appendix E.</w:t>
      </w:r>
    </w:p>
    <w:p>
      <w:pPr>
        <w:pStyle w:val="normal1"/>
        <w:rPr/>
      </w:pPr>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Western design closest to doing so, and China’s ACP100 (Linglong One) was still in commissioning, with no criticality reported, in May 2026. Table T1 rates each project on technology readiness levels (TRL): level 8 is a system “completed and qualified through test and demonstration”, level 9 one operated across its full range of conditions (US Department of Energy, 2015). The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 in OPG’s filing)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to proceed expected 2028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gas-cooled (210)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 design approved May 2025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rPr/>
      </w:pPr>
      <w:r>
        <w:rPr/>
        <w:t>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matching first power at Liddell (Section 3.3).</w:t>
      </w:r>
    </w:p>
    <w:p>
      <w:pPr>
        <w:pStyle w:val="Heading3"/>
        <w:rPr/>
      </w:pPr>
      <w:r>
        <w:rPr/>
        <w:t>3.1.2 Technical Descriptions: the BWRX-300 at Darlington</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rPr/>
      </w:pPr>
      <w:r>
        <w:rPr/>
        <w:t>The vendor’s concrete claim is hard to reconcile with Ostrołęka. 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(Section 3.1.4).</w:t>
      </w:r>
    </w:p>
    <w:p>
      <w:pPr>
        <w:pStyle w:val="Heading3"/>
        <w:rPr/>
      </w:pPr>
      <w:r>
        <w:rPr/>
        <w:t>3.1.3 Barriers to cutting emissions with small modular reactors</w:t>
      </w:r>
    </w:p>
    <w:p>
      <w:pPr>
        <w:pStyle w:val="FirstParagraph"/>
        <w:rPr/>
      </w:pPr>
      <w:r>
        <w:rPr/>
        <w:t>Eight barriers decide whether a small modular reactor (SMR) is built and cuts emissions. The initiative, C1 (Section 3.1.4), reaches one directly and is constrained by a second. At Darlington, Ontario, cost and schedule bind. At Liddell, the closed New South Wales coal plant we use as the Australian comparison, law comes first and every later barrier is still open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(OPG’s figure as reported, Ontario Power Generation, 2026b; this study); NuScale cancelled 2023 (Section 3.5.1)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 so financing sets the price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(sum of squared market shares) against 1,800 (World Nuclear Association, 2025; US Department of Justice and Federal Trade Commission,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of enrichment (Section 3.5.2)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(this study, Section 3.2)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concrete needs nuclear qualification before Units 2–4 are fixed (Section 3.6.1)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Support depends on framing; Australia has no consent route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plant would draw on scarce trades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cost, producer-funded; Australia has no disposal route (Nuclear Waste Management Organization, n.d.)</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spent fuel can be licensed without a route (Section 3.4.2)</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BodyText"/>
        <w:rPr/>
      </w:pPr>
      <w:r>
        <w:rPr/>
        <w:t>C1 moves only rows 2 and 5; Section 3.3 and Section 3.6.2 test the schedule risk.</w:t>
      </w:r>
    </w:p>
    <w:p>
      <w:pPr>
        <w:pStyle w:val="normal1"/>
        <w:rPr/>
      </w:pPr>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3.1.4 The initiative: low-clinker concrete for the Darlington Units 2–4 infill</w:t>
      </w:r>
    </w:p>
    <w:p>
      <w:pPr>
        <w:pStyle w:val="FirstParagraph"/>
        <w:rPr/>
      </w:pPr>
      <w:r>
        <w:rPr/>
        <w:t>C1 targets a materials problem that modular construction creates, and it is worth doing only if it is schedule-neutral. 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steel-composite infill only if it is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 (Unit 1’s basemat is placed)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concrete per unit; 20,000 m³ (40%) eligible (BWRX-300 Ostrołęka sp. z o.o., 2023)</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basemat, shaft-wall and forebay-shaft infill if qualified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Pillai et al., 2019); slag cement as fallback</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rPr/>
      </w:pPr>
      <w:r>
        <w:rPr/>
        <w:t>Why it is not the obvious choice. First, the infill problem is specific to modular construction: a mix that flows, stays cool in thick sections and still shields has to be developed (Section 3.8). Second, C1’s value is set by schedule, not by the concrete: under three weeks of delay to a unit cancels its saving (Section 3.3.1), so C1 is a qualification programme timed to Unit 1 mock-ups rather than a binder swap. Third, its lever is financial: the Units 2–4 equity tranche can carry the condition (Section 3.6.2).</w:t>
      </w:r>
    </w:p>
    <w:p>
      <w:pPr>
        <w:pStyle w:val="BodyText"/>
        <w:rPr/>
      </w:pPr>
      <w:r>
        <w:rPr/>
        <w:t>What C1 does not address. It leaves cost, law, fuel supply, social licence and workforce untouched (Table T2); lower-carbon steel in the same structures is the next lever (Section 3.2.3, Section 3.8).</w:t>
      </w:r>
    </w:p>
    <w:p>
      <w:pPr>
        <w:pStyle w:val="normal1"/>
        <w:rPr/>
      </w:pPr>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3.2’s boundary; operation, decommissioning and waste use published per-kWh values (Section 3.2.1).</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burnt in a kiln; M50 concrete 380 kg CO₂e/m³ (Pillai et al., 2019)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with half the clinker (Zunino, 2021); 270 kg CO₂e/m³</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Iron blast-furnace by-product, ground; 146.6 kg CO₂e/t (Slag Cement Association, 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Higher superplasticiser demand, lower flow in trials (Universität der Bundeswehr München,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used in nuclear mixes (Systematic evaluation of concrete placement reliability,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so similar risk (our inference); no LC³ heat data found (Section 3.8)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in calcined clay unknown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p>
      <w:pPr>
        <w:pStyle w:val="BodyText"/>
        <w:rPr/>
      </w:pPr>
      <w:r>
        <w:rPr/>
        <w:t>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 “a few per cent” as waste (Thierfeldt, 2019). On an assumed 2.4 t/m³ and a 2–5% reading, a unit’s 50,000 m³ (120,000 t) would leave 2,400–6,000 t of waste. The europium and cobalt content of calcined clay is unknown, so qualification should measure it (Section 3.8).</w:t>
      </w:r>
    </w:p>
    <w:p>
      <w:pPr>
        <w:pStyle w:val="Heading2"/>
        <w:rPr/>
      </w:pPr>
      <w:r>
        <w:rPr/>
        <w:t>3.2 Lifecycle Analysis</w:t>
      </w:r>
    </w:p>
    <w:p>
      <w:pPr>
        <w:pStyle w:val="FirstParagraph"/>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pStyle w:val="BodyText"/>
        <w:rPr/>
      </w:pPr>
      <w:r>
        <w:rPr/>
        <w:t>Functional unit: 1 MWh of net electricity at the grid connection (g CO₂e/kWh equals kg CO₂e/MWh); transmission is outside. One unit delivers 300 MWe × 8,760 h × 0.90 × 60 years = 1.419 × 10⁸ MWh (Appendix A2). Boundary (Figure F1): cradle to grave. Construction materials and the fuel front end (mining and milling, conversion, enrichment, fabrication) are modelled from published factors; operation and maintenance (O&amp;M), decommissioning and the back end are per-kWh values from EDF’s French-fleet study (EDF R&amp;D, 2024). Baseline (S0): the concrete OPG would pour anyway, at 380 kg CO₂e/m³ (Pillai et al., 2019, as reported; Indian M50 mixes). We have not seen OPG’s mix or any cement-type limit in the specification (GE-Hitachi Nuclear Energy, 2024). Cut-offs: fuel cladding and hardware, conversion chemicals, upstream gas, fuel-plant capital goods and recycling credits; each biases the result low (Section 3.2.5). Impact category: climate change, GWP100.</w:t>
      </w:r>
    </w:p>
    <w:p>
      <w:pPr>
        <w:pStyle w:val="BodyText"/>
        <w:rPr/>
      </w:pPr>
      <w:r>
        <w:rPr/>
        <w:t>A reproducible Python model multiplies quantities by published emission factors (Appendices A and C). Plant quantities come from the Ostrołęka project information sheet (BWRX-300 Ostrołęka sp. z o.o., 2023, as reported in the project information sheet): 50,000 m³ of concrete and 14,000 t of steel per unit.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 A Granta EduPack Eco Audit was planned but not completed; no number here comes from Granta.</w:t>
      </w:r>
    </w:p>
    <w:p>
      <w:pPr>
        <w:pStyle w:val="CaptionedFigure"/>
        <w:rPr/>
      </w:pPr>
      <w:r>
        <w:rPr/>
        <w:drawing>
          <wp:inline distT="0" distB="0" distL="0" distR="0">
            <wp:extent cx="5441315" cy="2835910"/>
            <wp:effectExtent l="0" t="0" r="0" b="0"/>
            <wp:docPr id="9"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conversion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7.2–17.8% across draws). The C1-eligible concrete is only 1.9% of the mode-case total, so C1 acts on about one-fiftieth of the footprint.</w:t>
      </w:r>
    </w:p>
    <w:p>
      <w:pPr>
        <w:pStyle w:val="BodyText"/>
        <w:rPr/>
      </w:pPr>
      <w:r>
        <w:rPr/>
        <w:t>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rPr/>
      </w:pPr>
      <w:r>
        <w:rPr/>
        <w:drawing>
          <wp:inline distT="0" distB="0" distL="0" distR="0">
            <wp:extent cx="5441315" cy="2376170"/>
            <wp:effectExtent l="0" t="0" r="0" b="0"/>
            <wp:docPr id="10"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and drives the result. At 20, 40 and 60% of 50,000 m³, C1 saves 1,100, 2,200 and 3,300 t per unit, or 0.18, 0.36 and 0.54% of its life cycle (Table T5). Letting eligibility, the cut and the volumes vary together gives 2,217 t (1,375–3,294) per unit.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Three findings follow, each with a consequence for the initiative. The saving is small at plant scale. It is about 0.016 g/kWh, so C1 does not change the plant’s climate case. It still exceeds the swing from the LC³ cut (1,672–2,964 t), the largest input other than eligibility. Its economic value is in Section 3.5.1. Slag is about as good as LC³, so the carbon case is for low-clinker concrete, not LC³ in particular. LC³ beats slag in only 55% of draws (median difference +54 t; 90% interval −588 to +766). If OPG’s baseline already contains slag, LC³’s gain is about −90 t, within noise. The specification should accept whichever binder qualifies first (Section 3.6.1).3. Lower-carbon steel is the larger lever but is not part of C1. Steel in the structures C1 targets saves only 566 t per unit (Appendix A7). All 14,000 t at best-practice electric-arc-furnace factors would save up to 3,915 t (1.8 times LC³), but this is an upper bound, not shown feasible for forgings and nuclear-grade plate. It is the next lever (Section 3.8). Schedule dominates. A delay of 11.6–18.5 days to one unit on Ontario’s average grid factor, or 1.7–1.8 days on the marginal factor, cancels its saving (Section 3.3.1; Appendix B5). C1 is therefore specified only if schedule-neutral (Section 3.6.2).</w:t>
      </w:r>
    </w:p>
    <w:p>
      <w:pPr>
        <w:pStyle w:val="BodyText"/>
        <w:rPr/>
      </w:pPr>
      <w:r>
        <w:rPr/>
        <w:t>For the triple-bottom-line evaluation (Section 3.7), C1 is environmentally positive but marginal; feasibility hinges on qualification and schedule.</w:t>
      </w:r>
    </w:p>
    <w:p>
      <w:pPr>
        <w:pStyle w:val="Heading3"/>
        <w:rPr/>
      </w:pPr>
      <w:r>
        <w:rPr/>
        <w:t>3.2.4 Uncertainty: tornado and Monte Carlo</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the total by more than 0.06 g/kWh. The saving depends on four inputs: eligible share (1,100 → 3,300 t), LC³ cut (1,672 → 2,964 t), plant concrete volume (1,760 → 2,640 t) and the OPC factor (1,911 → 2,432 t).</w:t>
      </w:r>
    </w:p>
    <w:p>
      <w:pPr>
        <w:pStyle w:val="CaptionedFigure"/>
        <w:rPr/>
      </w:pPr>
      <w:r>
        <w:rPr/>
        <w:drawing>
          <wp:inline distT="0" distB="0" distL="0" distR="0">
            <wp:extent cx="5441315" cy="2725420"/>
            <wp:effectExtent l="0" t="0" r="0" b="0"/>
            <wp:docPr id="11"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The headline depends on how conversion heat is distributed: fixed at Gibon and Hahn Menacho’s (2023) central 26 kWh/kg U, the median is 3.51 g/kWh (2.80–4.39); log-uniform over 26–665, 4.11 (3.06–6.12). We quote the range of medians, 3.51–4.40. A measured conversion value would settle it. Draws are independent and many ranges are judgement (Appendix C6).</w:t>
      </w:r>
    </w:p>
    <w:p>
      <w:pPr>
        <w:pStyle w:val="CaptionedFigure"/>
        <w:rPr/>
      </w:pPr>
      <w:r>
        <w:rPr/>
        <w:drawing>
          <wp:inline distT="0" distB="0" distL="0" distR="0">
            <wp:extent cx="5441315" cy="1961515"/>
            <wp:effectExtent l="0" t="0" r="0" b="0"/>
            <wp:docPr id="12"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rPr/>
      </w:pPr>
      <w:r>
        <w:rPr/>
        <w:t>Three reasons explain most of the gap (sizes in Appendix C7): Ore grade: our mining is 1.0–1.3 g/kWh, against about 2.8 at global-average grades (Gibon and Hahn Menacho, 2023). Enrichment: centrifuges at 50 kWh per separative work unit, against about 2,500 for the diffusion plants in older study sets. Cut-offs and long life: excluded inputs and a 60-year life bias the result low; at 40 years the mode case rises from 2.86 to 3.07 g/kWh.</w:t>
      </w:r>
    </w:p>
    <w:p>
      <w:pPr>
        <w:pStyle w:val="BodyText"/>
        <w:rPr/>
      </w:pPr>
      <w:r>
        <w:rPr/>
        <w:t>Construction is now 0.41 g/kWh at the mode case (median 0.50), close to EDF’s roughly 0.59 for large reactors (16% of 3.7). The known low bias would raise the total and shrink C1’s share, so it does not weaken Section 3.2.3.</w:t>
      </w:r>
    </w:p>
    <w:p>
      <w:pPr>
        <w:pStyle w:val="CaptionedFigure"/>
        <w:rPr/>
      </w:pPr>
      <w:r>
        <w:rPr/>
        <w:drawing>
          <wp:inline distT="0" distB="0" distL="0" distR="0">
            <wp:extent cx="5441315" cy="2060575"/>
            <wp:effectExtent l="0" t="0" r="0" b="0"/>
            <wp:docPr id="13" name="Image5"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pPr>
        <w:pStyle w:val="normal1"/>
        <w:rPr/>
      </w:pPr>
      <w:r>
        <w:rPr/>
        <mc:AlternateContent>
          <mc:Choice Requires="wps">
            <w:drawing>
              <wp:inline distT="0" distB="0" distL="0" distR="0">
                <wp:extent cx="573151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3.3 National Strategies and Industrial Policies: Carbon Avoided in Ontario and Australia</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p>
      <w:pPr>
        <w:pStyle w:val="Heading3"/>
        <w:rPr/>
      </w:pPr>
      <w:r>
        <w:rPr/>
        <w:t>3.3.1 The value of schedule</w:t>
      </w:r>
    </w:p>
    <w:p>
      <w:pPr>
        <w:pStyle w:val="FirstParagraph"/>
        <w:rPr/>
      </w:pPr>
      <w:r>
        <w:rPr/>
        <w:t>A unit that starts late gives up each day’s displacement (Table T6). Counted to 2050 (the “gross” view) the loss is permanent. Over the plant’s whole life (the “net” view) the lost time returns at end of life, but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Section 3.5.1), so no one is paid for it. Schedule neutrality is therefore the binding condition on C1. The mix must be qualified on Unit 1 mock-ups before the Units 2–4 decision expected in 2028 (Section 3.6.2).</w:t>
      </w:r>
    </w:p>
    <w:p>
      <w:pPr>
        <w:pStyle w:val="Heading3"/>
        <w:rPr/>
      </w:pPr>
      <w:r>
        <w:rPr/>
        <w:t>3.3.2 What one BWRX-300 displaces: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Ontario’s marginal factor of 343 g/kWh it avoids 0.80 Mt (1.9× less) (The Atmospheric Fund, 2025).</w:t>
      </w:r>
    </w:p>
    <w:p>
      <w:pPr>
        <w:pStyle w:val="BodyText"/>
        <w:rPr/>
      </w:pPr>
      <w:r>
        <w:rPr/>
        <w:t>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rPr/>
      </w:pPr>
      <w:r>
        <w:rPr/>
        <w:t>To 2050 (Figure F6), Darlington Unit 1 avoids 1.0–6.8 Mt and Liddell 0.67–3.9 Mt. Liddell wins clearly only if the NEM stays at 640 g/kWh (16.5 Mt).</w:t>
      </w:r>
    </w:p>
    <w:p>
      <w:pPr>
        <w:pStyle w:val="BodyText"/>
        <w:rPr/>
      </w:pPr>
      <w:r>
        <w:rPr/>
        <w:t>The grid trajectory, start year and post-coal floor move these results tenfold; capacity factor, net output and our life-cycle interval move them by a few per cent (Appendix B4). An SMR at Liddell would displace the NEM mix, not Liddell’s coal (Section 1).</w:t>
      </w:r>
    </w:p>
    <w:p>
      <w:pPr>
        <w:pStyle w:val="BodyText"/>
        <w:rPr/>
      </w:pPr>
      <w:r>
        <w:rPr/>
        <w:t>An SMR’s climate value depends on when it runs and what it displaces, not on today’s coal share. In Ontario the case rests on displacing marginal gas. At Liddell it rests on the NEM decarbonising slowly.</w:t>
      </w:r>
    </w:p>
    <w:p>
      <w:pPr>
        <w:pStyle w:val="CaptionedFigure"/>
        <w:rPr/>
      </w:pPr>
      <w:r>
        <w:rPr/>
        <w:drawing>
          <wp:inline distT="0" distB="0" distL="0" distR="0">
            <wp:extent cx="4194810" cy="2862580"/>
            <wp:effectExtent l="0" t="0" r="0" b="0"/>
            <wp:docPr id="1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The same money on firmed renewables</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 10.9× more CO₂e to 2050. They still avoid 5.7× more in the worst case we tested for them (SMR A$230, renewables A$153), and 4.9× with the SMR at A$198 (Appendix B6, Table B28). If A$387–641 is the 2030 range instead, the ratios become 5.0× and 19.1×. Renewables come out ahead because they are cheaper per MWh and start about a decade earlier. Two limits apply: that much new output would itself shift the grid trajectory, and integration costs rise beyond the shares GenCost models. On carbon per dollar, an SMR at Liddell loses. Its case rests on firm supply, land use, system security and a hedge against renewables or transmission falling behind, which Section 3.7 weighs.</w:t>
      </w:r>
    </w:p>
    <w:p>
      <w:pPr>
        <w:pStyle w:val="CaptionedFigure"/>
        <w:rPr/>
      </w:pPr>
      <w:r>
        <w:rPr/>
        <w:drawing>
          <wp:inline distT="0" distB="0" distL="0" distR="0">
            <wp:extent cx="4769485" cy="2578100"/>
            <wp:effectExtent l="0" t="0" r="0" b="0"/>
            <wp:docPr id="1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normal1"/>
        <w:rPr/>
      </w:pPr>
      <w:r>
        <w:rPr/>
        <mc:AlternateContent>
          <mc:Choice Requires="wps">
            <w:drawing>
              <wp:inline distT="0" distB="0" distL="0" distR="0">
                <wp:extent cx="573151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(Section 3.5.1), with taxpayers carrying the cost risk under the Coalition’s 2024 model,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 Contractors and suppliers then decide whether LC³ is deliverable.</w:t>
      </w:r>
    </w:p>
    <w:p>
      <w:pPr>
        <w:pStyle w:val="CaptionedFigure"/>
        <w:rPr/>
      </w:pPr>
      <w:r>
        <w:rPr/>
        <w:drawing>
          <wp:inline distT="0" distB="0" distL="0" distR="0">
            <wp:extent cx="5441315" cy="3894455"/>
            <wp:effectExtent l="0" t="0" r="0" b="0"/>
            <wp:docPr id="20"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and suitable response for C1</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eligible concrete scope, budgets, delivery; oversee qualification and a fallback mix</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Ontario ratepayers through Ontario Energy Board-approved rates (Ontario Power Generation, 2025b)</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compliance and safety case; evaluate material changes where applicable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and other rights holders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cultural and environmental interests; rights-respecting engagement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 lower-carbon economic development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Phase 1 loan, C$0.97 bn (4.6%) (Canada Infrastructure Bank, 2022); equity in two tranches, C$3.0 bn (14.4%), for stakes of up to 15% and 7.5% (Canada Growth Fund and Building Ontario Fund,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ready-mix and clay suppliers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 warranties, continuous quality testing</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electricity customers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transparent reporting, cost and reliability</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Workers, unions and laboratories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Occupational safety, training, testing, reliable construction procedures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jobs per SMR (Section 3.4.2)</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NWMO and waste managers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waste stewardship; funded end-of-life obligations</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Producer-funded (Section 3.4.2)</w:t>
            </w:r>
          </w:p>
        </w:tc>
      </w:tr>
    </w:tbl>
    <w:p>
      <w:pPr>
        <w:pStyle w:val="normal1"/>
        <w:rPr/>
      </w:pPr>
      <w:r>
        <w:rPr/>
        <mc:AlternateContent>
          <mc:Choice Requires="wps">
            <w:drawing>
              <wp:inline distT="0" distB="0" distL="0" distR="0">
                <wp:extent cx="635"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about zero against wind or solar (Markandya and Wilkinson, 2007)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risk factors keep acceptance low (Slovic, 1987); Appendix B8.1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duty to consult met; C$700 m loan converting to equity (Williams Treaties First Nations et al.,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in our searches, itself a finding; no process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Residual dissent and litigation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Scugog Island and Curve Lake raised unmet concerns in 2023–24 (Mississaugas of Scugog Island First Nation, 2023; Curve Lake First Nation,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Kimba ballot 61.6% yes, Barngarla excluded; declaration set aside (</w:t>
            </w:r>
            <w:r>
              <w:rPr>
                <w:rFonts w:eastAsia="Aptos" w:cs="Aptos"/>
                <w:i/>
                <w:iCs/>
                <w:kern w:val="0"/>
                <w:lang w:val="en-US"/>
              </w:rPr>
              <w:t>Barngarla</w:t>
            </w:r>
            <w:r>
              <w:rPr>
                <w:rFonts w:eastAsia="Aptos" w:cs="Aptos"/>
                <w:kern w:val="0"/>
                <w:lang w:val="en-US"/>
              </w:rPr>
              <w:t xml:space="preserve"> [2023] FCA 809)</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Excluding Traditional Owners left the declaration open to challenge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 unions support (Power Workers’ Union, 2021)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scarce trades</w:t>
            </w:r>
          </w:p>
        </w:tc>
      </w:tr>
    </w:tbl>
    <w:p>
      <w:pPr>
        <w:pStyle w:val="normal1"/>
        <w:rPr/>
      </w:pPr>
      <w:r>
        <w:rPr/>
        <mc:AlternateContent>
          <mc:Choice Requires="wps">
            <w:drawing>
              <wp:inline distT="0" distB="0" distL="0" distR="0">
                <wp:extent cx="635"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Free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OPG’s reported four-unit LCOE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C$149/MWh (2024 dollars); ours matches at 4.9% real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regulated utility’s cost of capital</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 2020 to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normal1"/>
        <w:rPr/>
      </w:pPr>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rPr/>
      </w:pPr>
      <w:r>
        <w:rPr/>
        <w:t>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(Section 3.6.2).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i/>
          <w:iCs/>
        </w:rPr>
        <w:t>Note: High is above 1,800 (2023) and above 2,500 (2010). Sensitivity and limits: Appendix B2.4–B2.5.</w:t>
      </w:r>
    </w:p>
    <w:p>
      <w:pPr>
        <w:pStyle w:val="normal1"/>
        <w:rPr/>
      </w:pPr>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p>
    <w:p>
      <w:pPr>
        <w:pStyle w:val="BodyText"/>
        <w:rPr/>
      </w:pPr>
      <w:r>
        <w:rPr/>
        <w:t>The non-safety pilot needs no nuclear qualification. Infill qualification must start in 2027, with slag (S1) as the fallback (Section 3.6.2). At Liddell the barrier precedes any materials choice: none of these first-order barriers can be solved by changing Portland cement to LC³.</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Labor and the Greens opposed (Appendix B1.2; Parliament of Australia, 2026)</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no body licenses private power reactors, and NSW has no nuclear regulator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new federal regulator or NSW regulator (Appendix B3); the naval regulator began in November 2025 (Minister for Defence,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is established; Units 2–4 need a further authorisation (CNSC, 2026a)</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state approval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stalled in the Assembly, lapses 28 November 2026; Parliament of New South Wales, 2026) or a Commonwealth override under Constitution s 109</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there (Newcastle Herald, 2024a)</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normal1"/>
        <w:rPr/>
      </w:pPr>
      <w:r>
        <w:rPr/>
        <mc:AlternateContent>
          <mc:Choice Requires="wps">
            <w:drawing>
              <wp:inline distT="0" distB="0" distL="0" distR="0">
                <wp:extent cx="63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it depends on; outcome if not met</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with a cap on emissions; non-safety concrete first</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(own contracts); next procurement round (2027)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Classification and provenance: each component’s safety function defined, binder traced; if not, exclude it and revert to the approved mix</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with tranche 2 (around 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verification: EPDs on a comparable product boundary, with transport modelled; if not, no quantified saving claim</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affected safety-class works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lot records and mock-ups; if not met, a further trial, rework or rejection</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the pilot continues in non-safety concrete,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pPr>
        <w:pStyle w:val="normal1"/>
        <w:rPr/>
      </w:pPr>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3.7 Triple-bottom-line evaluation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t>Table T14 applies the triple bottom line to C1 at Darlington and to the comparison at Liddell, each cell traced to its section.</w:t>
      </w:r>
    </w:p>
    <w:p>
      <w:pPr>
        <w:pStyle w:val="BodyText"/>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supply and end-of-life effects are uncertain. Unit 1 avoids 1.0–6.8 Mt to 2050.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modest beside capital and less than one day of delay (C$1.8–2.9 m); qualification, sourcing and schedule risk matter.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ownership or underwriting (our inference, Section 3.5.1).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converting to equity. C1 adds no consent issue at the site; sourcing and workplace dust need open handling.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 Enrichment and conversion would be imported.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social-licence and legal scores from Appendix B8.3 and B3. Technology readiness level (TRL) is not scored.</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rPr/>
      </w:pPr>
      <w:r>
        <w:rPr/>
        <w:t>SMR + C1 and SMR are indistinguishable. 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rPr/>
      </w:pPr>
      <w:r>
        <w:rPr/>
        <w:t>The status quo’s second place over the SMR is a scaling artefact. It scores full marks on cost, supply and legal feasibility because it changes nothing; on fixed global scales the SMR moves above it. Renewables stay first on both.</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(Section 3.6.2).</w:t>
      </w:r>
    </w:p>
    <w:p>
      <w:pPr>
        <w:pStyle w:val="BodyText"/>
        <w:rPr/>
      </w:pPr>
      <w:r>
        <w:rPr/>
        <w:t>An SMR at Liddell would need its cost gap closed, first power well before 2040, and the legal and consent barriers removed first (Appendix B3, route C). We would keep SMRs under review against Darlington’s outturn cost.</w:t>
      </w:r>
    </w:p>
    <w:p>
      <w:pPr>
        <w:pStyle w:val="BodyText"/>
        <w:rPr/>
      </w:pPr>
      <w:r>
        <w:rPr/>
        <w:t>The social, legal and renewables-supply scores and all four weight sets are our judgement. The status quo’s lead over the SMR depends on the scaling; only “renewables first” is robust to it. Schedule risk enters through first power (2040 at the earliest; the Coalition’s 2035 and a 2045 case change nothing). Costs are GenCost’s (Graham, Hayward and Foster, 2024); the renewables supply score uses solar PV alone (International Energy Agency, 2022).</w:t>
      </w:r>
    </w:p>
    <w:p>
      <w:pPr>
        <w:pStyle w:val="normal1"/>
        <w:rPr/>
      </w:pPr>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LC³ heat-of-hydration data found; M50 strength 56.7 against 60.0 MPa (Pillai et al., 2019)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through diaphragm holes, temperature rise and shrinkage; qualification under NEDO-33926, which reportedly rests on a modified AISC N690 (GE-Hitachi Nuclear Energy, 2024), before the approval expected in 2028 (American Nuclear Society, 2026)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in vessel steel (Canadian Nuclear Safety Commission, 2023b)</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first outside the pressure boundary (our inference)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licence application was accepted in August 2025 (Silex Systems Limited, 2025) and Cameco takes its output (Silex Systems Limited,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per unit of energy (Krall, Macfarlane and Ewing, 2022; contested); ANSTO’s Synroc ceramic, hot-pressed at 1,000 °C and 30 MPa, cuts volume against cement but is pre-commissioning (ANSTO, n.d.)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 for Australia, an export of know-how rather than a reason to build</w:t>
            </w:r>
          </w:p>
        </w:tc>
      </w:tr>
    </w:tbl>
    <w:p>
      <w:pPr>
        <w:pStyle w:val="Heading1"/>
        <w:rPr/>
      </w:pPr>
      <w:r>
        <w:rPr/>
        <w:t>4 Conclusion</w:t>
      </w:r>
    </w:p>
    <w:p>
      <w:pPr>
        <w:pStyle w:val="FirstParagraph"/>
        <w:rPr/>
      </w:pPr>
      <w:r>
        <w:rPr/>
        <w:t>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rPr/>
      </w:pPr>
      <w:r>
        <w:rPr/>
        <w:t>Our answers to the four research questions are as follows.</w:t>
      </w:r>
    </w:p>
    <w:p>
      <w:pPr>
        <w:pStyle w:val="Compact"/>
        <w:numPr>
          <w:ilvl w:val="0"/>
          <w:numId w:val="22"/>
        </w:numPr>
        <w:rPr/>
      </w:pPr>
      <w:r>
        <w:rPr>
          <w:i/>
          <w:iCs/>
        </w:rPr>
        <w:t>Life cycle (Section 3.2).</w:t>
      </w:r>
      <w:r>
        <w:rPr/>
        <w:t xml:space="preserve"> One BWRX-300 emits about 4 g CO₂e/kWh, mostly from the fuel front end; conversion heat is the largest uncertainty.</w:t>
      </w:r>
    </w:p>
    <w:p>
      <w:pPr>
        <w:pStyle w:val="Compact"/>
        <w:numPr>
          <w:ilvl w:val="0"/>
          <w:numId w:val="23"/>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24"/>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25"/>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Ranked materials levers.. Schedule: a month’s slip to Units 2–4 costs 29–175 times C1’s carbon value (Section 3.3). Fuel front end: a measured conversion-heat value would narrow the headline most (Section 3.2). Whole-plant steel: up to 3,714 t per unit, if feasible for nuclear-grade plate (Section 3.8). Concrete (C1): real and low-risk if schedule-neutral, but it moves the life cycle by about 0.36%.</w:t>
      </w:r>
    </w:p>
    <w:p>
      <w:pPr>
        <w:pStyle w:val="BodyText"/>
        <w:rPr/>
      </w:pPr>
      <w:r>
        <w:rPr/>
        <w:t>A screening LCA, not critically reviewed; MCDA scores and weights are our judgement; inputs are as described in Section 2; legislation is as compiled, without the 2025 EPBC reforms.</w:t>
      </w:r>
    </w:p>
    <w:p>
      <w:pPr>
        <w:pStyle w:val="normal1"/>
        <w:rPr/>
      </w:pPr>
      <w:r>
        <w:rPr/>
        <mc:AlternateContent>
          <mc:Choice Requires="wps">
            <w:drawing>
              <wp:inline distT="0" distB="0" distL="0" distR="0">
                <wp:extent cx="57315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ABC News, 2026. Coalition vows to “take a chainsaw” to climate laws and offshore wind. </w:t>
      </w:r>
      <w:r>
        <w:rPr>
          <w:i/>
          <w:iCs/>
        </w:rPr>
        <w:t>ABC News</w:t>
      </w:r>
      <w:r>
        <w:rPr/>
        <w:t>, 23 September. [online] Available at: https://www.abc.net.au/news/2026-09-23/coalition-energy-plan-scrap-renewables-climate-laws/107184376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ARPANSA, n.d. </w:t>
      </w:r>
      <w:r>
        <w:rPr>
          <w:i/>
          <w:iCs/>
        </w:rPr>
        <w:t>Who we regulate</w:t>
      </w:r>
      <w:r>
        <w:rPr/>
        <w:t>. [online] Australian Radiation Protection and Nuclear Safety Agency. Available at: https://www.arpansa.gov.au/regulation-and-licensing/regulation/about-regulatory-services/who-we-regulate [Accessed 20 October 2026].</w:t>
      </w:r>
    </w:p>
    <w:p>
      <w:pPr>
        <w:pStyle w:val="BodyText"/>
        <w:rPr/>
      </w:pPr>
      <w:r>
        <w:rPr/>
        <w:t xml:space="preserve">The Atmospheric Fund, 2021. </w:t>
      </w:r>
      <w:r>
        <w:rPr>
          <w:i/>
          <w:iCs/>
        </w:rPr>
        <w:t>A Clearer View of Ontario’s Emissions: Electricity Emissions Factors and Guidelines, 2021 Edition</w:t>
      </w:r>
      <w:r>
        <w:rPr/>
        <w:t>. [pdf] Toronto: The Atmospheric Fund. Available at: https://taf.ca/custom/uploads/2021/11/20211116_TAF_Emissions-Factors-Guidelines.pdf.</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Electoral Commission, 2019. </w:t>
      </w:r>
      <w:r>
        <w:rPr>
          <w:i/>
          <w:iCs/>
        </w:rPr>
        <w:t>District Council of Kimba community ballot on the National Radioactive Waste Management Facility: results</w:t>
      </w:r>
      <w:r>
        <w:rPr/>
        <w:t>. Canberra: Australian Electoral Commission.</w:t>
      </w:r>
    </w:p>
    <w:p>
      <w:pPr>
        <w:pStyle w:val="BodyText"/>
        <w:rPr/>
      </w:pPr>
      <w:r>
        <w:rPr/>
        <w:t xml:space="preserve">Australian Electoral Commission, 2025. </w:t>
      </w:r>
      <w:r>
        <w:rPr>
          <w:i/>
          <w:iCs/>
        </w:rPr>
        <w:t>2025 federal election report</w:t>
      </w:r>
      <w:r>
        <w:rPr/>
        <w:t>. [pdf] Canberra: Australian Electoral Commission. Available at: https://www.aec.gov.au/Elections/federal_elections/2025/2025-Federal-Election-Report.pdf [Accessed 20 October 2026].</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Market Operator, 2025. </w:t>
      </w:r>
      <w:r>
        <w:rPr>
          <w:i/>
          <w:iCs/>
        </w:rPr>
        <w:t>Carbon Dioxide Equivalent Intensity Index Procedures</w:t>
      </w:r>
      <w:r>
        <w:rPr/>
        <w:t>. [pdf] Melbourne: AEMO. Available at: https://aemo.com.au/-/media/files/electricity/nem/settlements_and_payments/settlements/2025/carbon-dioxide-equivalent-intensity-index-procedures.pdf.</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Australian Greens, 2025. </w:t>
      </w:r>
      <w:r>
        <w:rPr>
          <w:i/>
          <w:iCs/>
        </w:rPr>
        <w:t>2035: Powering Past Coal &amp; Gas</w:t>
      </w:r>
      <w:r>
        <w:rPr/>
        <w:t>. [pdf] Available at: https://cdn.greens.org.au/cdn/ff/fk0q_VgBQA5t00ZlhkPcF6i2IEZByQHBjpMq1g6YdVQ/1744244709/public/2025-04/2035%20Powering%20Past%20Coal%20&amp;%20Gas.pdf [Accessed 20 October 2026].</w:t>
      </w:r>
    </w:p>
    <w:p>
      <w:pPr>
        <w:pStyle w:val="BodyText"/>
        <w:rPr/>
      </w:pPr>
      <w:r>
        <w:rPr/>
        <w:t xml:space="preserve">Bowen, C., 2025. </w:t>
      </w:r>
      <w:r>
        <w:rPr>
          <w:i/>
          <w:iCs/>
        </w:rPr>
        <w:t>Joint media release: Experts agree: nuclear only getting more expensive, slower for Australia’s energy needs</w:t>
      </w:r>
      <w:r>
        <w:rPr/>
        <w:t>. [online] Canberra: Minister for Climate Change and Energy. Available at: https://minister.dcceew.gov.au/bowen/media-releases/joint-media-release-experts-agree-nuclear-only-getting-more-expensive-slower-australias-energy-needs [Accessed 20 October 2026].</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Energy Regulator, n.d. </w:t>
      </w:r>
      <w:r>
        <w:rPr>
          <w:i/>
          <w:iCs/>
        </w:rPr>
        <w:t>Provincial and Territorial Energy Profiles – Ontario</w:t>
      </w:r>
      <w:r>
        <w:rPr/>
        <w:t>. [online] Available at: https://www.cer-rec.gc.ca/en/data-analysis/energy-markets/provincial-territorial-energy-profiles/provincial-territorial-energy-profiles-ontario.html.</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Canberra Times, 2025. Dutton’s nuclear power plan faces legal hurdles. </w:t>
      </w:r>
      <w:r>
        <w:rPr>
          <w:i/>
          <w:iCs/>
        </w:rPr>
        <w:t>Canberra Times</w:t>
      </w:r>
      <w:r>
        <w:rPr/>
        <w:t>. [online] Available at: https://www.canberratimes.com.au/story/8851241/duttons-nuclear-power-plan-faces-legal-hurdles/ [Accessed 20 October 2026].</w:t>
      </w:r>
    </w:p>
    <w:p>
      <w:pPr>
        <w:pStyle w:val="BodyText"/>
        <w:rPr/>
      </w:pPr>
      <w:r>
        <w:rPr/>
        <w:t xml:space="preserve">Canberra Times, n.d. ‘Nightmare scenario’: states slam Dutton’s nuclear plan. </w:t>
      </w:r>
      <w:r>
        <w:rPr>
          <w:i/>
          <w:iCs/>
        </w:rPr>
        <w:t>Canberra Times</w:t>
      </w:r>
      <w:r>
        <w:rPr/>
        <w:t>. [online] Available at: https://www.canberratimes.com.au/story/8668232/nightmare-scenario-states-slam-duttons-nuclear-plan/ [Accessed 20 October 2026].</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Cement Association of Canada, 2022. </w:t>
      </w:r>
      <w:r>
        <w:rPr>
          <w:i/>
          <w:iCs/>
        </w:rPr>
        <w:t>Environmental Product Declaration: General Use (GU) and Portland-Limestone (GUL) Cements</w:t>
      </w:r>
      <w:r>
        <w:rPr/>
        <w:t>. [pdf] Available at: https://www.astm.org/v3/assets/blt5eb0a2cb04534832/blt9992df315e96e31c/697b1f51f6a61062618f5048/919.CAC_General_Use_(GU)</w:t>
      </w:r>
      <w:r>
        <w:rPr>
          <w:i/>
          <w:iCs/>
        </w:rPr>
        <w:t>and_Portland-Limestone</w:t>
      </w:r>
      <w:r>
        <w:rPr/>
        <w:t>(GUL)_Cements.pdf.</w:t>
      </w:r>
    </w:p>
    <w:p>
      <w:pPr>
        <w:pStyle w:val="BodyText"/>
        <w:rPr/>
      </w:pPr>
      <w:r>
        <w:rPr/>
        <w:t xml:space="preserve">Circular Ecology, 2019. </w:t>
      </w:r>
      <w:r>
        <w:rPr>
          <w:i/>
          <w:iCs/>
        </w:rPr>
        <w:t>Inventory of Carbon and Energy (ICE) database v3.0</w:t>
      </w:r>
      <w:r>
        <w:rPr/>
        <w:t>. Bath: Circular Ecology.</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Concrete Reinforcing Steel Institute, 2022. </w:t>
      </w:r>
      <w:r>
        <w:rPr>
          <w:i/>
          <w:iCs/>
        </w:rPr>
        <w:t>Environmental Product Declaration: Fabricated Steel Reinforcement</w:t>
      </w:r>
      <w:r>
        <w:rPr/>
        <w:t>. Schaumburg, IL: Concrete Reinforcing Steel Institute. Available at: https://www.crsi.org/sustainability/environmental-product-declaration/.</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CSA Group, 2026. </w:t>
      </w:r>
      <w:r>
        <w:rPr>
          <w:i/>
          <w:iCs/>
        </w:rPr>
        <w:t>CSA N287.2, Material requirements for concrete containment structures for nuclear power plants</w:t>
      </w:r>
      <w:r>
        <w:rPr/>
        <w:t>. [online] Standard catalogue information. Toronto: CSA Group. Available at: https://webstore.ansi.org/standards/csa/csan2872026 [Accessed 25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Department of Industry, Science, Energy and Resources, 2020. </w:t>
      </w:r>
      <w:r>
        <w:rPr>
          <w:i/>
          <w:iCs/>
        </w:rPr>
        <w:t>A new agency to manage radioactive waste</w:t>
      </w:r>
      <w:r>
        <w:rPr/>
        <w:t>. [online] Available at: https://industry.gov.au/news-media/australian-radioactive-waste-agency-news/a-new-agency-to-manage-radioactive-waste [Accessed 21 October 2026].</w:t>
      </w:r>
    </w:p>
    <w:p>
      <w:pPr>
        <w:pStyle w:val="BodyText"/>
        <w:rPr/>
      </w:pPr>
      <w:r>
        <w:rPr/>
        <w:t xml:space="preserve">Development Alternatives, n.d. </w:t>
      </w:r>
      <w:r>
        <w:rPr>
          <w:i/>
          <w:iCs/>
        </w:rPr>
        <w:t>LC3 Sustainability Assessment</w:t>
      </w:r>
      <w:r>
        <w:rPr/>
        <w:t xml:space="preserve"> (ver 1.14). Available at: https://devalt.org/images/L2_ProjectPdfs/Report%20-%20LC3%20Sustainability%20Assessment_ver1.14.pdf.</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EFNARC, 2005. </w:t>
      </w:r>
      <w:r>
        <w:rPr>
          <w:i/>
          <w:iCs/>
        </w:rPr>
        <w:t>The European Guidelines for Self-Compacting Concrete: Specification, Production and Use</w:t>
      </w:r>
      <w:r>
        <w:rPr/>
        <w:t>. Farnham: EFNARC.</w:t>
      </w:r>
    </w:p>
    <w:p>
      <w:pPr>
        <w:pStyle w:val="BodyText"/>
        <w:rPr/>
      </w:pPr>
      <w:r>
        <w:rPr/>
        <w:t xml:space="preserve">ENR, 2018. Clay and limestone cement could cut carbon emissions. </w:t>
      </w:r>
      <w:r>
        <w:rPr>
          <w:i/>
          <w:iCs/>
        </w:rPr>
        <w:t>Engineering News-Record</w:t>
      </w:r>
      <w:r>
        <w:rPr/>
        <w:t>, 7 May. Available at: https://digital.bnpmedia.com/article/Construction+Materials/3078554/494167/article.html.</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Geneski, N., McKellar, J.M. and Atkinson, K.D., n.d. Life cycle environmental impacts of small modular reactors: BWRX-300 Darlington project. </w:t>
      </w:r>
      <w:r>
        <w:rPr>
          <w:i/>
          <w:iCs/>
        </w:rPr>
        <w:t>Proceedings of the Canadian Nuclear Society</w:t>
      </w:r>
      <w:r>
        <w:rPr/>
        <w:t>. Available at: https://proceedings.cns-snc.ca/index.php/pcns/article/view/7692.</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Government of Ontario, n.d. </w:t>
      </w:r>
      <w:r>
        <w:rPr>
          <w:i/>
          <w:iCs/>
        </w:rPr>
        <w:t>Ontario energy snapshot</w:t>
      </w:r>
      <w:r>
        <w:rPr/>
        <w:t>. [online] Available at: https://www.ontario.ca/page/ontario-energy-snapshot.</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Graham, P., Hayward, J. and Foster, J., 2025. </w:t>
      </w:r>
      <w:r>
        <w:rPr>
          <w:i/>
          <w:iCs/>
        </w:rPr>
        <w:t>GenCost 2024-25: Final report</w:t>
      </w:r>
      <w:r>
        <w:rPr/>
        <w:t>. [pdf] Australia: CSIRO. Executive summary available at: https://www.csiro.au/-/media/Energy/GenCost/GenCost2024-25Final_ES.pdf.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Independent Electricity System Operator, 2024. </w:t>
      </w:r>
      <w:r>
        <w:rPr>
          <w:i/>
          <w:iCs/>
        </w:rPr>
        <w:t>Ontario’s Energy Future: Spring 2024 Update</w:t>
      </w:r>
      <w:r>
        <w:rPr/>
        <w:t>. [pdf] Toronto: Independent Electricity System Operator. Available at: https://www.ieso.ca/-/media/Files/IESO/Document-Library/Decarbonization-Hub/IESO-Ontarios-Energy-Future-Spring-2024.pdf.</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IPCC, 2006. </w:t>
      </w:r>
      <w:r>
        <w:rPr>
          <w:i/>
          <w:iCs/>
        </w:rPr>
        <w:t>2006 IPCC Guidelines for National Greenhouse Gas Inventories</w:t>
      </w:r>
      <w:r>
        <w:rPr/>
        <w:t>, Vol. 2 Energy, Ch. 2, Table 2.2. Hayama: Institute for Global Environmental Strategies.</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Kazatomprom, 2025. </w:t>
      </w:r>
      <w:r>
        <w:rPr>
          <w:i/>
          <w:iCs/>
        </w:rPr>
        <w:t>Integrated Annual Report 2024</w:t>
      </w:r>
      <w:r>
        <w:rPr/>
        <w:t>. [pdf] Astana: NAC Kazatomprom JSC. Available at: https://www.kazatomprom.kz/storage/59/kap_iar_2024_eng_0205__clean.pdf [Accessed 20 October 2026].</w:t>
      </w:r>
    </w:p>
    <w:p>
      <w:pPr>
        <w:pStyle w:val="BodyText"/>
        <w:rPr/>
      </w:pPr>
      <w:r>
        <w:rPr/>
        <w:t xml:space="preserve">Kim and Macfarlane, 2026. </w:t>
      </w:r>
      <w:r>
        <w:rPr>
          <w:i/>
          <w:iCs/>
        </w:rPr>
        <w:t>Challenges of small modular reactors: a comprehensive exploration</w:t>
      </w:r>
      <w:r>
        <w:rPr/>
        <w:t>. [pdf] Available at: https://www.nirs.org/wp-content/uploads/2025/09/SMR-Costs_Challenges-of-SMRs-cost-waste_Kim-Macfarlane_2026.pdf.</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LACCEI, 2026. Comparative life cycle assessment and structural performance analysis of eco-friendly LC3 cement for CO₂ reduction compared to Portland cement. In: </w:t>
      </w:r>
      <w:r>
        <w:rPr>
          <w:i/>
          <w:iCs/>
        </w:rPr>
        <w:t>Proceedings of the 24th LACCEI International Multi-Conference for Engineering, Education and Technology</w:t>
      </w:r>
      <w:r>
        <w:rPr/>
        <w:t>, Santiago, Chile, 15–17 July 2026. Contribution 2661. Available at: https://laccei.org/LACCEI2026-Chile/full-papers/Contribution_2661_final_a.pdf.</w:t>
      </w:r>
    </w:p>
    <w:p>
      <w:pPr>
        <w:pStyle w:val="BodyText"/>
        <w:rPr/>
      </w:pPr>
      <w:r>
        <w:rPr/>
        <w:t xml:space="preserve">LC3 Project, 2015. </w:t>
      </w:r>
      <w:r>
        <w:rPr>
          <w:i/>
          <w:iCs/>
        </w:rPr>
        <w:t>LCA of LC3: India team progress</w:t>
      </w:r>
      <w:r>
        <w:rPr/>
        <w:t xml:space="preserve"> (industry meeting, September 2015). Available at: https://lc3.ch/wp-content/uploads/2023/03/LCA-of-LC3-India-team-progress-Industry-meeting-Sep-2015.pdf.</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 xml:space="preserve">Minister for Defence, 2025. </w:t>
      </w:r>
      <w:r>
        <w:rPr>
          <w:i/>
          <w:iCs/>
        </w:rPr>
        <w:t>An AUKUS milestone – launch of the Australian Naval Nuclear Power Safety Regulator</w:t>
      </w:r>
      <w:r>
        <w:rPr/>
        <w:t>. [media release] 1 November. Available at: https://www.minister.defence.gov.au/media-releases/2025-11-01/aukus-milestone-launch-australian-naval-nuclear-power-safety-regulator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Municipality of Clarington, 2024. Letter / written submission to the CNSC on the DNNP licence to construct. Available at: https://api.cnsc-ccsn.gc.ca/dms/digital-medias/CMD24-H2-12.pdf/object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Newspoll, 2007. National survey on nuclear power, 2–4 March 2007 (n ≈ 1,200). Published in </w:t>
      </w:r>
      <w:r>
        <w:rPr>
          <w:i/>
          <w:iCs/>
        </w:rPr>
        <w:t>The Australian</w:t>
      </w:r>
      <w:r>
        <w:rPr/>
        <w:t>.</w:t>
      </w:r>
    </w:p>
    <w:p>
      <w:pPr>
        <w:pStyle w:val="BodyText"/>
        <w:rPr/>
      </w:pPr>
      <w:r>
        <w:rPr/>
        <w:t xml:space="preserve">Ng, J.H.C., Vyawahare, P., Benavides, P.T., Gan, Y., Sun, P., Boardman, R., Marcinkoski, J. and Elgowainy, A., 2025. Life-cycle greenhouse gas emissions associated with nuclear power generation in the United States. </w:t>
      </w:r>
      <w:r>
        <w:rPr>
          <w:i/>
          <w:iCs/>
        </w:rPr>
        <w:t>Journal of Industrial Ecology</w:t>
      </w:r>
      <w:r>
        <w:rPr/>
        <w:t>, 29(3), pp.719–732. Available at: https://doi.org/10.1111/jiec.70008.</w:t>
      </w:r>
    </w:p>
    <w:p>
      <w:pPr>
        <w:pStyle w:val="BodyText"/>
        <w:rPr/>
      </w:pPr>
      <w:r>
        <w:rPr/>
        <w:t xml:space="preserve">Norton Rose Fulbright, 2025. </w:t>
      </w:r>
      <w:r>
        <w:rPr>
          <w:i/>
          <w:iCs/>
        </w:rPr>
        <w:t>Key amendments to the Environment Protection Reform Act 2025 and their implications for the EPBC Act</w:t>
      </w:r>
      <w:r>
        <w:rPr/>
        <w:t>. [online] Available at: https://www.nortonrosefulbright.com/en-au/knowledge/publications/df336551/key-amendments-to-the-environment-protection-reform-act-2025-and-their-implications-for-the-epbc-act [Accessed 20 October 2026].</w:t>
      </w:r>
    </w:p>
    <w:p>
      <w:pPr>
        <w:pStyle w:val="BodyText"/>
        <w:rPr/>
      </w:pPr>
      <w:r>
        <w:rPr/>
        <w:t xml:space="preserve">NRMCA, 2021. </w:t>
      </w:r>
      <w:r>
        <w:rPr>
          <w:i/>
          <w:iCs/>
        </w:rPr>
        <w:t>Environmental Product Declaration EPD 20046: St Marys Cement, Bowmanville plant</w:t>
      </w:r>
      <w:r>
        <w:rPr/>
        <w:t>. [pdf] Available at: https://www.nrmca.org/wp-content/uploads/2021/09/NRMCA_EPD20046StMarys_EPD_BOW_Sep2021.pdf.</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2026. </w:t>
      </w:r>
      <w:r>
        <w:rPr>
          <w:i/>
          <w:iCs/>
        </w:rPr>
        <w:t>Form 10-K for the fiscal year ended 31 December 2025</w:t>
      </w:r>
      <w:r>
        <w:rPr/>
        <w:t>. Washington, DC: US Securities and Exchange Commission. Available at: https://www.sec.gov/Archives/edgar/data/1822966/000182296626000018/smr-20251231.htm.</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Power Workers’ Union, 2021. </w:t>
      </w:r>
      <w:r>
        <w:rPr>
          <w:i/>
          <w:iCs/>
        </w:rPr>
        <w:t>Written submission in support of OPG’s application to renew the Darlington power reactor operating licence</w:t>
      </w:r>
      <w:r>
        <w:rPr/>
        <w:t>, CMD 21-H4.38. Available at: https://api.cnsc-ccsn.gc.ca/dms/digital-medias/CMD21-H4-38.pdf/object [Accessed 21 October 2026].</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Reserve Bank of Australia, 2025. </w:t>
      </w:r>
      <w:r>
        <w:rPr>
          <w:i/>
          <w:iCs/>
        </w:rPr>
        <w:t>Historical Data: Exchange Rates (F11)</w:t>
      </w:r>
      <w:r>
        <w:rPr/>
        <w:t>. [online] Sydney: Reserve Bank of Australia.</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 xml:space="preserve">Senate Environment and Communications Legislation Committee, 2023. </w:t>
      </w:r>
      <w:r>
        <w:rPr>
          <w:i/>
          <w:iCs/>
        </w:rPr>
        <w:t>Environment and Other Legislation Amendment (Removing Nuclear Energy Prohibitions) Bill 2022 [Provisions]</w:t>
      </w:r>
      <w:r>
        <w:rPr/>
        <w:t>. [online] Canberra: Parliament of Australia. Available at: https://www.aph.gov.au/Parliamentary_Business/Committees/Senate/Environment_and_Communications/Nuclearprohibitions [Accessed 20 October 2026].</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1988. </w:t>
      </w:r>
      <w:r>
        <w:rPr>
          <w:i/>
          <w:iCs/>
        </w:rPr>
        <w:t>Regulatory Guide 1.99, Revision 2: Radiation embrittlement of reactor vessel materials</w:t>
      </w:r>
      <w:r>
        <w:rPr/>
        <w:t>. [pdf] Washington, DC: US Nuclear Regulatory Commission. Available at: https://www.nrc.gov/docs/ML1214/ML12145A013.pdf [Accessed 25 October 2026].</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Heading4"/>
        <w:rPr/>
      </w:pPr>
      <w:r>
        <w:rPr/>
        <w:t>Legislation</w:t>
      </w:r>
    </w:p>
    <w:p>
      <w:pPr>
        <w:pStyle w:val="FirstParagraph"/>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Heading4"/>
        <w:rPr/>
      </w:pPr>
      <w:r>
        <w:rPr/>
        <w:t>Cases</w:t>
      </w:r>
    </w:p>
    <w:p>
      <w:pPr>
        <w:pStyle w:val="FirstParagraph"/>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t>[TODO: team to write the AI-use declaration required by the unit (CLAUDE.md: the team decides how AI use is declared).]</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t>This appendix gives the full working behind Section 3.2.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p>
      <w:pPr>
        <w:pStyle w:val="Heading4"/>
        <w:rPr/>
      </w:pPr>
      <w:r>
        <w:rPr/>
        <w:t>A1. Reproducing the results</w:t>
      </w:r>
    </w:p>
    <w:p>
      <w:pPr>
        <w:pStyle w:val="FirstParagraph"/>
        <w:rPr/>
      </w:pPr>
      <w:r>
        <w:rPr/>
        <w:t xml:space="preserve">Every table and figure in Section 3.2 and Appendices A and C regenerates in about five seconds from one parameter file. To change a value, edit </w:t>
      </w:r>
      <w:r>
        <w:rPr>
          <w:rStyle w:val="VerbatimChar"/>
        </w:rPr>
        <w:t>parameters_lca.yaml</w:t>
      </w:r>
      <w:r>
        <w:rPr/>
        <w:t xml:space="preserve"> and re-run the three scripts.</w:t>
      </w:r>
    </w:p>
    <w:p>
      <w:pPr>
        <w:pStyle w:val="BodyText"/>
        <w:rPr/>
      </w:pPr>
      <w:r>
        <w:rPr>
          <w:i/>
          <w:iCs/>
        </w:rPr>
        <w:t>Table A1. Scripts, inputs and outputs.</w:t>
      </w:r>
      <w:r>
        <w:rPr/>
        <w:t xml:space="preserve"> </w:t>
      </w:r>
      <w:r>
        <w:rPr>
          <w:i/>
          <w:iCs/>
        </w:rPr>
        <w:t xml:space="preserve">Source: </w:t>
      </w:r>
      <w:r>
        <w:rPr>
          <w:rStyle w:val="VerbatimChar"/>
          <w:i/>
          <w:iCs/>
        </w:rPr>
        <w:t>03_LCA_Calculations/</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Step</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Command (from the repository root)</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inventory, fuel mass balance, stage totals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03_LCA_Calculations/scripts/lca_baseline.py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results/lca_baseline.md</w:t>
            </w:r>
            <w:r>
              <w:rPr>
                <w:rFonts w:eastAsia="Aptos" w:cs="Aptos"/>
                <w:kern w:val="0"/>
                <w:lang w:val="en-US"/>
              </w:rPr>
              <w:t xml:space="preserve">, </w:t>
            </w:r>
            <w:r>
              <w:rPr>
                <w:rStyle w:val="VerbatimChar"/>
                <w:rFonts w:eastAsia="Aptos" w:cs="Aptos"/>
                <w:kern w:val="0"/>
                <w:lang w:val="en-US"/>
              </w:rPr>
              <w:t>lca_inventory.csv</w:t>
            </w:r>
            <w:r>
              <w:rPr>
                <w:rFonts w:eastAsia="Aptos" w:cs="Aptos"/>
                <w:kern w:val="0"/>
                <w:lang w:val="en-US"/>
              </w:rPr>
              <w:t xml:space="preserve">, </w:t>
            </w:r>
            <w:r>
              <w:rPr>
                <w:rStyle w:val="VerbatimChar"/>
                <w:rFonts w:eastAsia="Aptos" w:cs="Aptos"/>
                <w:kern w:val="0"/>
                <w:lang w:val="en-US"/>
              </w:rPr>
              <w:t>lca_stages.csv</w:t>
            </w:r>
            <w:r>
              <w:rPr>
                <w:rFonts w:eastAsia="Aptos" w:cs="Aptos"/>
                <w:kern w:val="0"/>
                <w:lang w:val="en-US"/>
              </w:rPr>
              <w:t xml:space="preserve">, </w:t>
            </w:r>
            <w:r>
              <w:rPr>
                <w:rStyle w:val="VerbatimChar"/>
                <w:rFonts w:eastAsia="Aptos" w:cs="Aptos"/>
                <w:kern w:val="0"/>
                <w:lang w:val="en-US"/>
              </w:rPr>
              <w:t>lca_fuel.csv</w:t>
            </w:r>
            <w:r>
              <w:rPr>
                <w:rFonts w:eastAsia="Aptos" w:cs="Aptos"/>
                <w:kern w:val="0"/>
                <w:lang w:val="en-US"/>
              </w:rPr>
              <w:t>, Figure F1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Initiative scenarios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03_LCA_Calculations/scripts/lca_scenarios.py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results/lca_scenarios.md</w:t>
            </w:r>
            <w:r>
              <w:rPr>
                <w:rFonts w:eastAsia="Aptos" w:cs="Aptos"/>
                <w:kern w:val="0"/>
                <w:lang w:val="en-US"/>
              </w:rPr>
              <w:t xml:space="preserve">, </w:t>
            </w:r>
            <w:r>
              <w:rPr>
                <w:rStyle w:val="VerbatimChar"/>
                <w:rFonts w:eastAsia="Aptos" w:cs="Aptos"/>
                <w:kern w:val="0"/>
                <w:lang w:val="en-US"/>
              </w:rPr>
              <w:t>lca_scenarios.csv</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Tornado and Monte Carlo (Appendix C)</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03_LCA_Calculations/scripts/lca_uncertainty.py</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results/lca_uncertainty.md</w:t>
            </w:r>
            <w:r>
              <w:rPr>
                <w:rFonts w:eastAsia="Aptos" w:cs="Aptos"/>
                <w:kern w:val="0"/>
                <w:lang w:val="en-US"/>
              </w:rPr>
              <w:t xml:space="preserve">, </w:t>
            </w:r>
            <w:r>
              <w:rPr>
                <w:rStyle w:val="VerbatimChar"/>
                <w:rFonts w:eastAsia="Aptos" w:cs="Aptos"/>
                <w:kern w:val="0"/>
                <w:lang w:val="en-US"/>
              </w:rPr>
              <w:t>lca_tornado.csv</w:t>
            </w:r>
            <w:r>
              <w:rPr>
                <w:rFonts w:eastAsia="Aptos" w:cs="Aptos"/>
                <w:kern w:val="0"/>
                <w:lang w:val="en-US"/>
              </w:rPr>
              <w:t xml:space="preserve">, </w:t>
            </w:r>
            <w:r>
              <w:rPr>
                <w:rStyle w:val="VerbatimChar"/>
                <w:rFonts w:eastAsia="Aptos" w:cs="Aptos"/>
                <w:kern w:val="0"/>
                <w:lang w:val="en-US"/>
              </w:rPr>
              <w:t>lca_montecarlo_summary.csv</w:t>
            </w:r>
            <w:r>
              <w:rPr>
                <w:rFonts w:eastAsia="Aptos" w:cs="Aptos"/>
                <w:kern w:val="0"/>
                <w:lang w:val="en-US"/>
              </w:rPr>
              <w:t xml:space="preserve">, </w:t>
            </w:r>
            <w:r>
              <w:rPr>
                <w:rStyle w:val="VerbatimChar"/>
                <w:rFonts w:eastAsia="Aptos" w:cs="Aptos"/>
                <w:kern w:val="0"/>
                <w:lang w:val="en-US"/>
              </w:rPr>
              <w:t>lca_stages_expected.csv</w:t>
            </w:r>
            <w:r>
              <w:rPr>
                <w:rFonts w:eastAsia="Aptos" w:cs="Aptos"/>
                <w:kern w:val="0"/>
                <w:lang w:val="en-US"/>
              </w:rPr>
              <w:t>, Figures F2–F5</w:t>
            </w:r>
          </w:p>
        </w:tc>
      </w:tr>
    </w:tbl>
    <w:p>
      <w:pPr>
        <w:pStyle w:val="BodyText"/>
        <w:rPr/>
      </w:pPr>
      <w:r>
        <w:rPr/>
        <w:t xml:space="preserve">All three scripts read only </w:t>
      </w:r>
      <w:r>
        <w:rPr>
          <w:rStyle w:val="VerbatimChar"/>
        </w:rPr>
        <w:t>03_LCA_Calculations/parameters_lca.yaml</w:t>
      </w:r>
      <w:r>
        <w:rPr/>
        <w:t xml:space="preserve"> (68 parameters, each with a value, range, distribution, source key and status).</w:t>
      </w:r>
    </w:p>
    <w:p>
      <w:pPr>
        <w:pStyle w:val="Heading4"/>
        <w:rPr/>
      </w:pPr>
      <w:r>
        <w:rPr/>
        <w:t>A2. Functional unit, lifetime output and key assumptions</w:t>
      </w:r>
    </w:p>
    <w:p>
      <w:pPr>
        <w:pStyle w:val="FirstParagraph"/>
        <w:rPr/>
      </w:pPr>
      <w:r>
        <w:rPr>
          <w:b/>
          <w:bCs/>
        </w:rPr>
        <w:t>Result.</w:t>
      </w:r>
      <w:r>
        <w:rPr/>
        <w:t xml:space="preserve"> One unit delivers 1.419 × 10⁸ MWh over its life, the denominator for every per-MWh value in Section 3.2 and Section 3.3.</w:t>
      </w:r>
    </w:p>
    <w:p>
      <w:pPr>
        <w:pStyle w:val="Compact"/>
        <w:numPr>
          <w:ilvl w:val="0"/>
          <w:numId w:val="3"/>
        </w:numPr>
        <w:rPr/>
      </w:pPr>
      <w:r>
        <w:rPr/>
        <w:t>Annual output = P_net × 8,760 h × CF = 300 MWe × 8,760 × 0.90 = 2,365,200 MWh/yr.</w:t>
      </w:r>
    </w:p>
    <w:p>
      <w:pPr>
        <w:pStyle w:val="Compact"/>
        <w:numPr>
          <w:ilvl w:val="0"/>
          <w:numId w:val="3"/>
        </w:numPr>
        <w:rPr/>
      </w:pPr>
      <w:r>
        <w:rPr/>
        <w:t xml:space="preserve">Lifetime output E = 2,365,200 × 60 = </w:t>
      </w:r>
      <w:r>
        <w:rPr>
          <w:b/>
          <w:bCs/>
        </w:rPr>
        <w:t>1.419 × 10⁸ MWh</w:t>
      </w:r>
      <w:r>
        <w:rPr/>
        <w:t>.</w:t>
      </w:r>
    </w:p>
    <w:p>
      <w:pPr>
        <w:pStyle w:val="Compact"/>
        <w:numPr>
          <w:ilvl w:val="0"/>
          <w:numId w:val="3"/>
        </w:numPr>
        <w:rPr/>
      </w:pPr>
      <w:r>
        <w:rPr/>
        <w:t xml:space="preserve">Net efficiency η = P_net / P_th = 300 / 870 = </w:t>
      </w:r>
      <w:r>
        <w:rPr>
          <w:b/>
          <w:bCs/>
        </w:rPr>
        <w:t>0.345</w:t>
      </w:r>
      <w:r>
        <w:rPr/>
        <w:t xml:space="preserve"> (870 MWt from Sun and Kurosaki, 2025, an unrefereed preprint).</w:t>
      </w:r>
    </w:p>
    <w:p>
      <w:pPr>
        <w:pStyle w:val="Compact"/>
        <w:numPr>
          <w:ilvl w:val="0"/>
          <w:numId w:val="3"/>
        </w:numPr>
        <w:rPr/>
      </w:pPr>
      <w:r>
        <w:rPr/>
        <w:t>Conversion to the functional unit: 1 t CO₂e spread over E is 7.05 × 10⁻⁶ g/kWh.</w:t>
      </w:r>
    </w:p>
    <w:p>
      <w:pPr>
        <w:pStyle w:val="FirstParagraph"/>
        <w:rPr/>
      </w:pPr>
      <w:r>
        <w:rPr/>
        <w:t>Inputs: P_net 300 MWe (GE Vernova Hitachi Nuclear Energy, n.d.), with 315 MWe net in OPG’s filing to the Ontario Energy Board (Ontario Power Generation, 2025b) as the upper bound; CF 0.90, a placeholder shared with Section 3.3; L 60 years (Canadian Nuclear Safety Commission, 2024; 65 years is reported elsewhere).</w:t>
      </w:r>
    </w:p>
    <w:p>
      <w:pPr>
        <w:pStyle w:val="BodyText"/>
        <w:rPr/>
      </w:pPr>
      <w:r>
        <w:rPr>
          <w:i/>
          <w:iCs/>
        </w:rPr>
        <w:t>Table A2a. Plant quantities and results per unit: main case and cross-check.</w:t>
      </w:r>
      <w:r>
        <w:rPr/>
        <w:t xml:space="preserve"> </w:t>
      </w:r>
      <w:r>
        <w:rPr>
          <w:i/>
          <w:iCs/>
        </w:rPr>
        <w:t>Source: this study; BWRX-300 Ostrołęka sp. z o.o. (2023), as reported in the project information sheet; Peterson, Zhao and Petroski (2005).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Main case (Ostrołęka)</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Cross-check (bottom-up)</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per unit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(input range 40,000–60,000)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20,700 m³ (69 m³/MWe × 300 MWe)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per MWe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167 m³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69 m³</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per unit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14,000 t (11,200–16,800)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 t (33 t/MWe × 300 MWe)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plate, structural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6,500 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3,105 t; 6,795 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20,000 m³ (40%; 10,000–30,000)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13,081 m³ (infill and forebay shaft)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mode case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57,600 t CO₂e (0.41 g/kWh)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34,381 t (0.24 g/kWh)</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mode case; Monte Carlo median (90% interval)</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 4.40 (3.24–6.05) g/kWh</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4.20 (3.05–5.86) g/kWh</w:t>
            </w:r>
          </w:p>
        </w:tc>
      </w:tr>
    </w:tbl>
    <w:p>
      <w:pPr>
        <w:pStyle w:val="BodyText"/>
        <w:rPr/>
      </w:pPr>
      <w:r>
        <w:rPr>
          <w:i/>
          <w:iCs/>
        </w:rPr>
        <w:t>Table A2b. Key assumptions for one BWRX-300 at Darlington (all 45 ranged inputs in Appendix C, Table C2).</w:t>
      </w:r>
      <w:r>
        <w:rPr/>
        <w:t xml:space="preserve"> </w:t>
      </w:r>
      <w:r>
        <w:rPr>
          <w:i/>
          <w:iCs/>
        </w:rPr>
        <w:t xml:space="preserve">Source: </w:t>
      </w:r>
      <w:r>
        <w:rPr>
          <w:rStyle w:val="VerbatimChar"/>
          <w:i/>
          <w:iCs/>
        </w:rPr>
        <w:t>parameters_lca.yaml</w:t>
      </w:r>
      <w:r>
        <w:rPr>
          <w:i/>
          <w:iCs/>
        </w:rPr>
        <w:t>; references as listed. Ranges are model input bounds, not result intervals.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(input range)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 capacity factor; design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MWe (300–315); 0.90 (0.80–0.95); 60 years (40–80)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Nuclear Energy (n.d.); Ontario Power Generation (2025b); placeholder; Canadian Nuclear Safety Commission (2024)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(40,000–60,000); 14,000 t (11,200–16,800)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is our 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 factor (S0)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 (330–420)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 Ontario values (334 and 417)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 factor; cut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28.9% (22–39%)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is our 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Eligible share for LC³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(20–60%)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non-safety works first; DPSC infill only if qualified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plate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1.73 (1.22–2.50) t CO₂e/t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a 2022 declaration supersedes it); American Institute of Steel Construction (2022), Buy Clean California limits as proxies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bulk materials (25–150%)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kg CO₂e/kg U₃O₈ (24–81)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centrifuge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(26–665); 50 kWh/SWU (40–100)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burnup</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 U-235 (3.4–4.95); 45 GWd/t (35–55)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Sun and Kurosaki (2025), unrefereed preprint; assumption (both placeholders)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 (×0.5 to ×2; decommissioning ×3)</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stage shares as reported by secondary sources; back end by difference</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and slag inputs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GU cement 854 kg CO₂e/t (796–898); slag cement 146.6 (93.4–146.6); binder 350 kg/m³</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Association of Canada (2022); Slag Cement Association (n.d.); assumption</w:t>
            </w:r>
          </w:p>
        </w:tc>
      </w:tr>
    </w:tbl>
    <w:p>
      <w:pPr>
        <w:pStyle w:val="Heading4"/>
        <w:rPr/>
      </w:pPr>
      <w:r>
        <w:rPr/>
        <w:t>A3. Material quantities per unit</w:t>
      </w:r>
    </w:p>
    <w:p>
      <w:pPr>
        <w:pStyle w:val="FirstParagraph"/>
        <w:rPr/>
      </w:pPr>
      <w:r>
        <w:rPr>
          <w:b/>
          <w:bCs/>
        </w:rPr>
        <w:t>Result.</w:t>
      </w:r>
      <w:r>
        <w:rPr/>
        <w:t xml:space="preserve"> The main case is 50,000 m³ of concrete and 14,000 t of steel per unit, with 20,000 m³ (40%) eligible for C1. </w:t>
      </w:r>
      <w:r>
        <w:rPr>
          <w:b/>
          <w:bCs/>
        </w:rPr>
        <w:t>These come from a Polish design (Ostrołęka) and are a proxy, not measured Darlington quantities.</w:t>
      </w:r>
      <w:r>
        <w:rPr/>
        <w:t xml:space="preserve"> 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pStyle w:val="Compact"/>
        <w:numPr>
          <w:ilvl w:val="0"/>
          <w:numId w:val="26"/>
        </w:numPr>
        <w:rPr/>
      </w:pPr>
      <w:r>
        <w:rPr/>
        <w:t xml:space="preserve">Rebar = ρ × plant concrete = 0.15 t/m³ × 50,000 = </w:t>
      </w:r>
      <w:r>
        <w:rPr>
          <w:b/>
          <w:bCs/>
        </w:rPr>
        <w:t>7,500 t</w:t>
      </w:r>
      <w:r>
        <w:rPr/>
        <w:t xml:space="preserve"> (assumption; range 0.10–0.25, the high value being the forebay’s observed 0.25). Plate, structural and equipment steel = 14,000 − 7,500 = </w:t>
      </w:r>
      <w:r>
        <w:rPr>
          <w:b/>
          <w:bCs/>
        </w:rPr>
        <w:t>6,500 t</w:t>
      </w:r>
      <w:r>
        <w:rPr/>
        <w:t>. Rebar is capped at total steel, so plate never goes negative.</w:t>
      </w:r>
    </w:p>
    <w:p>
      <w:pPr>
        <w:pStyle w:val="Compact"/>
        <w:numPr>
          <w:ilvl w:val="0"/>
          <w:numId w:val="27"/>
        </w:numPr>
        <w:rPr/>
      </w:pPr>
      <w:r>
        <w:rPr/>
        <w:t xml:space="preserve">C1-eligible concrete = eligible share × plant concrete = 0.40 × 50,000 = </w:t>
      </w:r>
      <w:r>
        <w:rPr>
          <w:b/>
          <w:bCs/>
        </w:rPr>
        <w:t>20,000 m³</w:t>
      </w:r>
      <w:r>
        <w:rPr/>
        <w:t>; 10,000 and 30,000 m³ at 20% and 60%. The eligible share is a scenario, not data.</w:t>
      </w:r>
    </w:p>
    <w:p>
      <w:pPr>
        <w:pStyle w:val="Compact"/>
        <w:numPr>
          <w:ilvl w:val="0"/>
          <w:numId w:val="28"/>
        </w:numPr>
        <w:rPr/>
      </w:pPr>
      <w:r>
        <w:rPr/>
        <w:t>The Monte Carlo 90% interval for plant concrete is 43,224–56,772 m³ (the input is triangular, 40,000–50,000–60,000 m³).</w:t>
      </w:r>
    </w:p>
    <w:p>
      <w:pPr>
        <w:pStyle w:val="FirstParagraph"/>
        <w:rPr/>
      </w:pPr>
      <w:r>
        <w:rPr>
          <w:b/>
          <w:bCs/>
        </w:rPr>
        <w:t>Cross-check (bottom-up).</w:t>
      </w:r>
      <w:r>
        <w:rPr/>
        <w:t xml:space="preserve"> 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p>
      <w:pPr>
        <w:pStyle w:val="Heading4"/>
        <w:rPr/>
      </w:pPr>
      <w:r>
        <w:rPr/>
        <w:t>A4. Construction inventory and corrections to the team spreadsheet</w:t>
      </w:r>
    </w:p>
    <w:p>
      <w:pPr>
        <w:pStyle w:val="FirstParagraph"/>
        <w:rPr/>
      </w:pPr>
      <w:r>
        <w:rPr>
          <w:b/>
          <w:bCs/>
        </w:rPr>
        <w:t>Result.</w:t>
      </w:r>
      <w:r>
        <w:rPr/>
        <w:t xml:space="preserve"> Construction emits 57,600 t CO₂e per unit at the mode case (0.41 g/kWh); concrete and steel are about equal.</w:t>
      </w:r>
    </w:p>
    <w:p>
      <w:pPr>
        <w:pStyle w:val="BodyText"/>
        <w:rPr/>
      </w:pPr>
      <w:r>
        <w:rPr>
          <w:i/>
          <w:iCs/>
        </w:rPr>
        <w:t>Table A4. Construction inventory per unit (S0, mode case; production-stage factors).</w:t>
      </w:r>
      <w:r>
        <w:rPr/>
        <w:t xml:space="preserve"> </w:t>
      </w:r>
      <w:r>
        <w:rPr>
          <w:i/>
          <w:iCs/>
        </w:rPr>
        <w:t xml:space="preserve">Source: </w:t>
      </w:r>
      <w:r>
        <w:rPr>
          <w:rStyle w:val="VerbatimChar"/>
          <w:i/>
          <w:iCs/>
        </w:rPr>
        <w:t>results/lca_baseline.md</w:t>
      </w:r>
      <w:r>
        <w:rPr>
          <w:i/>
          <w:iCs/>
        </w:rPr>
        <w:t>; factors as in A5.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 (40%)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20,000 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7,600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plant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30,000 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11,400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t CO₂e/t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structural and equipment steel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t CO₂e/t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 to site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15 km, steel 500 km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 kg CO₂e/t-km</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the above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Construction total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57,600</w:t>
            </w:r>
          </w:p>
        </w:tc>
      </w:tr>
    </w:tbl>
    <w:p>
      <w:pPr>
        <w:pStyle w:val="BodyText"/>
        <w:rPr/>
      </w:pPr>
      <w:r>
        <w:rPr/>
        <w:t xml:space="preserve">Corrections made to the team spreadsheet (kept as </w:t>
      </w:r>
      <w:r>
        <w:rPr>
          <w:rStyle w:val="VerbatimChar"/>
        </w:rPr>
        <w:t>Accounting_corrected.csv</w:t>
      </w:r>
      <w:r>
        <w:rPr/>
        <w:t xml:space="preserve">; the originals are untouched): 1. </w:t>
      </w:r>
      <w:r>
        <w:rPr>
          <w:b/>
          <w:bCs/>
        </w:rPr>
        <w:t>Site.</w:t>
      </w:r>
      <w:r>
        <w:rPr/>
        <w:t xml:space="preserve"> The Darlington New Nuclear Project is in Clarington, Ontario, not Ottawa. 2. </w:t>
      </w:r>
      <w:r>
        <w:rPr>
          <w:b/>
          <w:bCs/>
        </w:rPr>
        <w:t>Tunnel boring.</w:t>
      </w:r>
      <w:r>
        <w:rPr/>
        <w:t xml:space="preserve"> The 4,127.29 m³ in the assumptions file is the forebay concrete (4,000 m³) plus its rebar (127.39 m³), not a bored volume. Tunnel-boring energy sits in the construction uplift until data exist. 3. </w:t>
      </w:r>
      <w:r>
        <w:rPr>
          <w:b/>
          <w:bCs/>
        </w:rPr>
        <w:t>Scope.</w:t>
      </w:r>
      <w:r>
        <w:rPr/>
        <w:t xml:space="preserve"> The forebay and basemat-module rows describe one milestone of one Unit 1 structure and are labelled partial; the whole-unit rows replace them. 4. </w:t>
      </w:r>
      <w:r>
        <w:rPr>
          <w:b/>
          <w:bCs/>
        </w:rPr>
        <w:t>Rebar</w:t>
      </w:r>
      <w:r>
        <w:rPr/>
        <w:t xml:space="preserve"> uses a recycled-content (electric-arc furnace) factor, not virgin steel, and construction electricity is not assumed renewable.</w:t>
      </w:r>
    </w:p>
    <w:p>
      <w:pPr>
        <w:pStyle w:val="Heading4"/>
        <w:rPr/>
      </w:pPr>
      <w:r>
        <w:rPr/>
        <w:t>A5. Emission factors</w:t>
      </w:r>
    </w:p>
    <w:p>
      <w:pPr>
        <w:pStyle w:val="FirstParagraph"/>
        <w:rPr/>
      </w:pPr>
      <w:r>
        <w:rPr>
          <w:b/>
          <w:bCs/>
        </w:rPr>
        <w:t>Result.</w:t>
      </w:r>
      <w:r>
        <w:rPr/>
        <w:t xml:space="preserve"> 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rPr/>
      </w:pPr>
      <w:r>
        <w:rPr>
          <w:i/>
          <w:iCs/>
        </w:rPr>
        <w:t>Table A5. Emission and energy factors used.</w:t>
      </w:r>
      <w:r>
        <w:rPr/>
        <w:t xml:space="preserve"> </w:t>
      </w:r>
      <w:r>
        <w:rPr>
          <w:i/>
          <w:iCs/>
        </w:rPr>
        <w:t xml:space="preserve">Source: </w:t>
      </w:r>
      <w:r>
        <w:rPr>
          <w:rStyle w:val="VerbatimChar"/>
          <w:i/>
          <w:iCs/>
        </w:rPr>
        <w:t>parameters_lca.yaml</w:t>
      </w:r>
      <w:r>
        <w:rPr>
          <w:i/>
          <w:iCs/>
        </w:rPr>
        <w:t>; references as listed.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Range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 (OPC, M50)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330–420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cut 28.9% (22–39%)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assumed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(electric-arc furnace, fabricated)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0.89–1.99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low = American Institute of Steel Construction (2022) limit; high = world average (Circular Ecology, 2019, read via a secondary)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structural and equipment steel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1.22–2.50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 a Buy Clean California limit (a policy ceiling, not an industry average), used as a proxy; high assumed for forged equipment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Heavy truck</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0.06–0.15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CO₂e/t-km</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24–81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CO₂e/kg U₃O₈</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 Saskatchewan, production-weighted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electricity; heat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11.8; 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10.3–16.9; 26–665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kWh/kg 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enrichment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kWh/SWU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kWh/kg 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conversion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0.035–0.343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low = Canada Energy Regulator (n.d.)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enrichment and fabrication (USA)</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0.373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0.05–0.637 (enrichment); 0.20–0.637 (fabrication)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lows assumed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Natural-gas heat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IPCC (2006): 56,100 kg/TJ × 3.6 × 10⁻⁶ TJ/kWh; combustion only, upstream gas cut off</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0.17–0.67; 0.06–0.33; 0.28–1.11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 CO₂e/kWh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9%, 3% and 15% of 3.7 g/kWh, shares as reported by secondary sources, back end by difference; ranges assumed for transfer to one BWRX-300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and slag only:</w:t>
            </w:r>
            <w:r>
              <w:rPr>
                <w:rFonts w:eastAsia="Aptos" w:cs="Aptos"/>
                <w:kern w:val="0"/>
                <w:lang w:val="en-US"/>
              </w:rPr>
              <w:t xml:space="preserve"> GU 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854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796–898 (regional spread)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Association of Canada (2022), Central region; St Marys Bowmanville declaration (NRMCA, 2021) to replace it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and slag only:</w:t>
            </w:r>
            <w:r>
              <w:rPr>
                <w:rFonts w:eastAsia="Aptos" w:cs="Aptos"/>
                <w:kern w:val="0"/>
                <w:lang w:val="en-US"/>
              </w:rPr>
              <w:t xml:space="preserve"> slag 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146.6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93.4–146.6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Cement Association (n.d.)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only:</w:t>
            </w:r>
            <w:r>
              <w:rPr>
                <w:rFonts w:eastAsia="Aptos" w:cs="Aptos"/>
                <w:kern w:val="0"/>
                <w:lang w:val="en-US"/>
              </w:rPr>
              <w:t xml:space="preserve"> binder content (infill; other)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450; 350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400–550; 300–420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EFNARC (2005) for the SCC range; central and high assumed</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only:</w:t>
            </w:r>
            <w:r>
              <w:rPr>
                <w:rFonts w:eastAsia="Aptos" w:cs="Aptos"/>
                <w:kern w:val="0"/>
                <w:lang w:val="en-US"/>
              </w:rPr>
              <w:t xml:space="preserve"> clinker factor GU; LC³</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0.92; 0.50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0.90–0.95; 0.50–0.55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t/t binder</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Scrivener et al. (2018)</w:t>
            </w:r>
          </w:p>
        </w:tc>
      </w:tr>
    </w:tbl>
    <w:p>
      <w:pPr>
        <w:pStyle w:val="BodyText"/>
        <w:rPr/>
      </w:pPr>
      <w:r>
        <w:rPr>
          <w:b/>
          <w:bCs/>
        </w:rPr>
        <w:t>The LC³ cut.</w:t>
      </w:r>
      <w:r>
        <w:rPr/>
        <w:t xml:space="preserve"> 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rPr/>
      </w:pPr>
      <w:r>
        <w:rPr>
          <w:b/>
          <w:bCs/>
        </w:rPr>
        <w:t>Check on the baseline factor.</w:t>
      </w:r>
      <w:r>
        <w:rPr/>
        <w:t xml:space="preserve"> 380 kg CO₂e/m³ lies between the cross-check’s binder-level mixes (329 and 414) and between the Ontario industry baseline of 334 and the 417 benchmark mix (Canadian Ready-Mixed Concrete Association, 2022).</w:t>
      </w:r>
    </w:p>
    <w:p>
      <w:pPr>
        <w:pStyle w:val="Heading4"/>
        <w:rPr/>
      </w:pPr>
      <w:r>
        <w:rPr/>
        <w:t>A6. Concrete and the C1 scenarios</w:t>
      </w:r>
    </w:p>
    <w:p>
      <w:pPr>
        <w:pStyle w:val="FirstParagraph"/>
        <w:rPr/>
      </w:pPr>
      <w:r>
        <w:rPr>
          <w:b/>
          <w:bCs/>
        </w:rPr>
        <w:t>Result.</w:t>
      </w:r>
      <w:r>
        <w:rPr/>
        <w:t xml:space="preserve"> LC³ on 40% of plant concrete saves 2,200 t CO₂e per unit (28.9% of that concrete’s emissions) and avoids about 2,940 t of clinker; a slag blend saves 2,288 t.</w:t>
      </w:r>
    </w:p>
    <w:p>
      <w:pPr>
        <w:pStyle w:val="BodyText"/>
        <w:rPr/>
      </w:pPr>
      <w:r>
        <w:rPr>
          <w:b/>
          <w:bCs/>
        </w:rPr>
        <w:t>Baseline S0</w:t>
      </w:r>
      <w:r>
        <w:rPr/>
        <w:t xml:space="preserve"> 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pStyle w:val="Compact"/>
        <w:numPr>
          <w:ilvl w:val="0"/>
          <w:numId w:val="29"/>
        </w:numPr>
        <w:rPr/>
      </w:pPr>
      <w:r>
        <w:rPr>
          <w:b/>
          <w:bCs/>
        </w:rPr>
        <w:t>LC³ (C1):</w:t>
      </w:r>
      <w:r>
        <w:rPr/>
        <w:t xml:space="preserve"> saving = V_eligible × (380 − 270) / 1,000 = 20,000 × 0.110 = </w:t>
      </w:r>
      <w:r>
        <w:rPr>
          <w:b/>
          <w:bCs/>
        </w:rPr>
        <w:t>2,200 t</w:t>
      </w:r>
      <w:r>
        <w:rPr/>
        <w:t>; 10,000 m³ gives 1,100 t and 30,000 m³ gives 3,300 t. Share of the mode-case life cycle: 2,200 / 406,462 = 0.54%; the Monte Carlo median is lower (0.36%) because the total grows with the skewed inputs while the saving barely moves (Section 3.2.4).</w:t>
      </w:r>
    </w:p>
    <w:p>
      <w:pPr>
        <w:pStyle w:val="Compact"/>
        <w:numPr>
          <w:ilvl w:val="0"/>
          <w:numId w:val="30"/>
        </w:numPr>
        <w:rPr/>
      </w:pPr>
      <w:r>
        <w:rPr>
          <w:b/>
          <w:bCs/>
        </w:rPr>
        <w:t>Slag (S1, fallback):</w:t>
      </w:r>
      <w:r>
        <w:rPr/>
        <w:t xml:space="preserve"> the model’s binder-level cut for 40% slag is 0.4 × (1 − 146.6/854) = 33.1% of binder emissions, which is 30.1% of the concrete’s (binder is 91% of a 350 kg/m³ mix’s emissions), applied to 380 kg/m³: 20,000 × 0.114 = </w:t>
      </w:r>
      <w:r>
        <w:rPr>
          <w:b/>
          <w:bCs/>
        </w:rPr>
        <w:t>2,288 t</w:t>
      </w:r>
      <w:r>
        <w:rPr/>
        <w:t>.</w:t>
      </w:r>
    </w:p>
    <w:p>
      <w:pPr>
        <w:pStyle w:val="Compact"/>
        <w:numPr>
          <w:ilvl w:val="0"/>
          <w:numId w:val="31"/>
        </w:numPr>
        <w:rPr/>
      </w:pPr>
      <w:r>
        <w:rPr>
          <w:b/>
          <w:bCs/>
        </w:rPr>
        <w:t>Clinker (indicative):</w:t>
      </w:r>
      <w:r>
        <w:rPr/>
        <w:t xml:space="preserve"> clinker avoided = V × b × (0.92 − 0.50) / 1,000 with b = 350 kg/m³: 20,000 × 0.147 = </w:t>
      </w:r>
      <w:r>
        <w:rPr>
          <w:b/>
          <w:bCs/>
        </w:rPr>
        <w:t>2,940 t</w:t>
      </w:r>
      <w:r>
        <w:rPr/>
        <w:t>. Pillai’s binder content is not known to us, so this is indicative.</w:t>
      </w:r>
    </w:p>
    <w:p>
      <w:pPr>
        <w:pStyle w:val="Compact"/>
        <w:numPr>
          <w:ilvl w:val="0"/>
          <w:numId w:val="32"/>
        </w:numPr>
        <w:rPr/>
      </w:pPr>
      <w:r>
        <w:rPr>
          <w:b/>
          <w:bCs/>
        </w:rPr>
        <w:t>Units 2–4</w:t>
      </w:r>
      <w:r>
        <w:rPr/>
        <w:t xml:space="preserve"> = 3 × per unit, because Unit 1’s basemat is placed. Whether Unit 1’s shaft-wall infill could still use LC³ is unknown.</w:t>
      </w:r>
    </w:p>
    <w:p>
      <w:pPr>
        <w:pStyle w:val="FirstParagraph"/>
        <w:rPr/>
      </w:pPr>
      <w:r>
        <w:rPr>
          <w:i/>
          <w:iCs/>
        </w:rPr>
        <w:t>Table A6. C1 scenario totals, mode case. Shares divide by the mode-case life-cycle total of the row’s own basis (main 406,462 t; cross-check 383,243 t).</w:t>
      </w:r>
      <w:r>
        <w:rPr/>
        <w:t xml:space="preserve"> </w:t>
      </w:r>
      <w:r>
        <w:rPr>
          <w:i/>
          <w:iCs/>
        </w:rPr>
        <w:t xml:space="preserve">Source: </w:t>
      </w:r>
      <w:r>
        <w:rPr>
          <w:rStyle w:val="VerbatimChar"/>
          <w:i/>
          <w:iCs/>
        </w:rPr>
        <w:t>results/lca_scenarios.md</w:t>
      </w:r>
      <w:r>
        <w:rPr>
          <w:i/>
          <w:iCs/>
        </w:rPr>
        <w:t>.</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Saving t CO₂e/unit</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Units 2–4 t</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Clinker avoided t/unit (Units 2–4)</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 of target concrete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 of unit life cycle</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g/kWh saved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1,470 (4,410)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0.0078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2,200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6,600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2,940 (8,820)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0.541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0.0155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 of plant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4,410 (13,230)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0.812</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0.0233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2,576 (7,728)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0.563</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0.0161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w:t>
            </w:r>
            <w:r>
              <w:rPr>
                <w:rFonts w:eastAsia="Aptos" w:cs="Aptos"/>
                <w:kern w:val="0"/>
                <w:lang w:val="en-US"/>
              </w:rPr>
              <w:t xml:space="preserve"> slag in infill and forebay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4,657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2,019 (6,057)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0.405</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0.0109</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w:t>
            </w:r>
            <w:r>
              <w:rPr>
                <w:rFonts w:eastAsia="Aptos" w:cs="Aptos"/>
                <w:kern w:val="0"/>
                <w:lang w:val="en-US"/>
              </w:rPr>
              <w:t xml:space="preserve"> LC³ in infill and forebay</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1,734</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5,201</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2,304 (6,913)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34.1</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0.452</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0.0122</w:t>
            </w:r>
          </w:p>
        </w:tc>
      </w:tr>
    </w:tbl>
    <w:p>
      <w:pPr>
        <w:pStyle w:val="BodyText"/>
        <w:rPr/>
      </w:pPr>
      <w:r>
        <w:rPr/>
        <w:t>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rPr/>
      </w:pPr>
      <w:r>
        <w:rPr>
          <w:b/>
          <w:bCs/>
        </w:rPr>
        <w:t>Resource use per unit of output.</w:t>
      </w:r>
      <w:r>
        <w:rPr/>
        <w:t xml:space="preserve"> Clinker avoided = 2,940 t / 1.419 × 10⁸ MWh = 0.021 kg/MWh (9.8 t per MWe). Concrete: 50,000 m³ × 2.4 t/m³ / 1.419 × 10⁸ MWh = 0.85 kg/MWh. Steel: 14,000 t / 1.419 × 10⁸ MWh = 0.099 kg/MWh.</w:t>
      </w:r>
    </w:p>
    <w:p>
      <w:pPr>
        <w:pStyle w:val="Heading4"/>
        <w:rPr/>
      </w:pPr>
      <w:r>
        <w:rPr/>
        <w:t>A7. Steel, transport and construction total</w:t>
      </w:r>
    </w:p>
    <w:p>
      <w:pPr>
        <w:pStyle w:val="FirstParagraph"/>
        <w:rPr/>
      </w:pPr>
      <w:r>
        <w:rPr>
          <w:b/>
          <w:bCs/>
        </w:rPr>
        <w:t>Result.</w:t>
      </w:r>
      <w:r>
        <w:rPr/>
        <w:t xml:space="preserve"> Construction emits 57,600 t CO₂e per unit (0.406 g/kWh, mode case); concrete (19,000 t) and steel (18,520 t) are about equal.</w:t>
      </w:r>
    </w:p>
    <w:p>
      <w:pPr>
        <w:pStyle w:val="Compact"/>
        <w:numPr>
          <w:ilvl w:val="0"/>
          <w:numId w:val="33"/>
        </w:numPr>
        <w:rPr/>
      </w:pPr>
      <w:r>
        <w:rPr/>
        <w:t xml:space="preserve">Concrete: 50,000 m³ × 380 = </w:t>
      </w:r>
      <w:r>
        <w:rPr>
          <w:b/>
          <w:bCs/>
        </w:rPr>
        <w:t>19,000 t</w:t>
      </w:r>
      <w:r>
        <w:rPr/>
        <w:t xml:space="preserve">. Steel: 7,500 × 0.97 + 6,500 × 1.73 = 7,275 + 11,245 = </w:t>
      </w:r>
      <w:r>
        <w:rPr>
          <w:b/>
          <w:bCs/>
        </w:rPr>
        <w:t>18,520 t</w:t>
      </w:r>
      <w:r>
        <w:rPr/>
        <w:t>.</w:t>
      </w:r>
    </w:p>
    <w:p>
      <w:pPr>
        <w:pStyle w:val="Compact"/>
        <w:numPr>
          <w:ilvl w:val="0"/>
          <w:numId w:val="34"/>
        </w:numPr>
        <w:rPr/>
      </w:pPr>
      <w:r>
        <w:rPr/>
        <w:t xml:space="preserve">Transport to site (production-stage module A4): concrete 50,000 m³ × 2.4 t/m³ × 15 km × 0.10 kg/t-km = 180 t; steel 14,000 t × 500 km × 0.10 kg/t-km = 700 t; total </w:t>
      </w:r>
      <w:r>
        <w:rPr>
          <w:b/>
          <w:bCs/>
        </w:rPr>
        <w:t>880 t</w:t>
      </w:r>
      <w:r>
        <w:rPr/>
        <w:t xml:space="preserve"> (distances assumed).</w:t>
      </w:r>
    </w:p>
    <w:p>
      <w:pPr>
        <w:pStyle w:val="Compact"/>
        <w:numPr>
          <w:ilvl w:val="0"/>
          <w:numId w:val="35"/>
        </w:numPr>
        <w:rPr/>
      </w:pPr>
      <w:r>
        <w:rPr/>
        <w:t xml:space="preserve">Other materials and site energy (copper, cabling, insulation, site diesel and electricity, equipment beyond steel production, tunnel boring): 50% (assumption; range 25–150%) of concrete + steel + transport: 0.5 × 38,400 = </w:t>
      </w:r>
      <w:r>
        <w:rPr>
          <w:b/>
          <w:bCs/>
        </w:rPr>
        <w:t>19,200 t</w:t>
      </w:r>
      <w:r>
        <w:rPr/>
        <w:t>.</w:t>
      </w:r>
    </w:p>
    <w:p>
      <w:pPr>
        <w:pStyle w:val="Compact"/>
        <w:numPr>
          <w:ilvl w:val="0"/>
          <w:numId w:val="36"/>
        </w:numPr>
        <w:rPr/>
      </w:pPr>
      <w:r>
        <w:rPr>
          <w:b/>
          <w:bCs/>
        </w:rPr>
        <w:t>Construction total</w:t>
      </w:r>
      <w:r>
        <w:rPr/>
        <w:t xml:space="preserve"> = 19,000 + 18,520 + 880 + 19,200 = </w:t>
      </w:r>
      <w:r>
        <w:rPr>
          <w:b/>
          <w:bCs/>
        </w:rPr>
        <w:t>57,600 t</w:t>
      </w:r>
      <w:r>
        <w:rPr/>
        <w:t xml:space="preserve">, or 57,600 / 1.419 × 10⁸ MWh = </w:t>
      </w:r>
      <w:r>
        <w:rPr>
          <w:b/>
          <w:bCs/>
        </w:rPr>
        <w:t>0.406 g/kWh</w:t>
      </w:r>
      <w:r>
        <w:rPr/>
        <w:t>.</w:t>
      </w:r>
    </w:p>
    <w:p>
      <w:pPr>
        <w:pStyle w:val="FirstParagraph"/>
        <w:rPr/>
      </w:pPr>
      <w:r>
        <w:rPr>
          <w:b/>
          <w:bCs/>
        </w:rPr>
        <w:t>Steel scenarios.</w:t>
      </w:r>
      <w:r>
        <w:rPr/>
        <w:t xml:space="preserve"> S3 is a sensitivity on the baseline steel, not part of C1; only the like-for-like row compares with C1’s saving. - </w:t>
      </w:r>
      <w:r>
        <w:rPr>
          <w:b/>
          <w:bCs/>
        </w:rPr>
        <w:t>Like-for-like (target-structure steel only):</w:t>
      </w:r>
      <w:r>
        <w:rPr/>
        <w:t xml:space="preserve"> 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 </w:t>
      </w:r>
      <w:r>
        <w:rPr>
          <w:b/>
          <w:bCs/>
        </w:rPr>
        <w:t>566 t per unit</w:t>
      </w:r>
      <w:r>
        <w:rPr/>
        <w:t xml:space="preserve">. Shaft-wall module steel is unknown and excluded, so this is a floor. - </w:t>
      </w:r>
      <w:r>
        <w:rPr>
          <w:b/>
          <w:bCs/>
        </w:rPr>
        <w:t>Whole-plant upper bound:</w:t>
      </w:r>
      <w:r>
        <w:rPr/>
        <w:t xml:space="preserve"> all 14,000 t at the same low factors: 7,500 × 0.08 + 6,500 × 0.51 = 600 + 3,315 = </w:t>
      </w:r>
      <w:r>
        <w:rPr>
          <w:b/>
          <w:bCs/>
        </w:rPr>
        <w:t>3,915 t</w:t>
      </w:r>
      <w:r>
        <w:rPr/>
        <w:t xml:space="preserve">. It is an upper bound because it applies a hot-rolled-sections factor to forgings and nuclear-grade plate, for which that factor is not shown to be feasible. - </w:t>
      </w:r>
      <w:r>
        <w:rPr>
          <w:b/>
          <w:bCs/>
        </w:rPr>
        <w:t>World average:</w:t>
      </w:r>
      <w:r>
        <w:rPr/>
        <w:t xml:space="preserve"> all steel at the high-range factors (rebar 1.99, plate 2.50): </w:t>
      </w:r>
      <w:r>
        <w:rPr>
          <w:b/>
          <w:bCs/>
        </w:rPr>
        <w:t>−12,655 t</w:t>
      </w:r>
      <w:r>
        <w:rPr/>
        <w:t>; world-average steel would add emissions.</w:t>
      </w:r>
    </w:p>
    <w:p>
      <w:pPr>
        <w:pStyle w:val="BodyText"/>
        <w:rPr/>
      </w:pPr>
      <w:r>
        <w:rPr>
          <w:i/>
          <w:iCs/>
        </w:rPr>
        <w:t>Table A7b. Further scenarios: slag elsewhere and steel (S2b, S3), mode case and Monte Carlo (median, 5th–95th percentile).</w:t>
      </w:r>
      <w:r>
        <w:rPr/>
        <w:t xml:space="preserve"> </w:t>
      </w:r>
      <w:r>
        <w:rPr>
          <w:i/>
          <w:iCs/>
        </w:rPr>
        <w:t xml:space="preserve">Source: </w:t>
      </w:r>
      <w:r>
        <w:rPr>
          <w:rStyle w:val="VerbatimChar"/>
          <w:i/>
          <w:iCs/>
        </w:rPr>
        <w:t>results/lca_scenarios.md</w:t>
      </w:r>
      <w:r>
        <w:rPr>
          <w:i/>
          <w:iCs/>
        </w:rPr>
        <w:t xml:space="preserve"> and </w:t>
      </w:r>
      <w:r>
        <w:rPr>
          <w:rStyle w:val="VerbatimChar"/>
          <w:i/>
          <w:iCs/>
        </w:rPr>
        <w:t>lca_uncertainty.md</w:t>
      </w:r>
      <w:r>
        <w:rPr>
          <w:i/>
          <w:iCs/>
        </w:rPr>
        <w:t>. S3 rows are steel sensitivities, not part of C1; negative means more emissions than the baseline.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Saving t CO₂e/unit: mode case; Monte Carlo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 mode case; Monte Carlo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S2b: LC³ on 40% plus slag in all other concrete (upper bound)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5,633; 5,517 (4,346–6,841)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16,898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1.39%; 0.89% (0.57–1.36)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like-for-like: target-structure steel only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566; 940 (415–1,580)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1,698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0.14%; 0.15% (0.06–0.28)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upper bound: all steel, best-practice sections factors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3,915; 6,428 (2,521–11,486)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11,745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0.96%; 1.03% (0.38–2.04)</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world-average steel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12,655; −9,914 (−14,037 to −4,904)</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37,965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3.11%; −1.56% (−2.70 to −0.72)</w:t>
            </w:r>
          </w:p>
        </w:tc>
      </w:tr>
    </w:tbl>
    <w:p>
      <w:pPr>
        <w:pStyle w:val="BodyText"/>
        <w:rPr/>
      </w:pPr>
      <w:r>
        <w:rPr/>
        <w:t>At the mode case LC³’s 2,200 t is 3.9 times the like-for-like steel saving (2.4 times at the Monte Carlo median) and 0.6 times the whole-plant upper bound (0.3 at the median). Within the structures C1 targets, concrete is the bigger lever; across the plant, steel is.</w:t>
      </w:r>
    </w:p>
    <w:p>
      <w:pPr>
        <w:pStyle w:val="Heading4"/>
        <w:rPr/>
      </w:pPr>
      <w:r>
        <w:rPr/>
        <w:t>A8. Fuel cycle and life-cycle total</w:t>
      </w:r>
    </w:p>
    <w:p>
      <w:pPr>
        <w:pStyle w:val="FirstParagraph"/>
        <w:rPr/>
      </w:pPr>
      <w:r>
        <w:rPr>
          <w:b/>
          <w:bCs/>
        </w:rPr>
        <w:t>Result.</w:t>
      </w:r>
      <w:r>
        <w:rPr/>
        <w:t xml:space="preserve"> The fuel front end emits 1.46 g/kWh in the mode case (51%) and 2.76 g/kWh on the expected basis (62%, Appendix C3). Four units need about 196 t of natural uranium and 138 tSWU a year.</w:t>
      </w:r>
    </w:p>
    <w:p>
      <w:pPr>
        <w:pStyle w:val="BodyText"/>
        <w:rPr/>
      </w:pPr>
      <w:r>
        <w:rPr/>
        <w:t xml:space="preserve">Mass balance (inputs: burnup B = 45 GWd/t, a placeholder; product assay x_p = 3.8% U-235, a placeholder from Sun and Kurosaki, 2025; feed x_f = 0.711%; tails x_t = 0.25%, an assumption): - Electricity per kg of enriched uranium = B × 24,000 kWh_th per kg per (GWd/t) × η = 45 × 24,000 × 0.345 = 372,414 kWh, so </w:t>
      </w:r>
      <w:r>
        <w:rPr>
          <w:b/>
          <w:bCs/>
        </w:rPr>
        <w:t>2.685 g enriched U per MWh</w:t>
      </w:r>
      <w:r>
        <w:rPr/>
        <w:t xml:space="preserve">. - Feed factor F = (x_p − x_t) / (x_f − x_t) = (3.8 − 0.25) / (0.711 − 0.25) = </w:t>
      </w:r>
      <w:r>
        <w:rPr>
          <w:b/>
          <w:bCs/>
        </w:rPr>
        <w:t>7.70</w:t>
      </w:r>
      <w:r>
        <w:rPr/>
        <w:t xml:space="preserve">, so </w:t>
      </w:r>
      <w:r>
        <w:rPr>
          <w:b/>
          <w:bCs/>
        </w:rPr>
        <w:t>20.68 g natural U per MWh</w:t>
      </w:r>
      <w:r>
        <w:rPr/>
        <w:t xml:space="preserve">. - Separative work per kg of product = V(x_p) + (F − 1) V(x_t) − F V(x_f), with V(x) = (2x − 1) ln[x / (1 − x)]: 2.986 + 6.70 × 5.959 − 7.70 × 4.869 = </w:t>
      </w:r>
      <w:r>
        <w:rPr>
          <w:b/>
          <w:bCs/>
        </w:rPr>
        <w:t>5.42 SWU/kg</w:t>
      </w:r>
      <w:r>
        <w:rPr/>
        <w:t xml:space="preserve">, so </w:t>
      </w:r>
      <w:r>
        <w:rPr>
          <w:b/>
          <w:bCs/>
        </w:rPr>
        <w:t>0.0146 SWU per MWh</w:t>
      </w:r>
      <w:r>
        <w:rPr/>
        <w:t>. - U₃O₈ to uranium: 3 × 238.03 / (3 × 238.03 + 8 × 16.00) = 0.848 kg U per kg U₃O₈.</w:t>
      </w:r>
    </w:p>
    <w:p>
      <w:pPr>
        <w:pStyle w:val="BodyText"/>
        <w:rPr/>
      </w:pPr>
      <w:r>
        <w:rPr/>
        <w:t xml:space="preserve">Stage emissions, kg CO₂e per MWh (= g/kWh), mode case: - Mining and milling = 0.02068 kg U/MWh × 42 / 0.848 = 0.02068 × 49.5 = </w:t>
      </w:r>
      <w:r>
        <w:rPr>
          <w:b/>
          <w:bCs/>
        </w:rPr>
        <w:t>1.024</w:t>
      </w:r>
      <w:r>
        <w:rPr/>
        <w:t xml:space="preserve">. - Conversion = 0.02068 × (11.8 kWh × 0.0738 + 26 kWh × 0.202) = 0.02068 × 6.12 = </w:t>
      </w:r>
      <w:r>
        <w:rPr>
          <w:b/>
          <w:bCs/>
        </w:rPr>
        <w:t>0.127</w:t>
      </w:r>
      <w:r>
        <w:rPr/>
        <w:t xml:space="preserve">. - Enrichment = 0.002685 × 5.42 × 50 kWh/SWU × 0.373 = </w:t>
      </w:r>
      <w:r>
        <w:rPr>
          <w:b/>
          <w:bCs/>
        </w:rPr>
        <w:t>0.272</w:t>
      </w:r>
      <w:r>
        <w:rPr/>
        <w:t xml:space="preserve">. - Fabrication = 0.002685 × 36 kWh × 0.373 = </w:t>
      </w:r>
      <w:r>
        <w:rPr>
          <w:b/>
          <w:bCs/>
        </w:rPr>
        <w:t>0.036</w:t>
      </w:r>
      <w:r>
        <w:rPr/>
        <w:t>.</w:t>
      </w:r>
    </w:p>
    <w:p>
      <w:pPr>
        <w:pStyle w:val="BodyText"/>
        <w:rPr/>
      </w:pPr>
      <w:r>
        <w:rPr>
          <w:i/>
          <w:iCs/>
        </w:rPr>
        <w:t>Table A8a. Fuel demand.</w:t>
      </w:r>
      <w:r>
        <w:rPr/>
        <w:t xml:space="preserve"> </w:t>
      </w:r>
      <w:r>
        <w:rPr>
          <w:i/>
          <w:iCs/>
        </w:rPr>
        <w:t xml:space="preserve">Source: </w:t>
      </w:r>
      <w:r>
        <w:rPr>
          <w:rStyle w:val="VerbatimChar"/>
          <w:i/>
          <w:iCs/>
        </w:rPr>
        <w:t>results/lca_baseline.md</w:t>
      </w:r>
      <w:r>
        <w:rPr>
          <w:i/>
          <w:iCs/>
        </w:rPr>
        <w:t>. Inputs are placeholders until BWRX-300 fuel data are available.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Per MWh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One unit per year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Four units per year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Enriched uranium</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2.685 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6.35 t U</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 t U</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Natural uranium</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20.68 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48.9 t U</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195.6 t U</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Separative work</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0.0146 SWU</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34.4 tSWU</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137.7 tSWU</w:t>
            </w:r>
          </w:p>
        </w:tc>
      </w:tr>
    </w:tbl>
    <w:p>
      <w:pPr>
        <w:pStyle w:val="BodyText"/>
        <w:rPr/>
      </w:pPr>
      <w:r>
        <w:rPr>
          <w:i/>
          <w:iCs/>
        </w:rPr>
        <w:t>Table A8b. Life-cycle emissions by stage, mode case (every input at its central value).</w:t>
      </w:r>
      <w:r>
        <w:rPr/>
        <w:t xml:space="preserve"> </w:t>
      </w:r>
      <w:r>
        <w:rPr>
          <w:i/>
          <w:iCs/>
        </w:rPr>
        <w:t xml:space="preserve">Source: </w:t>
      </w:r>
      <w:r>
        <w:rPr>
          <w:rStyle w:val="VerbatimChar"/>
          <w:i/>
          <w:iCs/>
        </w:rPr>
        <w:t>results/lca_baseline.md</w:t>
      </w:r>
      <w:r>
        <w:rPr>
          <w:i/>
          <w:iCs/>
        </w:rPr>
        <w:t>. The expected-value breakdown quoted in Section 3.2 is in Appendix C3.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 per unit (life)</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mining and milling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145,336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spent fuel and disposal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79,471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46,831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enrichment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38,530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other materials and site energy</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concrete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conversion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17,967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15,610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plate, structural and equipment steel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0.079</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rebar</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0.051</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5,117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transport to site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0.006</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406,462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Of which C1-eligible concrete (40% of plant)</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0.054</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7,600</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1.9%</w:t>
            </w:r>
          </w:p>
        </w:tc>
      </w:tr>
    </w:tbl>
    <w:p>
      <w:pPr>
        <w:pStyle w:val="BodyText"/>
        <w:rPr/>
      </w:pPr>
      <w:r>
        <w:rPr/>
        <w:t>Grouped (mode case): fuel front end 1.458 g/kWh (50.9%); back end and decommissioning 0.670 (23.4%); O&amp;M 0.330 (11.5%); construction 0.406 (14.2%).</w:t>
      </w:r>
    </w:p>
    <w:p>
      <w:pPr>
        <w:pStyle w:val="Heading4"/>
        <w:rPr/>
      </w:pPr>
      <w:r>
        <w:rPr/>
        <w:t>A9. Granta EduPack Eco Audit</w:t>
      </w:r>
    </w:p>
    <w:p>
      <w:pPr>
        <w:pStyle w:val="FirstParagraph"/>
        <w:rPr/>
      </w:pPr>
      <w:r>
        <w:rPr/>
        <w:t>A Granta EduPack Eco Audit cross-check was planned but not completed; the screening model in Appendix A is the basis of all results.</w:t>
      </w:r>
    </w:p>
    <w:p>
      <w:pPr>
        <w:pStyle w:val="normal1"/>
        <w:rPr/>
      </w:pPr>
      <w:r>
        <w:rPr/>
        <mc:AlternateContent>
          <mc:Choice Requires="wps">
            <w:drawing>
              <wp:inline distT="0" distB="0" distL="0" distR="0">
                <wp:extent cx="57315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Appendix B. Working for the policy and supply-chain analysis</w:t>
      </w:r>
    </w:p>
    <w:p>
      <w:pPr>
        <w:pStyle w:val="FirstParagraph"/>
        <w:rPr/>
      </w:pPr>
      <w:r>
        <w:rPr/>
        <w:t xml:space="preserve">This appendix gives the full working behind Section 3.6.1 (law and licensing), Section 3.5.2 (fuel-supply concentration), Sections 3.4–3.6 (social licence and stakeholders, B8), Section 3.3 (displacement, the value of schedule and the same money) and Section 3.7 (the multi-criteria analysis). Every number is produced by a script in </w:t>
      </w:r>
      <w:r>
        <w:rPr>
          <w:rStyle w:val="VerbatimChar"/>
        </w:rPr>
        <w:t>03_LCA_Calculations/scripts/</w:t>
      </w:r>
      <w:r>
        <w:rPr/>
        <w:t xml:space="preserve"> from a parameter file, so it can be re-run. Inputs are taken from the documents cited or, where marked “as reported”, from the secondary source named; assumptions and our own inferences are labelled as such.</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Subsection</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Script (run from the repository root)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B1 Legal and political pathway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03_LCA_Calculations/scripts/law_timelines.py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03_LCA_Calculations/parameters_run2.yaml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03_LCA_Calculations/results/law_timelines.csv</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B2 Supply concentration (HHI)</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03_LCA_Calculations/scripts/hhi.py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03_LCA_Calculations/parameters_run3.yaml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03_LCA_Calculations/results/hhi.md</w:t>
            </w:r>
            <w:r>
              <w:rPr>
                <w:rFonts w:eastAsia="Aptos" w:cs="Aptos"/>
                <w:kern w:val="0"/>
                <w:lang w:val="en-US"/>
              </w:rPr>
              <w:t xml:space="preserve">, </w:t>
            </w:r>
            <w:r>
              <w:rPr>
                <w:rStyle w:val="VerbatimChar"/>
                <w:rFonts w:eastAsia="Aptos" w:cs="Aptos"/>
                <w:kern w:val="0"/>
                <w:lang w:val="en-US"/>
              </w:rPr>
              <w:t>hhi_summary.csv</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B3 Routes to a licensable SMR in Australia</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hand calculation (qualitative scoring)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Table B13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This appendix</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B4 Displacement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03_LCA_Calculations/scripts/displacement.py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03_LCA_Calculations/parameters_run1.yaml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03_LCA_Calculations/results/displacement.md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B5 Value of schedule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03_LCA_Calculations/scripts/schedule_value.py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parameters_run1.yaml</w:t>
            </w:r>
            <w:r>
              <w:rPr>
                <w:rFonts w:eastAsia="Aptos" w:cs="Aptos"/>
                <w:kern w:val="0"/>
                <w:lang w:val="en-US"/>
              </w:rPr>
              <w:t xml:space="preserve"> (</w:t>
            </w:r>
            <w:r>
              <w:rPr>
                <w:rStyle w:val="VerbatimChar"/>
                <w:rFonts w:eastAsia="Aptos" w:cs="Aptos"/>
                <w:kern w:val="0"/>
                <w:lang w:val="en-US"/>
              </w:rPr>
              <w:t>c1_deck_*</w:t>
            </w:r>
            <w:r>
              <w:rPr>
                <w:rFonts w:eastAsia="Aptos" w:cs="Aptos"/>
                <w:kern w:val="0"/>
                <w:lang w:val="en-US"/>
              </w:rPr>
              <w:t xml:space="preserve"> keys; cost inputs read from </w:t>
            </w:r>
            <w:r>
              <w:rPr>
                <w:rStyle w:val="VerbatimChar"/>
                <w:rFonts w:eastAsia="Aptos" w:cs="Aptos"/>
                <w:kern w:val="0"/>
                <w:lang w:val="en-US"/>
              </w:rPr>
              <w:t>parameters_run5.yaml</w:t>
            </w: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results/schedule_value.md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B6 Same money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03_LCA_Calculations/scripts/same_money.py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parameters_run1.yaml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results/same_money.md</w:t>
            </w:r>
            <w:r>
              <w:rPr>
                <w:rFonts w:eastAsia="Aptos" w:cs="Aptos"/>
                <w:kern w:val="0"/>
                <w:lang w:val="en-US"/>
              </w:rPr>
              <w:t xml:space="preserve"> (cross-check: </w:t>
            </w:r>
            <w:r>
              <w:rPr>
                <w:rStyle w:val="VerbatimChar"/>
                <w:rFonts w:eastAsia="Aptos" w:cs="Aptos"/>
                <w:kern w:val="0"/>
                <w:lang w:val="en-US"/>
              </w:rPr>
              <w:t>results/lcoe.md</w:t>
            </w:r>
            <w:r>
              <w:rPr>
                <w:rFonts w:eastAsia="Aptos" w:cs="Aptos"/>
                <w:kern w:val="0"/>
                <w:lang w:val="en-US"/>
              </w:rPr>
              <w: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B7 Multi-criteria analysis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03_LCA_Calculations/scripts/mcda.py --c1-case new_2200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parameters_run9.yaml</w:t>
            </w:r>
            <w:r>
              <w:rPr>
                <w:rFonts w:eastAsia="Aptos" w:cs="Aptos"/>
                <w:kern w:val="0"/>
                <w:lang w:val="en-US"/>
              </w:rPr>
              <w:t xml:space="preserve"> (with run 6 consent routes)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results/mcda.md</w:t>
            </w:r>
            <w:r>
              <w:rPr>
                <w:rFonts w:eastAsia="Aptos" w:cs="Aptos"/>
                <w:kern w:val="0"/>
                <w:lang w:val="en-US"/>
              </w:rPr>
              <w:t xml:space="preserve">, </w:t>
            </w:r>
            <w:r>
              <w:rPr>
                <w:rStyle w:val="VerbatimChar"/>
                <w:rFonts w:eastAsia="Aptos" w:cs="Aptos"/>
                <w:kern w:val="0"/>
                <w:lang w:val="en-US"/>
              </w:rPr>
              <w:t>results/mcda_scores.csv</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B8 Social licence and stakeholder working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03_LCA_Calculations/scripts/social_licence.py</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03_LCA_Calculations/parameters_run6.yaml</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results/social_licence.md</w:t>
            </w:r>
            <w:r>
              <w:rPr>
                <w:rFonts w:eastAsia="Aptos" w:cs="Aptos"/>
                <w:kern w:val="0"/>
                <w:lang w:val="en-US"/>
              </w:rPr>
              <w:t xml:space="preserve">, </w:t>
            </w:r>
            <w:r>
              <w:rPr>
                <w:rStyle w:val="VerbatimChar"/>
                <w:rFonts w:eastAsia="Aptos" w:cs="Aptos"/>
                <w:kern w:val="0"/>
                <w:lang w:val="en-US"/>
              </w:rPr>
              <w:t>F8_stakeholder_map.png</w:t>
            </w:r>
          </w:p>
        </w:tc>
      </w:tr>
    </w:tbl>
    <w:p>
      <w:pPr>
        <w:pStyle w:val="normal1"/>
        <w:rPr/>
      </w:pPr>
      <w:r>
        <w:rPr/>
        <mc:AlternateContent>
          <mc:Choice Requires="wps">
            <w:drawing>
              <wp:inline distT="0" distB="0" distL="0" distR="0">
                <wp:extent cx="635"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B1. Legal and political pathway</w:t>
      </w:r>
    </w:p>
    <w:p>
      <w:pPr>
        <w:pStyle w:val="FirstParagraph"/>
        <w:rPr/>
      </w:pPr>
      <w:r>
        <w:rPr>
          <w:b/>
          <w:bCs/>
        </w:rPr>
        <w:t>Result.</w:t>
      </w:r>
      <w:r>
        <w:rPr/>
        <w:t xml:space="preserve"> 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p>
      <w:pPr>
        <w:pStyle w:val="Heading5"/>
        <w:rPr/>
      </w:pPr>
      <w:r>
        <w:rPr/>
        <w:t>B1.1 The three legal barriers and what removes each</w:t>
      </w:r>
    </w:p>
    <w:p>
      <w:pPr>
        <w:pStyle w:val="FirstParagraph"/>
        <w:rPr/>
      </w:pPr>
      <w:r>
        <w:rPr>
          <w:i/>
          <w:iCs/>
        </w:rPr>
        <w:t>Table B1. The legal barriers to an SMR at Liddell, what removes each, and who holds the veto.</w:t>
      </w:r>
      <w:r>
        <w:rPr/>
        <w:t xml:space="preserve"> </w:t>
      </w:r>
      <w:r>
        <w:rPr>
          <w:i/>
          <w:iCs/>
        </w:rPr>
        <w:t>Source: legislation as named; ARPANSA (n.d.); Parliament of New South Wales (2025; 2026); Canberra Times (2025); Newcastle Herald (2024a).</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Instrument and effect (as extracted)</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decides (veto holder)</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 October 2026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environmental approval</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Environment Protection and Biodiversity Conservation Act 1999</w:t>
            </w:r>
            <w:r>
              <w:rPr>
                <w:rFonts w:eastAsia="Aptos" w:cs="Aptos"/>
                <w:kern w:val="0"/>
                <w:lang w:val="en-US"/>
              </w:rPr>
              <w:t xml:space="preserve"> (Cth) s 140A (parallel bars in ss 37J and 146M): the Minister “must not approve” an action involving the construction or operation of a nuclear power plant</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Amendment of ss 37J, 140A and 146M</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Parliament; in practice the Senate (B1.2)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force. Whether the 2025 EPBC reforms changed s 140A has not been checked (Norton Rose Fulbright, 2025)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radiation licensing</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Australian Radiation Protection and Nuclear Safety Act 1998</w:t>
            </w:r>
            <w:r>
              <w:rPr>
                <w:rFonts w:eastAsia="Aptos" w:cs="Aptos"/>
                <w:kern w:val="0"/>
                <w:lang w:val="en-US"/>
              </w:rPr>
              <w:t xml:space="preserve"> (Cth) s 10(2): the CEO “must not issue a licence” for a nuclear power plant. ARPANSA licenses only Commonwealth-controlled bodies (s 13, “controlled person”) (ARPANSA, 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Repeal of s 10, </w:t>
            </w:r>
            <w:r>
              <w:rPr>
                <w:rFonts w:eastAsia="Aptos" w:cs="Aptos"/>
                <w:b/>
                <w:bCs/>
                <w:kern w:val="0"/>
                <w:lang w:val="en-US"/>
              </w:rPr>
              <w:t>and</w:t>
            </w:r>
            <w:r>
              <w:rPr>
                <w:rFonts w:eastAsia="Aptos" w:cs="Aptos"/>
                <w:kern w:val="0"/>
                <w:lang w:val="en-US"/>
              </w:rPr>
              <w:t xml:space="preserve"> a regulator with power over private operators (route choice, B3)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Parliament (Senate)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force. A Senate committee recommended against the 2022 repeal bill (Senate Environment and Communications Legislation Committee, 2023); the bill lapsed at prorogation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State ban</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offence to build or operate a nuclear reactor, except for the s 8(3) exceptions (the Commonwealth’s AAEC successors, such as ANSTO); s 9: other Acts do not authorise a state authority to build or approve one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or a Commonwealth override under Constitution s 109, which Partlett warns may face a High Court challenge (Canberra Times, 2025)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Parliament (Legislative Assembly), or the Commonwealth</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Repeal bill passed the Legislative Council; stalled in the Assembly (B1.3)</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Site (not a law)</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there (Newcastle Herald, 2024a)</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compulsory acquisition by the Commonwealth</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or the Commonwealth</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opposed</w:t>
            </w:r>
          </w:p>
        </w:tc>
      </w:tr>
    </w:tbl>
    <w:p>
      <w:pPr>
        <w:pStyle w:val="BodyText"/>
        <w:rPr/>
      </w:pPr>
      <w:r>
        <w:rPr/>
        <w:t>Order of removal: federal repeal (1 and 2) → choice of regulator → state repeal or override (3) → site (4) → environmental assessment → licensing. Each step has a different veto holder, so all must agree.</w:t>
      </w:r>
    </w:p>
    <w:p>
      <w:pPr>
        <w:pStyle w:val="Heading5"/>
        <w:rPr/>
      </w:pPr>
      <w:r>
        <w:rPr/>
        <w:t>B1.2 Senate arithmetic for federal repeal</w:t>
      </w:r>
    </w:p>
    <w:p>
      <w:pPr>
        <w:pStyle w:val="FirstParagraph"/>
        <w:rPr/>
      </w:pPr>
      <w:r>
        <w:rPr>
          <w:i/>
          <w:iCs/>
        </w:rPr>
        <w:t>Table B2. Senate composition used for the repeal arithmetic.</w:t>
      </w:r>
      <w:r>
        <w:rPr/>
        <w:t xml:space="preserve"> </w:t>
      </w:r>
      <w:r>
        <w:rPr>
          <w:i/>
          <w:iCs/>
        </w:rPr>
        <w:t xml:space="preserve">Source: Parliament of Australia (2026), composition as at 14 May 2026;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Party or group</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Seats</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Position on repeal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 of position</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Labor Party</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Opposed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Bowen (2025); no 2026 statement found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Liberal Party of Australia (2026); ABC News (2026), as reported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Greens</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Opposed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Greens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Nation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Assumption</w:t>
            </w:r>
            <w:r>
              <w:rPr>
                <w:rFonts w:eastAsia="Aptos" w:cs="Aptos"/>
                <w:kern w:val="0"/>
                <w:lang w:val="en-US"/>
              </w:rPr>
              <w:t xml:space="preserve"> (upper bound for the pro-repeal bloc)</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Senator Babet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Assumption</w:t>
            </w:r>
            <w:r>
              <w:rPr>
                <w:rFonts w:eastAsia="Aptos" w:cs="Aptos"/>
                <w:kern w:val="0"/>
                <w:lang w:val="en-US"/>
              </w:rPr>
              <w:t xml:space="preserve"> (no source)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Lambie, Payman, Pocock, Thorpe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 (1 each)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assumed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76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Script asserts the parts sum to 76</w:t>
            </w:r>
          </w:p>
        </w:tc>
      </w:tr>
    </w:tbl>
    <w:p>
      <w:pPr>
        <w:pStyle w:val="BodyText"/>
        <w:rPr/>
      </w:pPr>
      <w:r>
        <w:rPr/>
        <w:t>Steps (</w:t>
      </w:r>
      <w:r>
        <w:rPr>
          <w:rStyle w:val="VerbatimChar"/>
        </w:rPr>
        <w:t>law_timelines.py</w:t>
      </w:r>
      <w:r>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Step</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Working</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Majority needed, all 76 voting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76 / 2⌋ + 1 (a tied vote fails, Constitution s 23)</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Largest pro-repeal bloc (upper bound)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 27 + One Nation 4 + Babet 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Shortfall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39 − 32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Bloc plus every other crossbencher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36</w:t>
            </w:r>
            <w:r>
              <w:rPr>
                <w:rFonts w:eastAsia="Aptos" w:cs="Aptos"/>
                <w:kern w:val="0"/>
                <w:lang w:val="en-US"/>
              </w:rPr>
              <w:t xml:space="preserve"> (3 short); </w:t>
            </w:r>
            <w:r>
              <w:rPr>
                <w:rFonts w:eastAsia="Aptos" w:cs="Aptos"/>
                <w:b/>
                <w:bCs/>
                <w:kern w:val="0"/>
                <w:lang w:val="en-US"/>
              </w:rPr>
              <w:t>37</w:t>
            </w:r>
            <w:r>
              <w:rPr>
                <w:rFonts w:eastAsia="Aptos" w:cs="Aptos"/>
                <w:kern w:val="0"/>
                <w:lang w:val="en-US"/>
              </w:rPr>
              <w:t xml:space="preserve"> (2 short) on the alternative count in step 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Can repeal pass without Labor or the Greens?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 or 37 ≥ 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w:t>
            </w:r>
            <w:r>
              <w:rPr>
                <w:rFonts w:eastAsia="Aptos" w:cs="Aptos"/>
                <w:kern w:val="0"/>
                <w:lang w:val="en-US"/>
              </w:rPr>
              <w:t xml:space="preserve"> on either count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Would the Greens alone be enough (arithmetic only)?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+ 10 = 42 ≥ 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but the Greens oppose (policy, not arithmetic)</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Opposed bloc</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Labor 30 + Greens 10 = 40 ≥ 39 (39 on the alternative count)</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blocking majority on its own</w:t>
            </w:r>
          </w:p>
        </w:tc>
      </w:tr>
    </w:tbl>
    <w:p>
      <w:pPr>
        <w:pStyle w:val="BodyText"/>
        <w:rPr/>
      </w:pPr>
      <w:r>
        <w:rPr/>
        <w:t>Result 4 makes the conclusion independent of the One Nation and Babet assumption (it holds on either count of seats). In the House, Labor holds 94 of 150 seats (Australian Electoral Commission, 2025), so a repeal bill would also need the Government’s support there.</w:t>
      </w:r>
    </w:p>
    <w:p>
      <w:pPr>
        <w:pStyle w:val="Heading5"/>
        <w:rPr/>
      </w:pPr>
      <w:r>
        <w:rPr/>
        <w:t>B1.3 NSW repeal bill status</w:t>
      </w:r>
    </w:p>
    <w:p>
      <w:pPr>
        <w:pStyle w:val="FirstParagraph"/>
        <w:rPr/>
      </w:pPr>
      <w:r>
        <w:rPr>
          <w:i/>
          <w:iCs/>
        </w:rPr>
        <w:t>Table B3. Progress of the NSW repeal bill (private member’s bill).</w:t>
      </w:r>
      <w:r>
        <w:rPr/>
        <w:t xml:space="preserve"> </w:t>
      </w:r>
      <w:r>
        <w:rPr>
          <w:i/>
          <w:iCs/>
        </w:rPr>
        <w:t xml:space="preserve">Source: Parliament of New South Wales (2025; 2026);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Event</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Note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Introduced in the Legislative Council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 November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Passed the Legislative Council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May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5.5 months after introduction. All Liberal and National MLCs voted for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Legislative Assembly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Awaiting the second reading speech (notice paper reported 27 May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Minns Labor Government opposes repeal and holds an Assembly majority (Canberra Times, n.d., as reported)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Lapses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 November 2026</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Unless the Assembly acts first</w:t>
            </w:r>
          </w:p>
        </w:tc>
      </w:tr>
    </w:tbl>
    <w:p>
      <w:pPr>
        <w:pStyle w:val="Heading5"/>
        <w:rPr/>
      </w:pPr>
      <w:r>
        <w:rPr/>
        <w:t>B1.4 Licensing timelines: Darlington (Canada)</w:t>
      </w:r>
    </w:p>
    <w:p>
      <w:pPr>
        <w:pStyle w:val="FirstParagraph"/>
        <w:rPr/>
      </w:pPr>
      <w:r>
        <w:rPr>
          <w:i/>
          <w:iCs/>
        </w:rPr>
        <w:t>Table B4. CNSC licensing milestones for the Darlington New Nuclear Project.</w:t>
      </w:r>
      <w:r>
        <w:rPr/>
        <w:t xml:space="preserve"> </w:t>
      </w:r>
      <w:r>
        <w:rPr>
          <w:i/>
          <w:iCs/>
        </w:rPr>
        <w:t xml:space="preserve">Source: Canadian Nuclear Safety Commission [CNSC] (2021; 2025; 2026a; 2026b);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Milestone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 key</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Environmental assessment begins (joint review panel)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May 2007 (taken as 1 May)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dnnp_ea_start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prepare site issued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August 2012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dnnp_lpts_issued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Site licence renewed, valid to 11 October 2031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 October 2021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dnnp_lpts_renewed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Licence-to-construct application (one unit, in packages)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2022 (taken as 31 October)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dnnp_ltc_application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Hearing part 2 begins (Ajax)</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January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dnnp_ltc_hearing_part2_start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issued (PRCL 32.00/2035, one BWRX-300)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April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dnnp_ltc_decision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Regulatory hold point 1 lifted (reactor building foundation)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March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dnnp_rhp1_lifted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expires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 March 2035</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dnnp_ltc_expiry</w:t>
            </w:r>
          </w:p>
        </w:tc>
      </w:tr>
    </w:tbl>
    <w:p>
      <w:pPr>
        <w:pStyle w:val="BodyText"/>
        <w:rPr/>
      </w:pPr>
      <w:r>
        <w:rPr/>
        <w:t>Method: months = days between two dates ÷ (365.25 / 12); years = months ÷ 12.</w:t>
      </w:r>
    </w:p>
    <w:p>
      <w:pPr>
        <w:pStyle w:val="BodyText"/>
        <w:rPr/>
      </w:pPr>
      <w:r>
        <w:rPr>
          <w:i/>
          <w:iCs/>
        </w:rPr>
        <w:t>Table B5. Licensing durations calculated from Table B4.</w:t>
      </w:r>
      <w:r>
        <w:rPr/>
        <w:t xml:space="preserve"> </w:t>
      </w:r>
      <w:r>
        <w:rPr>
          <w:i/>
          <w:iCs/>
        </w:rPr>
        <w:t xml:space="preserve">Source: </w:t>
      </w:r>
      <w:r>
        <w:rPr>
          <w:rStyle w:val="VerbatimChar"/>
          <w:i/>
          <w:iCs/>
        </w:rPr>
        <w:t>03_LCA_Calculations/results/law_timelines.csv</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Dates used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 to licence to construct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 Oct 2022 → 4 Apr 2025 (886 days)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29.1 months</w:t>
            </w:r>
            <w:r>
              <w:rPr>
                <w:rFonts w:eastAsia="Aptos" w:cs="Aptos"/>
                <w:kern w:val="0"/>
                <w:lang w:val="en-US"/>
              </w:rPr>
              <w:t xml:space="preserve"> (2.43 years)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Sensitivity: application day unknown within October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Oct 2022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29.1–30.1 months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Against the CNSC’s expected review time (REGDOC-3.5.1; CNSC, 2022; the extract is ambiguous: one row reads 32 months, another 24)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29.1 − 32; 29.1 − 24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2.9 months (faster); +5.1 months (slower)</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Hearing part 2 to decision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Jan 2025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 months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Environmental assessment start to licence to construct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May 2007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17.9 years</w:t>
            </w:r>
            <w:r>
              <w:rPr>
                <w:rFonts w:eastAsia="Aptos" w:cs="Aptos"/>
                <w:kern w:val="0"/>
                <w:lang w:val="en-US"/>
              </w:rPr>
              <w:t xml:space="preserve"> (elapsed, not continuous review)</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validity from issue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 2025 → 31 Mar 2035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 years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validity remaining at the report date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 Oct 2026 → 31 Mar 2035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8.4 years</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to RHP-1 lifted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 2025 → 30 Mar 2026</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11.8 months</w:t>
            </w:r>
          </w:p>
        </w:tc>
      </w:tr>
    </w:tbl>
    <w:p>
      <w:pPr>
        <w:pStyle w:val="BodyText"/>
        <w:rPr/>
      </w:pPr>
      <w:r>
        <w:rPr/>
        <w:t>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rPr/>
      </w:pPr>
      <w:r>
        <w:rPr/>
        <w:t>Australian comparator: the naval nuclear regulator (ANNPSR) began operating on 1 November 2025 under a 2024 Act (Minister for Defence, 2025). It covers submarines only, so it is a precedent for building a regulator, not a regulator for a power reactor.</w:t>
      </w:r>
    </w:p>
    <w:p>
      <w:pPr>
        <w:pStyle w:val="normal1"/>
        <w:rPr/>
      </w:pPr>
      <w:r>
        <w:rPr/>
        <mc:AlternateContent>
          <mc:Choice Requires="wps">
            <w:drawing>
              <wp:inline distT="0" distB="0" distL="0" distR="0">
                <wp:extent cx="573151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B2. Supply concentration: Herfindahl–Hirschman index (HHI) working</w:t>
      </w:r>
    </w:p>
    <w:p>
      <w:pPr>
        <w:pStyle w:val="FirstParagraph"/>
        <w:rPr/>
      </w:pPr>
      <w:r>
        <w:rPr>
          <w:b/>
          <w:bCs/>
        </w:rPr>
        <w:t>Result.</w:t>
      </w:r>
      <w:r>
        <w:rPr/>
        <w:t xml:space="preserve"> On the 2023 US merger guidelines, mining by country (2,341), conversion (2,111) and enrichment (3,009) are all “highly concentrated”. On the superseded 2010 guidelines only enrichment is; mining and conversion are “moderately concentrated”.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p>
      <w:pPr>
        <w:pStyle w:val="Heading5"/>
        <w:rPr/>
      </w:pPr>
      <w:r>
        <w:rPr/>
        <w:t>B2.1 Method</w:t>
      </w:r>
    </w:p>
    <w:p>
      <w:pPr>
        <w:pStyle w:val="Compact"/>
        <w:numPr>
          <w:ilvl w:val="0"/>
          <w:numId w:val="37"/>
        </w:numPr>
        <w:rPr/>
      </w:pPr>
      <w:r>
        <w:rPr/>
        <w:t xml:space="preserve">Share of supplier </w:t>
      </w:r>
      <w:r>
        <w:rPr>
          <w:i/>
          <w:iCs/>
        </w:rPr>
        <w:t>i</w:t>
      </w:r>
      <w:r>
        <w:rPr/>
        <w:t>: s</w:t>
      </w:r>
      <w:r>
        <w:rPr>
          <w:i/>
          <w:iCs/>
        </w:rPr>
        <w:t>ᵢ</w:t>
      </w:r>
      <w:r>
        <w:rPr/>
        <w:t xml:space="preserve"> = 100 × q</w:t>
      </w:r>
      <w:r>
        <w:rPr>
          <w:i/>
          <w:iCs/>
        </w:rPr>
        <w:t>ᵢ</w:t>
      </w:r>
      <w:r>
        <w:rPr/>
        <w:t xml:space="preserve"> / Σq (per cent), where q is output or capacity.</w:t>
      </w:r>
    </w:p>
    <w:p>
      <w:pPr>
        <w:pStyle w:val="Compact"/>
        <w:numPr>
          <w:ilvl w:val="0"/>
          <w:numId w:val="38"/>
        </w:numPr>
        <w:rPr/>
      </w:pPr>
      <w:r>
        <w:rPr/>
        <w:t>HHI = Σ s</w:t>
      </w:r>
      <w:r>
        <w:rPr>
          <w:i/>
          <w:iCs/>
        </w:rPr>
        <w:t>ᵢ</w:t>
      </w:r>
      <w:r>
        <w:rPr/>
        <w:t>² (range 0 to 10,000; one supplier = 10,000).</w:t>
      </w:r>
    </w:p>
    <w:p>
      <w:pPr>
        <w:pStyle w:val="Compact"/>
        <w:numPr>
          <w:ilvl w:val="0"/>
          <w:numId w:val="39"/>
        </w:numPr>
        <w:rPr/>
      </w:pPr>
      <w:r>
        <w:rPr/>
        <w:t>Equivalent number of equal-sized suppliers: N_eq = 10,000 / HHI.</w:t>
      </w:r>
    </w:p>
    <w:p>
      <w:pPr>
        <w:pStyle w:val="Compact"/>
        <w:numPr>
          <w:ilvl w:val="0"/>
          <w:numId w:val="40"/>
        </w:numPr>
        <w:rPr/>
      </w:pPr>
      <w:r>
        <w:rPr/>
        <w:t>Measures: mining by country (2024 mine output, tU); conversion by company (licensed capacity, tU as UF₆ per year; production as a check); enrichment by company (capacity, thousand SWU per year; 2025 base, 2022 and 2030 as sensitivity).</w:t>
      </w:r>
    </w:p>
    <w:p>
      <w:pPr>
        <w:pStyle w:val="Compact"/>
        <w:numPr>
          <w:ilvl w:val="0"/>
          <w:numId w:val="41"/>
        </w:numPr>
        <w:rPr/>
      </w:pPr>
      <w:r>
        <w:rPr/>
        <w:t>“</w:t>
      </w:r>
      <w:r>
        <w:rPr/>
        <w:t>Without Russia”: Russian supply removed and the remaining shares renormalised, with no new capacity (the market open to a buyer barred from Russian material). “Without Russia and China” also removes CNNC, whose capacity WNA estimates on the assumption that it serves China’s own fleet; this approximates the market open to a Canadian or Australian utility.</w:t>
      </w:r>
    </w:p>
    <w:p>
      <w:pPr>
        <w:pStyle w:val="Compact"/>
        <w:numPr>
          <w:ilvl w:val="0"/>
          <w:numId w:val="42"/>
        </w:numPr>
        <w:rPr/>
      </w:pPr>
      <w:r>
        <w:rPr/>
        <w:t>“</w:t>
      </w:r>
      <w:r>
        <w:rPr/>
        <w:t>Others” or residual rows are bounded: one supplier (upper bound) or many small suppliers (lower bound, about 0). The difference is below 3 HHI points in every 2024/2025 case.</w:t>
      </w:r>
    </w:p>
    <w:p>
      <w:pPr>
        <w:pStyle w:val="Compact"/>
        <w:numPr>
          <w:ilvl w:val="0"/>
          <w:numId w:val="43"/>
        </w:numPr>
        <w:rPr/>
      </w:pPr>
      <w:r>
        <w:rPr/>
        <w:t>Shares are squared before rounding, so squaring a rounded share in the tables can differ by less than 1 point.</w:t>
      </w:r>
    </w:p>
    <w:p>
      <w:pPr>
        <w:pStyle w:val="FirstParagraph"/>
        <w:rPr/>
      </w:pPr>
      <w:r>
        <w:rPr>
          <w:i/>
          <w:iCs/>
        </w:rPr>
        <w:t>Table B6. HHI thresholds used as a scale.</w:t>
      </w:r>
      <w:r>
        <w:rPr/>
        <w:t xml:space="preserve"> </w:t>
      </w:r>
      <w:r>
        <w:rPr>
          <w:i/>
          <w:iCs/>
        </w:rPr>
        <w:t>Source: US Department of Justice and Federal Trade Commission (2023; 2010).</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Guideline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Moderately 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Highly 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Merger Guidelines</w:t>
            </w:r>
            <w:r>
              <w:rPr>
                <w:rFonts w:eastAsia="Aptos" w:cs="Aptos"/>
                <w:kern w:val="0"/>
                <w:lang w:val="en-US"/>
              </w:rPr>
              <w:t xml:space="preserve"> (2023), section 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HHI &gt; 1,800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Current</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Horizontal Merger Guidelines</w:t>
            </w:r>
            <w:r>
              <w:rPr>
                <w:rFonts w:eastAsia="Aptos" w:cs="Aptos"/>
                <w:kern w:val="0"/>
                <w:lang w:val="en-US"/>
              </w:rPr>
              <w:t xml:space="preserve"> (2010), section 5.3</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&lt; 1,500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1,500–2,500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&gt; 2,500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Superseded; reported because mining and conversion fall between the two thresholds</w:t>
            </w:r>
          </w:p>
        </w:tc>
      </w:tr>
    </w:tbl>
    <w:p>
      <w:pPr>
        <w:pStyle w:val="BodyText"/>
        <w:rPr/>
      </w:pPr>
      <w:r>
        <w:rPr/>
        <w:t>These are antitrust screens for merger review. Here they are used as a recognised scale for supply concentration, not as a legal test.</w:t>
      </w:r>
    </w:p>
    <w:p>
      <w:pPr>
        <w:pStyle w:val="BodyText"/>
        <w:rPr/>
      </w:pPr>
      <w:r>
        <w:rPr>
          <w:b/>
          <w:bCs/>
        </w:rPr>
        <w:t>Worked example (enrichment, 2025).</w:t>
      </w:r>
      <w:r>
        <w:rPr/>
        <w:t xml:space="preserve"> 1. Rosatom’s share = 100 × 29,133 / 68,077 = 42.79%; squared = 1,831.3. 2. Repeat for Urenco, CNNC, Orano and Other; sum = 1,831.3 + 645.8 + 410.3 + 121.4 + 0.3 = </w:t>
      </w:r>
      <w:r>
        <w:rPr>
          <w:b/>
          <w:bCs/>
        </w:rPr>
        <w:t>3,009</w:t>
      </w:r>
      <w:r>
        <w:rPr/>
        <w:t xml:space="preserve">. N_eq = 10,000 / 3,009 = 3.3. 3. Without Russia: total = 68,077 − 29,133 = 38,944 kSWU. Urenco’s share = 100 × 17,300 / 38,944 = 44.42%; and so on. HHI = </w:t>
      </w:r>
      <w:r>
        <w:rPr>
          <w:b/>
          <w:bCs/>
        </w:rPr>
        <w:t>3,599</w:t>
      </w:r>
      <w:r>
        <w:rPr/>
        <w:t xml:space="preserve">. 4. Without Russia and China: total = 38,944 − 13,789 = 25,155 kSWU. Urenco 68.77%, Orano 29.82%, Other 1.41%. HHI = </w:t>
      </w:r>
      <w:r>
        <w:rPr>
          <w:b/>
          <w:bCs/>
        </w:rPr>
        <w:t>5,621</w:t>
      </w:r>
      <w:r>
        <w:rPr/>
        <w:t xml:space="preserve"> (N_eq = 1.8).</w:t>
      </w:r>
    </w:p>
    <w:p>
      <w:pPr>
        <w:pStyle w:val="Heading5"/>
        <w:rPr/>
      </w:pPr>
      <w:r>
        <w:rPr/>
        <w:t>B2.2 Inputs and shares</w:t>
      </w:r>
    </w:p>
    <w:p>
      <w:pPr>
        <w:pStyle w:val="FirstParagraph"/>
        <w:rPr/>
      </w:pPr>
      <w:r>
        <w:rPr>
          <w:i/>
          <w:iCs/>
        </w:rPr>
        <w:t>Table B7. Uranium mine output by country, 2024.</w:t>
      </w:r>
      <w:r>
        <w:rPr/>
        <w:t xml:space="preserve"> </w:t>
      </w:r>
      <w:r>
        <w:rPr>
          <w:i/>
          <w:iCs/>
        </w:rPr>
        <w:t xml:space="preserve">Source: World Nuclear Association (2026); several rows are WNA estimates; calculated in </w:t>
      </w:r>
      <w:r>
        <w:rPr>
          <w:rStyle w:val="VerbatimChar"/>
          <w:i/>
          <w:iCs/>
        </w:rPr>
        <w:t>hhi.py</w:t>
      </w:r>
      <w:r>
        <w:rPr>
          <w:i/>
          <w:iCs/>
        </w:rPr>
        <w:t xml:space="preserve"> (</w:t>
      </w:r>
      <w:r>
        <w:rPr>
          <w:rStyle w:val="VerbatimChar"/>
          <w:i/>
          <w:iCs/>
        </w:rPr>
        <w:t>results/hhi.md</w:t>
      </w:r>
      <w:r>
        <w:rPr>
          <w:i/>
          <w:iCs/>
        </w:rPr>
        <w:t xml:space="preserve"> section 3.1–3.2). Internal check: the rows sum exactly to 60,213 tU.</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Country</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tU</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without Russia (%)</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Kazakhstan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23,270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38.65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1,493.5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1,639.2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14,309</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564.7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24.90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619.8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Namibia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7,333</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148.3</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162.8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4,598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58.3</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Uzbekistan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6.96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2,738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China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Niger</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962</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Ukraine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South Africa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Others</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155</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 (tU) / HHI</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60,213</w:t>
            </w:r>
            <w:r>
              <w:rPr>
                <w:rFonts w:eastAsia="Aptos" w:cs="Aptos"/>
                <w:kern w:val="0"/>
                <w:lang w:val="en-US"/>
              </w:rPr>
              <w:t xml:space="preserve"> (57,475 without Russia)</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2,341</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2,546</w:t>
            </w:r>
          </w:p>
        </w:tc>
      </w:tr>
    </w:tbl>
    <w:p>
      <w:pPr>
        <w:pStyle w:val="BodyText"/>
        <w:rPr/>
      </w:pPr>
      <w:r>
        <w:rPr/>
        <w:t>Without Russia and China, the mining HHI is 2,686 (</w:t>
      </w:r>
      <w:r>
        <w:rPr>
          <w:rStyle w:val="VerbatimChar"/>
        </w:rPr>
        <w:t>hhi_summary.csv</w:t>
      </w:r>
      <w:r>
        <w:rPr/>
        <w:t xml:space="preserve">; </w:t>
      </w:r>
      <w:r>
        <w:rPr>
          <w:rStyle w:val="VerbatimChar"/>
        </w:rPr>
        <w:t>hhi.py</w:t>
      </w:r>
      <w:r>
        <w:rPr/>
        <w:t xml:space="preserve"> does not print the share table for this case).</w:t>
      </w:r>
    </w:p>
    <w:p>
      <w:pPr>
        <w:pStyle w:val="BodyText"/>
        <w:rPr/>
      </w:pPr>
      <w:r>
        <w:rPr>
          <w:i/>
          <w:iCs/>
        </w:rPr>
        <w:t>Table B8. Mining by country, earlier years (only the eight largest rows retrieved; residual bounded).</w:t>
      </w:r>
      <w:r>
        <w:rPr/>
        <w:t xml:space="preserve"> </w:t>
      </w:r>
      <w:r>
        <w:rPr>
          <w:i/>
          <w:iCs/>
        </w:rPr>
        <w:t xml:space="preserve">Source: World Nuclear Association (2026); </w:t>
      </w:r>
      <w:r>
        <w:rPr>
          <w:rStyle w:val="VerbatimChar"/>
          <w:i/>
          <w:iCs/>
        </w:rPr>
        <w:t>results/hhi.md</w:t>
      </w:r>
      <w:r>
        <w:rPr>
          <w:i/>
          <w:iCs/>
        </w:rPr>
        <w:t xml:space="preserve"> section 3.3.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Year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Residual (tU)</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lower bound</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upper bound</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 (%)</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1,083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2,368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1,204</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2,248</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r>
    </w:tbl>
    <w:p>
      <w:pPr>
        <w:pStyle w:val="BodyText"/>
        <w:rPr/>
      </w:pPr>
      <w:r>
        <w:rPr>
          <w:i/>
          <w:iCs/>
        </w:rPr>
        <w:t>Table B9. Conversion by company, licensed capacity (tU as UF₆ per year).</w:t>
      </w:r>
      <w:r>
        <w:rPr/>
        <w:t xml:space="preserve"> </w:t>
      </w:r>
      <w:r>
        <w:rPr>
          <w:i/>
          <w:iCs/>
        </w:rPr>
        <w:t xml:space="preserve">Source: World Nuclear Association (2024); CNNC and Rosatom are WNA estimates; </w:t>
      </w:r>
      <w:r>
        <w:rPr>
          <w:rStyle w:val="VerbatimChar"/>
          <w:i/>
          <w:iCs/>
        </w:rPr>
        <w:t>results/hhi.md</w:t>
      </w:r>
      <w:r>
        <w:rPr>
          <w:i/>
          <w:iCs/>
        </w:rPr>
        <w:t xml:space="preserve"> section 3.5.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Company (country)</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tU/yr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 (%)</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CNNC (China)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585.3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918.3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Orano (France)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585.3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918.3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43.48</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1,890.4</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Cameco (Canada)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25.25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637.7</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36.23</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1,312.7</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Rosatom (Russia)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(USA)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127.5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20.29</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411.7</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Market total (tU/yr) / HHI</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62,000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2,111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49,500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2,674</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34,500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3,615</w:t>
            </w:r>
          </w:p>
        </w:tc>
      </w:tr>
    </w:tbl>
    <w:p>
      <w:pPr>
        <w:pStyle w:val="BodyText"/>
        <w:rPr/>
      </w:pPr>
      <w:r>
        <w:rPr>
          <w:i/>
          <w:iCs/>
        </w:rPr>
        <w:t>Table B10. Enrichment by company, 2025 capacity (thousand SWU per year).</w:t>
      </w:r>
      <w:r>
        <w:rPr/>
        <w:t xml:space="preserve"> </w:t>
      </w:r>
      <w:r>
        <w:rPr>
          <w:i/>
          <w:iCs/>
        </w:rPr>
        <w:t xml:space="preserve">Source: World Nuclear Association (2025); CNNC is a WNA estimate; 2030 figures are plans; </w:t>
      </w:r>
      <w:r>
        <w:rPr>
          <w:rStyle w:val="VerbatimChar"/>
          <w:i/>
          <w:iCs/>
        </w:rPr>
        <w:t>results/hhi.md</w:t>
      </w:r>
      <w:r>
        <w:rPr>
          <w:i/>
          <w:iCs/>
        </w:rPr>
        <w:t xml:space="preserve"> section 3.6.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Company</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kSWU/yr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 (%)</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Rosatom</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29,133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42.79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1,831.3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645.8</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44.42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1,973.4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68.77</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4,729.8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CNNC</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13,789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410.3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1,253.7</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Orano</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370.9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29.82</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888.9</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(INB, JNFL)</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Market total (kSWU/yr) / HHI</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68,077</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38,944</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25,155</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r>
    </w:tbl>
    <w:p>
      <w:pPr>
        <w:pStyle w:val="BodyText"/>
        <w:rPr/>
      </w:pPr>
      <w:r>
        <w:rPr/>
        <w:t>Russia’s enrichment share is 43.3% in 2022 and 38.3% in the 2030 plans (World Nuclear Association, 2025). It is 42.8% on WNA’s 2025 capacity and 41.0% on World Nuclear University’s (2025) figures, which gives the range quoted in Section 3.5.2.</w:t>
      </w:r>
    </w:p>
    <w:p>
      <w:pPr>
        <w:pStyle w:val="Heading5"/>
        <w:rPr/>
      </w:pPr>
      <w:r>
        <w:rPr/>
        <w:t>B2.3 Headline results</w:t>
      </w:r>
    </w:p>
    <w:p>
      <w:pPr>
        <w:pStyle w:val="FirstParagraph"/>
        <w:rPr/>
      </w:pPr>
      <w:r>
        <w:rPr>
          <w:i/>
          <w:iCs/>
        </w:rPr>
        <w:t>Table B11. HHI of the uranium front end by stage, with and without Russia and China.</w:t>
      </w:r>
      <w:r>
        <w:rPr/>
        <w:t xml:space="preserve"> </w:t>
      </w:r>
      <w:r>
        <w:rPr>
          <w:i/>
          <w:iCs/>
        </w:rPr>
        <w:t xml:space="preserve">Source: </w:t>
      </w:r>
      <w:r>
        <w:rPr>
          <w:rStyle w:val="VerbatimChar"/>
          <w:i/>
          <w:iCs/>
        </w:rPr>
        <w:t>03_LCA_Calculations/results/hhi.md</w:t>
      </w:r>
      <w:r>
        <w:rPr>
          <w:i/>
          <w:iCs/>
        </w:rPr>
        <w:t xml:space="preserve"> section 2 and </w:t>
      </w:r>
      <w:r>
        <w:rPr>
          <w:rStyle w:val="VerbatimChar"/>
          <w:i/>
          <w:iCs/>
        </w:rPr>
        <w:t>hhi_summary.csv</w:t>
      </w:r>
      <w:r>
        <w:rPr>
          <w:i/>
          <w:iCs/>
        </w:rPr>
        <w:t>, from the inputs in Tables B7–B10.</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N_eq</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2023 class</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2010 class</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 (highly under both)</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 (highly under both)</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r>
    </w:tbl>
    <w:p>
      <w:pPr>
        <w:pStyle w:val="BodyText"/>
        <w:rPr/>
      </w:pPr>
      <w:r>
        <w:rPr/>
        <w:t>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p>
      <w:pPr>
        <w:pStyle w:val="Heading5"/>
        <w:rPr/>
      </w:pPr>
      <w:r>
        <w:rPr/>
        <w:t>B2.4 Sensitivity</w:t>
      </w:r>
    </w:p>
    <w:p>
      <w:pPr>
        <w:pStyle w:val="FirstParagraph"/>
        <w:rPr/>
      </w:pPr>
      <w:r>
        <w:rPr>
          <w:i/>
          <w:iCs/>
        </w:rPr>
        <w:t>Table B12. HHI under every tested scenario.</w:t>
      </w:r>
      <w:r>
        <w:rPr/>
        <w:t xml:space="preserve"> </w:t>
      </w:r>
      <w:r>
        <w:rPr>
          <w:i/>
          <w:iCs/>
        </w:rPr>
        <w:t xml:space="preserve">Source: </w:t>
      </w:r>
      <w:r>
        <w:rPr>
          <w:rStyle w:val="VerbatimChar"/>
          <w:i/>
          <w:iCs/>
        </w:rPr>
        <w:t>03_LCA_Calculations/results/hhi_summary.csv</w:t>
      </w:r>
      <w:r>
        <w:rPr>
          <w:i/>
          <w:iCs/>
        </w:rPr>
        <w:t>.</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N_eq</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2023 class</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2010 class</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Note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base, “Others” atomistic</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bound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 China and Niger</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2,778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Niger: exports disrupted since the 2023 coup (secondary)</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(residual bounds)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2,368–2,372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2,598–2,603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 (residual bounds)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2,243–2,248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2,460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2,457–2,462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Mining (company)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2024 bounds (top three known)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1,118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Not 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Unconcentrated</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Range 851–1,384; partial data</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Production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Production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15,000 tU (alternative)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Secondary source; sensitivity only</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alternative,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2,514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alternative,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3,356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capacity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3,707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5,722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capacity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capacity (plans)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without Russia and China</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4,827</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bl>
    <w:p>
      <w:pPr>
        <w:pStyle w:val="BodyText"/>
        <w:rPr/>
      </w:pPr>
      <w:r>
        <w:rPr/>
        <w:t xml:space="preserve">Reading: - </w:t>
      </w:r>
      <w:r>
        <w:rPr>
          <w:b/>
          <w:bCs/>
        </w:rPr>
        <w:t>Data year</w:t>
      </w:r>
      <w:r>
        <w:rPr/>
        <w:t xml:space="preserve"> moves the HHI by a few hundred points but never changes the 2023 class. Enrichment and conversion are highly concentrated in every year tested. - </w:t>
      </w:r>
      <w:r>
        <w:rPr>
          <w:b/>
          <w:bCs/>
        </w:rPr>
        <w:t>Capacity versus production</w:t>
      </w:r>
      <w:r>
        <w:rPr/>
        <w:t xml:space="preserve"> (conversion) changes the HHI by less than 10 points. - </w:t>
      </w:r>
      <w:r>
        <w:rPr>
          <w:b/>
          <w:bCs/>
        </w:rPr>
        <w:t>ConverDyn’s capacity</w:t>
      </w:r>
      <w:r>
        <w:rPr/>
        <w:t xml:space="preserve"> (7,000 or 15,000 tU) is the largest data uncertainty for conversion. The higher value lowers the HHI to 2,015, still above 1,800. - </w:t>
      </w:r>
      <w:r>
        <w:rPr>
          <w:b/>
          <w:bCs/>
        </w:rPr>
        <w:t>Threshold choice</w:t>
      </w:r>
      <w:r>
        <w:rPr/>
        <w:t xml:space="preserve"> matters for mining and conversion only: both are “highly” concentrated on the 2023 scale and “moderately” on the 2010 scale. Enrichment is highly concentrated on both. - </w:t>
      </w:r>
      <w:r>
        <w:rPr>
          <w:b/>
          <w:bCs/>
        </w:rPr>
        <w:t>Removing Russia</w:t>
      </w:r>
      <w:r>
        <w:rPr/>
        <w:t xml:space="preserve"> is the dominant effect at every stage, and it always increases concentration.</w:t>
      </w:r>
    </w:p>
    <w:p>
      <w:pPr>
        <w:pStyle w:val="BodyText"/>
        <w:rPr/>
      </w:pPr>
      <w:r>
        <w:rPr>
          <w:b/>
          <w:bCs/>
        </w:rPr>
        <w:t>Mining by company (the one case below 1,800).</w:t>
      </w:r>
      <w:r>
        <w:rPr/>
        <w:t xml:space="preserve"> Only the top three 2024 shares were retrieved: Kazatomprom 21%, Cameco 17%, Orano 11% (World Nuclear Association, 2026); Kazatomprom’s 21% is cross-checked by Kazatomprom (2025). Together they hold 49%. 1. Lower bound (the other 51% held by many small firms): 21² + 17² + 11² = 441 + 289 + 121 = </w:t>
      </w:r>
      <w:r>
        <w:rPr>
          <w:b/>
          <w:bCs/>
        </w:rPr>
        <w:t>851</w:t>
      </w:r>
      <w:r>
        <w:rPr/>
        <w:t xml:space="preserve">. 2. Upper bound (the other 51% split into firms no larger than the third-ranked, 11%, i.e. four at 11% and one at 7%): 851 + 4 × 11² + 7² = 851 + 484 + 49 = </w:t>
      </w:r>
      <w:r>
        <w:rPr>
          <w:b/>
          <w:bCs/>
        </w:rPr>
        <w:t>1,384</w:t>
      </w:r>
      <w:r>
        <w:rPr/>
        <w:t xml:space="preserve">. 3. Central value reported by </w:t>
      </w:r>
      <w:r>
        <w:rPr>
          <w:rStyle w:val="VerbatimChar"/>
        </w:rPr>
        <w:t>hhi.py</w:t>
      </w:r>
      <w:r>
        <w:rPr/>
        <w:t xml:space="preserve">: the midpoint, (851 + 1,384) / 2 = </w:t>
      </w:r>
      <w:r>
        <w:rPr>
          <w:b/>
          <w:bCs/>
        </w:rPr>
        <w:t>1,118</w:t>
      </w:r>
      <w:r>
        <w:rPr/>
        <w:t xml:space="preserve"> (N_eq = 8.9).</w:t>
      </w:r>
    </w:p>
    <w:p>
      <w:pPr>
        <w:pStyle w:val="BodyText"/>
        <w:rPr/>
      </w:pPr>
      <w:r>
        <w:rPr/>
        <w:t>Both bounds are below 1,500, so firms are not concentrated even though countries are. Kazakhstan’s 38.6% country share includes joint ventures with foreign partners, whose ownership was not assessed.</w:t>
      </w:r>
    </w:p>
    <w:p>
      <w:pPr>
        <w:pStyle w:val="Heading5"/>
        <w:rPr/>
      </w:pPr>
      <w:r>
        <w:rPr/>
        <w:t>B2.5 Limitations</w:t>
      </w:r>
    </w:p>
    <w:p>
      <w:pPr>
        <w:pStyle w:val="FirstParagraph"/>
        <w:rPr/>
      </w:pPr>
      <w:r>
        <w:rPr/>
        <w:t>“</w:t>
      </w:r>
      <w:r>
        <w:rPr/>
        <w:t>High” is above 1,800 on the 2023 guidelines and above 2,500 on the 2010 guidelines; “Moderate” 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rPr/>
      </w:pPr>
      <w:r>
        <w:rPr/>
        <w:t>Limits: - Capacity is not supply. Nameplate SWU includes capacity Rosatom uses for underfeeding and tails re-enrichment, and CNNC’s figures are WNA estimates. - Secondary supply (inventories, down-blending, re-enriched tails) is excluded. Mine output in 2024 (60,213 tU) met about 93% of reactor requirements (64,500 tU at 1 January 2025; OECD Nuclear Energy Agency and International Atomic Energy Agency, 2026). - Company-level enrichment shares hide plant location: Urenco operates in the UK, Germany, the Netherlands and the USA; Orano only in France. - Mining by country ignores ownership and the transport routes for Kazakh exports, which were not assessed, so Russia’s 4.5% of mining may understate its reach. The company-level bound only partly addresses ownership. - Fuel fabrication, where BWR fuel is thought to have few suppliers, was not assessed (Section 4). - The HHI is a world-market measure. Darlington’s own demand is sized against it in B2.6.</w:t>
      </w:r>
    </w:p>
    <w:p>
      <w:pPr>
        <w:pStyle w:val="Heading5"/>
        <w:rPr/>
      </w:pPr>
      <w:r>
        <w:rPr/>
        <w:t>B2.6 Darlington’s fuel demand against supplier capacity</w:t>
      </w:r>
    </w:p>
    <w:p>
      <w:pPr>
        <w:pStyle w:val="FirstParagraph"/>
        <w:rPr/>
      </w:pPr>
      <w:r>
        <w:rPr>
          <w:b/>
          <w:bCs/>
        </w:rPr>
        <w:t>Result.</w:t>
      </w:r>
      <w:r>
        <w:rPr/>
        <w:t xml:space="preserve"> Four BWRX-300s need about 196 t of natural uranium and 138 thousand separative work units (tSWU) a year: </w:t>
      </w:r>
      <w:r>
        <w:rPr>
          <w:b/>
          <w:bCs/>
        </w:rPr>
        <w:t>3.2% of Urenco USA’s current capacity</w:t>
      </w:r>
      <w:r>
        <w:rPr/>
        <w:t xml:space="preserve"> 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rPr/>
      </w:pPr>
      <w:r>
        <w:rPr/>
        <w:t xml:space="preserve">Working (one unit; </w:t>
      </w:r>
      <w:r>
        <w:rPr>
          <w:rStyle w:val="VerbatimChar"/>
        </w:rPr>
        <w:t>hhi.md</w:t>
      </w:r>
      <w:r>
        <w:rPr/>
        <w:t xml:space="preserve"> section 6): 1. Net generation: 300 MWe × 8,760 h × 0.9 = 2,365,200 MWh. Thermal power 870 MWt gives efficiency η = 300 / 870 = 0.3448. 2. Energy per kg of enriched uranium (3.8% U-235, burnup 45 GWd/t) = 45 × 24,000 kWh × η = 372,414 kWh. Enriched uranium needed = 2,365,200,000 kWh / 372,414 = 6.35 t a year. 3. Natural uranium feed factor 7.701 (tails 0.25%): 6.35 × 7.701 = 48.9 t U. Separative work: 5.422 SWU per kg, so 34.4 tSWU. 4. Four units: 25.4 t enriched, </w:t>
      </w:r>
      <w:r>
        <w:rPr>
          <w:b/>
          <w:bCs/>
        </w:rPr>
        <w:t>195.6 t U</w:t>
      </w:r>
      <w:r>
        <w:rPr/>
        <w:t xml:space="preserve"> and </w:t>
      </w:r>
      <w:r>
        <w:rPr>
          <w:b/>
          <w:bCs/>
        </w:rPr>
        <w:t>137.7 tSWU</w:t>
      </w:r>
      <w:r>
        <w:rPr/>
        <w:t xml:space="preserve"> a year.</w:t>
      </w:r>
    </w:p>
    <w:p>
      <w:pPr>
        <w:pStyle w:val="BodyText"/>
        <w:rPr/>
      </w:pPr>
      <w:r>
        <w:rPr>
          <w:i/>
          <w:iCs/>
        </w:rPr>
        <w:t>Table B12a. Four-unit demand set against supplier capacity.</w:t>
      </w:r>
      <w:r>
        <w:rPr/>
        <w:t xml:space="preserve"> </w:t>
      </w:r>
      <w:r>
        <w:rPr>
          <w:i/>
          <w:iCs/>
        </w:rPr>
        <w:t xml:space="preserve">Source: </w:t>
      </w:r>
      <w:r>
        <w:rPr>
          <w:rStyle w:val="VerbatimChar"/>
          <w:i/>
          <w:iCs/>
        </w:rPr>
        <w:t>results/hhi.md</w:t>
      </w:r>
      <w:r>
        <w:rPr>
          <w:i/>
          <w:iCs/>
        </w:rPr>
        <w:t xml:space="preserve"> section 6.2, using World Nuclear Association (2025) capacities; demand inputs are assumed.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Capacity</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tSWU a year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Four-unit demand as a share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(Eunice), current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3.20%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after the 2027 project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after the 2032–2036 expansion</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and Orano together</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24,800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 enrichment capacity</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68,077</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0.20%</w:t>
            </w:r>
          </w:p>
        </w:tc>
      </w:tr>
    </w:tbl>
    <w:p>
      <w:pPr>
        <w:pStyle w:val="BodyText"/>
        <w:rPr/>
      </w:pPr>
      <w:r>
        <w:rP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 </w:t>
      </w:r>
      <w:r>
        <w:rPr>
          <w:b/>
          <w:bCs/>
        </w:rPr>
        <w:t>Reserve:</w:t>
      </w:r>
      <w:r>
        <w:rPr/>
        <w:t xml:space="preserve"> two reloads held in stock embody 275–551 tSWU (6–13% of one year of Urenco USA output), depending on a cycle length of 12 to 24 months (assumed). This is a working-capital question (fuel price, not sourced) rather than a supply question.</w:t>
      </w:r>
    </w:p>
    <w:p>
      <w:pPr>
        <w:pStyle w:val="normal1"/>
        <w:rPr/>
      </w:pPr>
      <w:r>
        <w:rPr/>
        <mc:AlternateContent>
          <mc:Choice Requires="wps">
            <w:drawing>
              <wp:inline distT="0" distB="0" distL="0" distR="0">
                <wp:extent cx="573151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B3. Routes to a licensable SMR in Australia: scored comparison</w:t>
      </w:r>
    </w:p>
    <w:p>
      <w:pPr>
        <w:pStyle w:val="FirstParagraph"/>
        <w:rPr/>
      </w:pPr>
      <w:r>
        <w:rPr>
          <w:b/>
          <w:bCs/>
        </w:rPr>
        <w:t>Result.</w:t>
      </w:r>
      <w:r>
        <w:rPr/>
        <w:t xml:space="preserve"> 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 </w:t>
      </w:r>
      <w:r>
        <w:rPr>
          <w:b/>
          <w:bCs/>
        </w:rPr>
        <w:t>These scores are our own qualitative judgement from the evidence in B1, not sourced scores, and the totals and the weight test (Table B14) are hand calculations.</w:t>
      </w:r>
      <w:r>
        <w:rPr/>
        <w:t xml:space="preserve"> They feed the “feasibility” criterion of the Section 3.7 MCDA.</w:t>
      </w:r>
    </w:p>
    <w:p>
      <w:pPr>
        <w:pStyle w:val="BodyText"/>
        <w:rPr/>
      </w:pPr>
      <w:r>
        <w:rPr>
          <w:i/>
          <w:iCs/>
        </w:rPr>
        <w:t>Table B13. Three routes scored against four non-technical objectives (1 = poor, 3 = good).</w:t>
      </w:r>
      <w:r>
        <w:rPr/>
        <w:t xml:space="preserve"> </w:t>
      </w:r>
      <w:r>
        <w:rPr>
          <w:i/>
          <w:iCs/>
        </w:rPr>
        <w:t>Source: our qualitative judgement, from the evidence cited in the table.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Objective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Commonwealth-owned plant under ARPANSA (the Coalition’s 2024 model)</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Federal licensing law for private operators, overriding the states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 Cooperative: state repeal plus a state or joint regulator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changes needed (not scored)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plus a s 109 override of NSW (or NSW repeal)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a new federal Act and a s 109 override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NSW repeal and a NSW regulator Act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Fewest veto points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NSW (or the High Court, if the Commonwealth overrides); site owner. A would score 2 only if s 8(3) exempted a Commonwealth operator (our inference)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High Court; site owner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NSW Parliament; site owner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 readiness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builds on ARPANSA, which already regulates Commonwealth entities such as ANSTO (ARPANSA,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w:t>
            </w:r>
            <w:r>
              <w:rPr>
                <w:rFonts w:eastAsia="Aptos" w:cs="Aptos"/>
                <w:kern w:val="0"/>
                <w:lang w:val="en-US"/>
              </w:rPr>
              <w:t>: a new body, as with the ANNPSR (Minister for Defence,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NSW has no nuclear regulator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Durability (low exposure to political reversal)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one government’s decision; the next can sell or cancel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as A, plus litigation risk (Canberra Times,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both levels of government committed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the states rejected it in 2024 (Canberra Times, n.d., as reported)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overrides the states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the states consent, if they do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 (of 12)</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8</w:t>
            </w:r>
          </w:p>
        </w:tc>
      </w:tr>
    </w:tbl>
    <w:p>
      <w:pPr>
        <w:pStyle w:val="BodyText"/>
        <w:rPr/>
      </w:pPr>
      <w:r>
        <w:rPr/>
        <w:t>Route A’s description rests on ABC News (2024), as reported.</w:t>
      </w:r>
    </w:p>
    <w:p>
      <w:pPr>
        <w:pStyle w:val="BodyText"/>
        <w:rPr/>
      </w:pPr>
      <w:r>
        <w:rPr>
          <w:i/>
          <w:iCs/>
        </w:rPr>
        <w:t>Table B14. Weight test: totals when one objective counts double (maximum 15).</w:t>
      </w:r>
      <w:r>
        <w:rPr/>
        <w:t xml:space="preserve"> </w:t>
      </w:r>
      <w:r>
        <w:rPr>
          <w:i/>
          <w:iCs/>
        </w:rPr>
        <w:t>Source: calculated from Table B13.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Weighting</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Ranking</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Equal weights (base, of 12)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A, B</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 readiness × 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6 + 3 = </w:t>
            </w:r>
            <w:r>
              <w:rPr>
                <w:rFonts w:eastAsia="Aptos" w:cs="Aptos"/>
                <w:b/>
                <w:bC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 + 2 = 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8 + 1 = </w:t>
            </w:r>
            <w:r>
              <w:rPr>
                <w:rFonts w:eastAsia="Aptos" w:cs="Aptos"/>
                <w:b/>
                <w:bC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and C tie, B</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Durability × 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 + 1 = 7</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 + 1 = 6</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8 + 3 = </w:t>
            </w:r>
            <w:r>
              <w:rPr>
                <w:rFonts w:eastAsia="Aptos" w:cs="Aptos"/>
                <w:b/>
                <w:bCs/>
                <w:kern w:val="0"/>
                <w:lang w:val="en-US"/>
              </w:rPr>
              <w:t>11</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A, B</w:t>
            </w:r>
          </w:p>
        </w:tc>
      </w:tr>
    </w:tbl>
    <w:p>
      <w:pPr>
        <w:pStyle w:val="BodyText"/>
        <w:rPr/>
      </w:pPr>
      <w:r>
        <w:rPr/>
        <w:t>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Section 3.7 MCDA.</w:t>
      </w:r>
    </w:p>
    <w:p>
      <w:pPr>
        <w:pStyle w:val="Heading5"/>
        <w:rPr/>
      </w:pPr>
      <w:r>
        <w:rPr/>
        <w:t>B3.1 Implementation levers for C1 (the Section 3.6.2 lever table): scores and weight test</w:t>
      </w:r>
    </w:p>
    <w:p>
      <w:pPr>
        <w:pStyle w:val="FirstParagraph"/>
        <w:rPr/>
      </w:pPr>
      <w:r>
        <w:rPr/>
        <w:t>Each lever is scored 1 (poor) to 3 (good) on enforceability, speed and low schedule risk. The scores are our judgement, not sourced; the totals are hand calculations.</w:t>
      </w:r>
    </w:p>
    <w:p>
      <w:pPr>
        <w:pStyle w:val="BodyText"/>
        <w:rPr/>
      </w:pPr>
      <w:r>
        <w:rPr>
          <w:i/>
          <w:iCs/>
        </w:rPr>
        <w:t>Table B14a. Lever scores and weight test for the Section 3.6.2 lever table.</w:t>
      </w:r>
      <w:r>
        <w:rPr/>
        <w:t xml:space="preserve"> </w:t>
      </w:r>
      <w:r>
        <w:rPr>
          <w:i/>
          <w:iCs/>
        </w:rPr>
        <w:t>Source: our judgement and hand calculation.</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Enforceability</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Low risk</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 (of 9)</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Enforceability × 2</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 × 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 + 3 + 3 = 10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2 + 3×2 + 3 = </w:t>
            </w:r>
            <w:r>
              <w:rPr>
                <w:rFonts w:eastAsia="Aptos" w:cs="Aptos"/>
                <w:b/>
                <w:bCs/>
                <w:kern w:val="0"/>
                <w:lang w:val="en-US"/>
              </w:rPr>
              <w:t>11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Equity-tranche milestone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3×2 + 2 + 3 = </w:t>
            </w:r>
            <w:r>
              <w:rPr>
                <w:rFonts w:eastAsia="Aptos" w:cs="Aptos"/>
                <w:b/>
                <w:bCs/>
                <w:kern w:val="0"/>
                <w:lang w:val="en-US"/>
              </w:rPr>
              <w:t>11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 + 2×2 + 3 = 10</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 + 2 + 2 = 10</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 + 2×2 + 2 = 9</w:t>
            </w:r>
          </w:p>
        </w:tc>
      </w:tr>
    </w:tbl>
    <w:p>
      <w:pPr>
        <w:pStyle w:val="BodyText"/>
        <w:rPr/>
      </w:pPr>
      <w:r>
        <w:rPr/>
        <w:t>Reading: L1 and L2 tie at 8 on equal weights. L2 leads (11) if enforceability counts double and L1 leads (11) if speed does. L3 is never first, so the recommendation (L1 now, L2 at tranche 2) holds under all three weightings.</w:t>
      </w:r>
    </w:p>
    <w:p>
      <w:pPr>
        <w:pStyle w:val="normal1"/>
        <w:rPr/>
      </w:pPr>
      <w:r>
        <w:rPr/>
        <mc:AlternateContent>
          <mc:Choice Requires="wps">
            <w:drawing>
              <wp:inline distT="0" distB="0" distL="0" distR="0">
                <wp:extent cx="573151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B4. Displacement: CO₂e avoided by one BWRX-300, Darlington vs Liddell</w:t>
      </w:r>
    </w:p>
    <w:p>
      <w:pPr>
        <w:pStyle w:val="FirstParagraph"/>
        <w:rPr/>
      </w:pPr>
      <w:r>
        <w:rPr>
          <w:b/>
          <w:bCs/>
        </w:rPr>
        <w:t>Result.</w:t>
      </w:r>
      <w:r>
        <w:rPr/>
        <w:t xml:space="preserve"> At static grid factors, one unit avoids 1.50 Mt CO₂e a year on the NSW grid average. That is 9.1× what it avoids on Ontario’s 2024 average (0.165 Mt), but only 1.9× its avoidance on Ontario’s marginal factor (0.80 Mt). Valued over the years each plant could actually run, the gap mostly closes: - Darlington Unit 1 from 2030 avoids </w:t>
      </w:r>
      <w:r>
        <w:rPr>
          <w:b/>
          <w:bCs/>
        </w:rPr>
        <w:t>1.01–6.80 Mt to 2050</w:t>
      </w:r>
      <w:r>
        <w:rPr/>
        <w:t xml:space="preserve">. - Liddell from 2040 avoids </w:t>
      </w:r>
      <w:r>
        <w:rPr>
          <w:b/>
          <w:bCs/>
        </w:rPr>
        <w:t>0.67–3.85 Mt to 2050</w:t>
      </w:r>
      <w:r>
        <w:rPr/>
        <w:t>: less than Darlington on the Step Change proxy, and comparable on the slow transition. - Liddell wins clearly only if the NEM stops decarbonising (frozen grid, 16.54 Mt).</w:t>
      </w:r>
    </w:p>
    <w:p>
      <w:pPr>
        <w:pStyle w:val="BodyText"/>
        <w:rPr/>
      </w:pPr>
      <w:r>
        <w:rPr/>
        <w:t xml:space="preserve">The grid trajectory, the start year and the post-coal floor dominate the result. The SMR’s own life-cycle value moves it by a few per cent. Script: </w:t>
      </w:r>
      <w:r>
        <w:rPr>
          <w:rStyle w:val="VerbatimChar"/>
        </w:rPr>
        <w:t>python3 -I 03_LCA_Calculations/scripts/displacement.py</w:t>
      </w:r>
      <w:r>
        <w:rPr/>
        <w:t xml:space="preserve">, with inputs in </w:t>
      </w:r>
      <w:r>
        <w:rPr>
          <w:rStyle w:val="VerbatimChar"/>
        </w:rPr>
        <w:t>parameters_run1.yaml</w:t>
      </w:r>
      <w:r>
        <w:rPr/>
        <w:t xml:space="preserve"> and output in </w:t>
      </w:r>
      <w:r>
        <w:rPr>
          <w:rStyle w:val="VerbatimChar"/>
        </w:rPr>
        <w:t>results/displacement.md</w:t>
      </w:r>
      <w:r>
        <w:rPr/>
        <w:t>.</w:t>
      </w:r>
    </w:p>
    <w:p>
      <w:pPr>
        <w:pStyle w:val="Heading5"/>
        <w:rPr/>
      </w:pPr>
      <w:r>
        <w:rPr/>
        <w:t>B4.1 Method</w:t>
      </w:r>
    </w:p>
    <w:p>
      <w:pPr>
        <w:pStyle w:val="Compact"/>
        <w:numPr>
          <w:ilvl w:val="0"/>
          <w:numId w:val="44"/>
        </w:numPr>
        <w:rPr/>
      </w:pPr>
      <w:r>
        <w:rPr/>
        <w:t xml:space="preserve">Annual output of one unit: E = P × 8,760 h × CF = 300 MW × 1,000 kW/MW × 8,760 h × 0.90 = </w:t>
      </w:r>
      <w:r>
        <w:rPr>
          <w:b/>
          <w:bCs/>
        </w:rPr>
        <w:t>2,365,200,000 kWh (2.365 TWh) a year</w:t>
      </w:r>
      <w:r>
        <w:rPr/>
        <w:t>.</w:t>
      </w:r>
    </w:p>
    <w:p>
      <w:pPr>
        <w:pStyle w:val="Compact"/>
        <w:numPr>
          <w:ilvl w:val="0"/>
          <w:numId w:val="45"/>
        </w:numPr>
        <w:rPr/>
      </w:pPr>
      <w:r>
        <w:rPr/>
        <w:t xml:space="preserve">CO₂e avoided in year </w:t>
      </w:r>
      <w:r>
        <w:rPr>
          <w:i/>
          <w:iCs/>
        </w:rPr>
        <w:t>y</w:t>
      </w:r>
      <w:r>
        <w:rPr/>
        <w:t>: A(</w:t>
      </w:r>
      <w:r>
        <w:rPr>
          <w:i/>
          <w:iCs/>
        </w:rPr>
        <w:t>y</w:t>
      </w:r>
      <w:r>
        <w:rPr/>
        <w:t>) = E × (EF_grid(</w:t>
      </w:r>
      <w:r>
        <w:rPr>
          <w:i/>
          <w:iCs/>
        </w:rPr>
        <w:t>y</w:t>
      </w:r>
      <w:r>
        <w:rPr/>
        <w:t>) − EF_SMR) / 10⁶ t. EF is in g CO₂e/kWh, and EF_SMR = 4.2 g/kWh (our Monte Carlo median, Section 3.2; 90% interval 3.0–5.8).</w:t>
      </w:r>
    </w:p>
    <w:p>
      <w:pPr>
        <w:pStyle w:val="Compact"/>
        <w:numPr>
          <w:ilvl w:val="0"/>
          <w:numId w:val="46"/>
        </w:numPr>
        <w:rPr/>
      </w:pPr>
      <w:r>
        <w:rPr/>
        <w:t>The cumulative total is the sum of A(</w:t>
      </w:r>
      <w:r>
        <w:rPr>
          <w:i/>
          <w:iCs/>
        </w:rPr>
        <w:t>y</w:t>
      </w:r>
      <w:r>
        <w:rPr/>
        <w:t>) from the first full year of operation to 2035, to 2050 (inclusive), or to the end of a 60-year life.</w:t>
      </w:r>
    </w:p>
    <w:p>
      <w:pPr>
        <w:pStyle w:val="Compact"/>
        <w:numPr>
          <w:ilvl w:val="0"/>
          <w:numId w:val="47"/>
        </w:numPr>
        <w:rPr/>
      </w:pPr>
      <w:r>
        <w:rPr/>
        <w:t>Each grid trajectory is linear between its anchor points and flat afterwards. These are our constructions, not AEMO or IESO series: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Path</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Role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73.8 g/kWh (2024) → 15 (2040)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(2024) → 15 (2050)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assumes gas leaves the margin by 2050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 ON-marginal-flat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values held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bounds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(2025) → 30 floor (2038)</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Central NEM case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(2025) → 30 (2050)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Slow transition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held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bound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UB-Bayswater; UB-coal-LCA</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 1,000 held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upper bounds</w:t>
            </w:r>
          </w:p>
        </w:tc>
      </w:tr>
    </w:tbl>
    <w:p>
      <w:pPr>
        <w:pStyle w:val="BodyText"/>
        <w:rPr/>
      </w:pPr>
      <w:r>
        <w:rPr>
          <w:b/>
          <w:bCs/>
        </w:rPr>
        <w:t>Worked example 1 (static, NSW 2025).</w:t>
      </w:r>
      <w:r>
        <w:rPr/>
        <w:t xml:space="preserve"> 2,365,200,000 × (640 − 4.2) / 10⁶ = </w:t>
      </w:r>
      <w:r>
        <w:rPr>
          <w:b/>
          <w:bCs/>
        </w:rPr>
        <w:t>1,503,794 t a year</w:t>
      </w:r>
      <w:r>
        <w:rPr/>
        <w:t>.</w:t>
      </w:r>
    </w:p>
    <w:p>
      <w:pPr>
        <w:pStyle w:val="BodyText"/>
        <w:rPr/>
      </w:pPr>
      <w:r>
        <w:rPr>
          <w:b/>
          <w:bCs/>
        </w:rPr>
        <w:t>Worked example 2 (cumulative, Liddell from 2040 on NEM-T1).</w:t>
      </w:r>
      <w:r>
        <w:rPr/>
        <w:t xml:space="preserve"> The NEM is at its 30 g/kWh floor from 2038, so each year avoids 2,365,200,000 × (30 − 4.2) / 10⁶ = 61,022 t. - To 2050 (11 years, 2040–2050): 11 × 61,022 = </w:t>
      </w:r>
      <w:r>
        <w:rPr>
          <w:b/>
          <w:bCs/>
        </w:rPr>
        <w:t>671 kt</w:t>
      </w:r>
      <w:r>
        <w:rPr/>
        <w:t xml:space="preserve">. - Whole life (60 years): 60 × 61,022 = </w:t>
      </w:r>
      <w:r>
        <w:rPr>
          <w:b/>
          <w:bCs/>
        </w:rPr>
        <w:t>3.66 Mt</w:t>
      </w:r>
      <w:r>
        <w:rPr/>
        <w:t>.</w:t>
      </w:r>
    </w:p>
    <w:p>
      <w:pPr>
        <w:pStyle w:val="BodyText"/>
        <w:rPr/>
      </w:pPr>
      <w:r>
        <w:rPr>
          <w:i/>
          <w:iCs/>
        </w:rPr>
        <w:t>Table B15. Inputs to B4–B6.</w:t>
      </w:r>
      <w:r>
        <w:rPr/>
        <w:t xml:space="preserve"> </w:t>
      </w:r>
      <w:r>
        <w:rPr>
          <w:i/>
          <w:iCs/>
        </w:rPr>
        <w:t xml:space="preserve">Source: </w:t>
      </w:r>
      <w:r>
        <w:rPr>
          <w:rStyle w:val="VerbatimChar"/>
          <w:i/>
          <w:iCs/>
        </w:rPr>
        <w:t>03_LCA_Calculations/parameters_run1.yaml</w:t>
      </w:r>
      <w:r>
        <w:rPr>
          <w:i/>
          <w:iCs/>
        </w:rPr>
        <w:t xml:space="preserve"> and the references named.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MWe (290–300)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(an OPG filing gives 315)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315 tested in Table B19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 design life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0.90 (0.80–0.95); 60 years (40–80)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g/kWh (3.0–5.8)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This study, bottom-up model (Section 3.2, Appendix C); the re-based 4.40 g/kWh changes avoided CO₂e by at most 0.3% (Ontario average grid: (73.8 − 4.40)/(73.8 − 4.2))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result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73.8 g/kWh (73–73.8)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2022;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53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Energy Regulator (n.d.); Government of Ontario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Electricity System Operator (2024)</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g/kWh (343–472)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high = gas generation, The Atmospheric Fund (2021)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(definition ambiguous)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Year gas leaves Ontario’s margin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2050 (2040–2060)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NSW/ACT grid, 2025 (scope 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Department of Climate Change, Energy, the Environment and Water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coal exit (T1); slow exit (T2)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2038; 2050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Energy Market Operator (2024), as reported; 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reported; 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floor after coal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g/kWh (0–80)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Bayswater, sent out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Energy Market Operator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(older value)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life cycle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1,000 g/kWh (751–1,095)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United Nations Economic Commission for Europe (2021)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Start years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 Units 2–4 2035 (2034–2036); Liddell 2035 (Coalition claim), 2040 (CSIRO earliest), 2045 (late case)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Ontario (2025); Ontario Power Generation (2025a); ABC News (2024), as reported; Graham, Hayward and Foster (2024); assumption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assumed</w:t>
            </w:r>
          </w:p>
        </w:tc>
      </w:tr>
    </w:tbl>
    <w:p>
      <w:pPr>
        <w:pStyle w:val="Heading5"/>
        <w:rPr/>
      </w:pPr>
      <w:r>
        <w:rPr/>
        <w:t>B4.2 Results</w:t>
      </w:r>
    </w:p>
    <w:p>
      <w:pPr>
        <w:pStyle w:val="FirstParagraph"/>
        <w:rPr/>
      </w:pPr>
      <w:r>
        <w:rPr>
          <w:i/>
          <w:iCs/>
        </w:rPr>
        <w:t>Table B16. Annual CO₂e avoided by one unit at static grid factors.</w:t>
      </w:r>
      <w:r>
        <w:rPr/>
        <w:t xml:space="preserve"> </w:t>
      </w:r>
      <w:r>
        <w:rPr>
          <w:i/>
          <w:iCs/>
        </w:rPr>
        <w:t xml:space="preserve">Source: </w:t>
      </w:r>
      <w:r>
        <w:rPr>
          <w:rStyle w:val="VerbatimChar"/>
          <w:i/>
          <w:iCs/>
        </w:rPr>
        <w:t>results/displacement.md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Displaced electricity</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(g/kWh)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 a year)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Ratio to Ontario average 2024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2022 (CER)</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72,848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2023 (energy snapshot)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115,422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2024 (TAF)</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164,618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(TAF 2024)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801,330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gas-fired generation (TAF 2021)</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1,106,441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NSW/NEM average 2025 (NGA Factors, scope 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1,503,794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Bayswater coal, sent out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2,331,614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life cycle (UNECE)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2,355,266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14.3×</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combined cycle, life cycle (UNECE)</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458</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1,073,328</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6.5×</w:t>
            </w:r>
          </w:p>
        </w:tc>
      </w:tr>
    </w:tbl>
    <w:p>
      <w:pPr>
        <w:pStyle w:val="BodyText"/>
        <w:rPr/>
      </w:pPr>
      <w:r>
        <w:rPr/>
        <w:t>On Canada Energy Regulator (n.d.) data for 2022 (35 g/kWh), the NSW figure is 20.6× the Ontario one (1,503,794 / 72,848), against 9.1× on the 2024 average.</w:t>
      </w:r>
    </w:p>
    <w:p>
      <w:pPr>
        <w:pStyle w:val="BodyText"/>
        <w:rPr/>
      </w:pPr>
      <w:r>
        <w:rPr>
          <w:i/>
          <w:iCs/>
        </w:rPr>
        <w:t>Table B17. Cumulative CO₂e avoided by one unit, by site, start year and grid trajectory (Figure F6 data).</w:t>
      </w:r>
      <w:r>
        <w:rPr/>
        <w:t xml:space="preserve"> </w:t>
      </w:r>
      <w:r>
        <w:rPr>
          <w:i/>
          <w:iCs/>
        </w:rPr>
        <w:t xml:space="preserve">Source: </w:t>
      </w:r>
      <w:r>
        <w:rPr>
          <w:rStyle w:val="VerbatimChar"/>
          <w:i/>
          <w:iCs/>
        </w:rPr>
        <w:t>results/displacement.md</w:t>
      </w:r>
      <w:r>
        <w:rPr>
          <w:i/>
          <w:iCs/>
        </w:rPr>
        <w:t xml:space="preserve"> section 3.</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Start</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Year-1 EF (g/kWh)</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2035</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2050</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Whole life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544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3.46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7.80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4.81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16.83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48.08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24.06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394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927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10.59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671 kt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6.84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kt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1.23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UB-Bayswater flat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25.65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139.90 Mt</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UB-coal-LCA flat (upper bound)</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25.91 Mt</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141.32 Mt</w:t>
            </w:r>
          </w:p>
        </w:tc>
      </w:tr>
    </w:tbl>
    <w:p>
      <w:pPr>
        <w:pStyle w:val="BodyText"/>
        <w:rPr/>
      </w:pPr>
      <w:r>
        <w:rPr>
          <w:i/>
          <w:iCs/>
        </w:rPr>
        <w:t>Table B18. All four Darlington units (Unit 1 from 2030; Units 2–4 from 2035).</w:t>
      </w:r>
      <w:r>
        <w:rPr/>
        <w:t xml:space="preserve"> </w:t>
      </w:r>
      <w:r>
        <w:rPr>
          <w:i/>
          <w:iCs/>
        </w:rPr>
        <w:t xml:space="preserve">Source: </w:t>
      </w:r>
      <w:r>
        <w:rPr>
          <w:rStyle w:val="VerbatimChar"/>
          <w:i/>
          <w:iCs/>
        </w:rPr>
        <w:t>results/displacement.md</w:t>
      </w:r>
      <w:r>
        <w:rPr>
          <w:i/>
          <w:iCs/>
        </w:rPr>
        <w:t xml:space="preserve"> section 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2035</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2050</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Whole life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751 kt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2.63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1.48 Mt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11.36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39.51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4.71 Mt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18.77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23.14 Mt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(upper bound)</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7.21 Mt</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55.29 Mt</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192.32 Mt</w:t>
            </w:r>
          </w:p>
        </w:tc>
      </w:tr>
    </w:tbl>
    <w:p>
      <w:pPr>
        <w:pStyle w:val="BodyText"/>
        <w:rPr/>
      </w:pPr>
      <w:r>
        <w:rPr>
          <w:i/>
          <w:iCs/>
        </w:rPr>
        <w:t>Table B19. One-at-a-time sensitivity, Liddell central case (start 2040, NEM-T1). Central: 671 kt to 2050; 3.66 Mt over the whole life.</w:t>
      </w:r>
      <w:r>
        <w:rPr/>
        <w:t xml:space="preserve"> </w:t>
      </w:r>
      <w:r>
        <w:rPr>
          <w:i/>
          <w:iCs/>
        </w:rPr>
        <w:t xml:space="preserve">Source: </w:t>
      </w:r>
      <w:r>
        <w:rPr>
          <w:rStyle w:val="VerbatimChar"/>
          <w:i/>
          <w:iCs/>
        </w:rPr>
        <w:t>results/displacement.md</w:t>
      </w:r>
      <w:r>
        <w:rPr>
          <w:i/>
          <w:iCs/>
        </w:rPr>
        <w:t xml:space="preserve"> section 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2050 (low → high input)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Whole life (low → high input)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0.80–0.95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597 → 709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3.25 → 3.86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290–300 MWe (315 MWe, as in an OPG filing, adds about 5%, proportionally)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649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3.54 → 3.66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(our 95th → 5th percentile)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5.8–3.0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630 → 702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 3.83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UNECE midpoint instead of ours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5.75 vs 4.2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631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3.44 → 3.66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stress (IPCC AR5 upper value)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110–12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2.08 Mt → 468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11.35 → 2.55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floor after coal exit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109 kt → 1.97 Mt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596 kt → 10.76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exit year (T1)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2035–2045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kt → 1.75 Mt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3.66 → 4.74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 life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40–80 years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2.44 → 4.88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Start 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2035–2045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1.64 Mt → 366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4.33 → 3.66 Mt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trajectory</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T1 → T0 (frozen)</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kt → 16.54 Mt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3.66 → 90.23 Mt</w:t>
            </w:r>
          </w:p>
        </w:tc>
      </w:tr>
    </w:tbl>
    <w:p>
      <w:pPr>
        <w:pStyle w:val="BodyText"/>
        <w:rPr/>
      </w:pPr>
      <w:r>
        <w:rPr/>
        <w:t xml:space="preserve">Reading: - </w:t>
      </w:r>
      <w:r>
        <w:rPr>
          <w:b/>
          <w:bCs/>
        </w:rPr>
        <w:t>Order-of-magnitude drivers.</w:t>
      </w:r>
      <w:r>
        <w:rPr/>
        <w:t xml:space="preserve"> The grid trajectory, the start year and the post-coal floor each move the result by an order of magnitude. Under T1 the SMR spends its whole life displacing the residual mix, so the floor is in effect the displaced intensity. - </w:t>
      </w:r>
      <w:r>
        <w:rPr>
          <w:b/>
          <w:bCs/>
        </w:rPr>
        <w:t>Minor drivers.</w:t>
      </w:r>
      <w:r>
        <w:rPr/>
        <w:t xml:space="preserve"> Capacity factor, net output and our life-cycle interval move it by a few per cent. - </w:t>
      </w:r>
      <w:r>
        <w:rPr>
          <w:b/>
          <w:bCs/>
        </w:rPr>
        <w:t>When the SMR’s own value matters.</w:t>
      </w:r>
      <w:r>
        <w:rPr/>
        <w:t xml:space="preserve"> Only in the 110 g/kWh stress case, or on a near-zero floor, where the result turns negative.</w:t>
      </w:r>
    </w:p>
    <w:p>
      <w:pPr>
        <w:pStyle w:val="Heading5"/>
        <w:rPr/>
      </w:pPr>
      <w:r>
        <w:rPr/>
        <w:t>B4.3 Limitations</w:t>
      </w:r>
    </w:p>
    <w:p>
      <w:pPr>
        <w:pStyle w:val="Compact"/>
        <w:numPr>
          <w:ilvl w:val="0"/>
          <w:numId w:val="48"/>
        </w:numPr>
        <w:rPr/>
      </w:pPr>
      <w:r>
        <w:rPr>
          <w:b/>
          <w:bCs/>
        </w:rPr>
        <w:t>Boundary mismatch.</w:t>
      </w:r>
      <w:r>
        <w:rPr/>
        <w:t xml:space="preserve"> The grid factors (NGA scope 2, TAF, CER) count combustion at the power station only, while the SMR value is life cycle, so displacement is slightly understated. The UNECE coal row gives the boundary-consistent upper bound.</w:t>
      </w:r>
    </w:p>
    <w:p>
      <w:pPr>
        <w:pStyle w:val="Compact"/>
        <w:numPr>
          <w:ilvl w:val="0"/>
          <w:numId w:val="49"/>
        </w:numPr>
        <w:rPr/>
      </w:pPr>
      <w:r>
        <w:rPr>
          <w:b/>
          <w:bCs/>
        </w:rPr>
        <w:t>Average vs marginal.</w:t>
      </w:r>
      <w:r>
        <w:rPr/>
        <w:t xml:space="preserve"> A new baseload unit displaces what is on the margin when it runs. In Ontario that is mostly gas, so the marginal factor is the better short-run estimate. Over a 60-year life the margin decarbonises, which makes the flat-marginal case an upper bound.</w:t>
      </w:r>
    </w:p>
    <w:p>
      <w:pPr>
        <w:pStyle w:val="Compact"/>
        <w:numPr>
          <w:ilvl w:val="0"/>
          <w:numId w:val="50"/>
        </w:numPr>
        <w:rPr/>
      </w:pPr>
      <w:r>
        <w:rPr>
          <w:b/>
          <w:bCs/>
        </w:rPr>
        <w:t>Counterfactual.</w:t>
      </w:r>
      <w:r>
        <w:rPr/>
        <w:t xml:space="preserve"> In both grids the real alternative is other new supply, not today’s grid forever (B6).</w:t>
      </w:r>
    </w:p>
    <w:p>
      <w:pPr>
        <w:pStyle w:val="Compact"/>
        <w:numPr>
          <w:ilvl w:val="0"/>
          <w:numId w:val="51"/>
        </w:numPr>
        <w:rPr/>
      </w:pPr>
      <w:r>
        <w:rPr>
          <w:b/>
          <w:bCs/>
        </w:rPr>
        <w:t>Liddell</w:t>
      </w:r>
      <w:r>
        <w:rPr/>
        <w:t xml:space="preserve"> was approved to close by April 2023 (Australian Energy Regulator, 2021) and has since closed. An SMR on the site displaces the NEM mix, so Bayswater is an upper bound only.</w:t>
      </w:r>
    </w:p>
    <w:p>
      <w:pPr>
        <w:pStyle w:val="Compact"/>
        <w:numPr>
          <w:ilvl w:val="0"/>
          <w:numId w:val="52"/>
        </w:numPr>
        <w:rPr/>
      </w:pPr>
      <w:r>
        <w:rPr>
          <w:b/>
          <w:bCs/>
        </w:rPr>
        <w:t>Assumptions.</w:t>
      </w:r>
      <w:r>
        <w:rPr/>
        <w:t xml:space="preserve"> Net output, capacity factor, design life and start years are assumed; Table B19 and Table B17 test them.</w:t>
      </w:r>
    </w:p>
    <w:p>
      <w:pPr>
        <w:pStyle w:val="normal1"/>
        <w:rPr/>
      </w:pPr>
      <w:r>
        <w:rPr/>
        <mc:AlternateContent>
          <mc:Choice Requires="wps">
            <w:drawing>
              <wp:inline distT="0" distB="0" distL="0" distR="0">
                <wp:extent cx="573151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B5. Value of schedule: the CO₂e and dollar cost of delay, and C1’s break-even</w:t>
      </w:r>
    </w:p>
    <w:p>
      <w:pPr>
        <w:pStyle w:val="FirstParagraph"/>
        <w:rPr/>
      </w:pPr>
      <w:r>
        <w:rPr>
          <w:b/>
          <w:bCs/>
        </w:rPr>
        <w:t>Result.</w:t>
      </w:r>
      <w:r>
        <w:rPr/>
        <w:t xml:space="preserve"> On Ontario’s average factor, C1’s per-unit saving (2,200 t; 1,100–3,300 at 20–60% eligible) is cancelled by </w:t>
      </w:r>
      <w:r>
        <w:rPr>
          <w:b/>
          <w:bCs/>
        </w:rPr>
        <w:t>11.6–18.5 days</w:t>
      </w:r>
      <w:r>
        <w:rPr/>
        <w:t xml:space="preserve"> of delay to that unit (gross–net). On the marginal factor it is cancelled by </w:t>
      </w:r>
      <w:r>
        <w:rPr>
          <w:b/>
          <w:bCs/>
        </w:rPr>
        <w:t>1.7–1.8 days</w:t>
      </w:r>
      <w:r>
        <w:rPr/>
        <w:t xml:space="preserve">. Even all of Units 2–4’s saving (6,600 t) is cancelled by 35–55 days (average) or 5.1–5.4 days (marginal) of delay to a single unit. In money, a one-month slip of Units 2–4 costs </w:t>
      </w:r>
      <w:r>
        <w:rPr>
          <w:b/>
          <w:bCs/>
        </w:rPr>
        <w:t>29–175 times</w:t>
      </w:r>
      <w:r>
        <w:rPr/>
        <w:t xml:space="preserve"> C1’s carbon value. The saving is 50,000 m³ of concrete per unit (BWRX-300 Ostrołęka sp. z o.o., 2023) × the eligible share × 0.110 t CO₂e/m³ (OPC 380 less LC³ 270 kg CO₂e/m³; Pillai et al., 2019). Script: </w:t>
      </w:r>
      <w:r>
        <w:rPr>
          <w:rStyle w:val="VerbatimChar"/>
        </w:rPr>
        <w:t>python3 -I 03_LCA_Calculations/scripts/schedule_value.py</w:t>
      </w:r>
      <w:r>
        <w:rPr/>
        <w:t xml:space="preserve">, with output in </w:t>
      </w:r>
      <w:r>
        <w:rPr>
          <w:rStyle w:val="VerbatimChar"/>
        </w:rPr>
        <w:t>results/schedule_value.md</w:t>
      </w:r>
      <w:r>
        <w:rPr/>
        <w:t xml:space="preserve">; </w:t>
      </w:r>
      <w:r>
        <w:rPr>
          <w:rStyle w:val="VerbatimChar"/>
        </w:rPr>
        <w:t>--c1-case old_1734</w:t>
      </w:r>
      <w:r>
        <w:rPr/>
        <w:t xml:space="preserve"> reproduces the cross-check. The carrying-cost and deferred-output inputs are read from </w:t>
      </w:r>
      <w:r>
        <w:rPr>
          <w:rStyle w:val="VerbatimChar"/>
        </w:rPr>
        <w:t>parameters_run5.yaml</w:t>
      </w:r>
      <w:r>
        <w:rPr/>
        <w:t>.</w:t>
      </w:r>
    </w:p>
    <w:p>
      <w:pPr>
        <w:pStyle w:val="Heading5"/>
        <w:rPr/>
      </w:pPr>
      <w:r>
        <w:rPr/>
        <w:t>B5.1 Method</w:t>
      </w:r>
    </w:p>
    <w:p>
      <w:pPr>
        <w:pStyle w:val="Compact"/>
        <w:numPr>
          <w:ilvl w:val="0"/>
          <w:numId w:val="53"/>
        </w:numPr>
        <w:rPr/>
      </w:pPr>
      <w:r>
        <w:rPr/>
        <w:t>Output of one unit: monthly M = E / 12 = 197,100,000 kWh; daily D = E / 365 = 6,480,000 kWh.</w:t>
      </w:r>
    </w:p>
    <w:p>
      <w:pPr>
        <w:pStyle w:val="Compact"/>
        <w:numPr>
          <w:ilvl w:val="0"/>
          <w:numId w:val="54"/>
        </w:numPr>
        <w:rPr/>
      </w:pPr>
      <w:r>
        <w:rPr>
          <w:b/>
          <w:bCs/>
        </w:rPr>
        <w:t>Gross loss</w:t>
      </w:r>
      <w:r>
        <w:rPr/>
        <w:t xml:space="preserve"> per month of delay = M × (EF_grid(start) − EF_SMR) / 10⁶ t. This is the displacement that does not happen while the plant is late, and it matches carbon budgets to 2035 or 2050.</w:t>
      </w:r>
    </w:p>
    <w:p>
      <w:pPr>
        <w:pStyle w:val="Compact"/>
        <w:numPr>
          <w:ilvl w:val="0"/>
          <w:numId w:val="55"/>
        </w:numPr>
        <w:rPr/>
      </w:pPr>
      <w:r>
        <w:rPr>
          <w:b/>
          <w:bCs/>
        </w:rPr>
        <w:t>Net loss</w:t>
      </w:r>
      <w:r>
        <w:rPr/>
        <w:t xml:space="preserve"> per month = M × (EF_grid(start) − EF_grid(start + life)) / 10⁶ t. A late plant still runs its full life, so the lost month returns at the end of life, on a cleaner grid. On a flat grid this gives zero by construction, which is an artefact of assuming the grid never changes.</w:t>
      </w:r>
    </w:p>
    <w:p>
      <w:pPr>
        <w:pStyle w:val="Compact"/>
        <w:numPr>
          <w:ilvl w:val="0"/>
          <w:numId w:val="56"/>
        </w:numPr>
        <w:rPr/>
      </w:pPr>
      <w:r>
        <w:rPr>
          <w:b/>
          <w:bCs/>
        </w:rPr>
        <w:t>Break-even delay</w:t>
      </w:r>
      <w:r>
        <w:rPr/>
        <w:t xml:space="preserve"> for a saving S (t CO₂e) = S / (loss per day), on both bases.</w:t>
      </w:r>
    </w:p>
    <w:p>
      <w:pPr>
        <w:pStyle w:val="FirstParagraph"/>
        <w:rPr/>
      </w:pPr>
      <w:r>
        <w:rPr>
          <w:b/>
          <w:bCs/>
        </w:rPr>
        <w:t>Worked example (one of Units 2–4, start 2035, ON-avg-traj).</w:t>
      </w:r>
      <w:r>
        <w:rPr/>
        <w:t xml:space="preserve"> 1. Grid factor in 2035: EF(2035) = 73.8 − (73.8 − 15) × 11/16 = 33.4 g/kWh. 2. Gross loss: 6,480,000 × (33.4 − 4.2) / 10⁶ = </w:t>
      </w:r>
      <w:r>
        <w:rPr>
          <w:b/>
          <w:bCs/>
        </w:rPr>
        <w:t>189 t a day</w:t>
      </w:r>
      <w:r>
        <w:rPr/>
        <w:t xml:space="preserve">, so the break-even is 2,200 / 189 = </w:t>
      </w:r>
      <w:r>
        <w:rPr>
          <w:b/>
          <w:bCs/>
        </w:rPr>
        <w:t>11.6 days</w:t>
      </w:r>
      <w:r>
        <w:rPr/>
        <w:t xml:space="preserve">. 3. Net loss: 6,480,000 × (33.4 − 15) / 10⁶ = </w:t>
      </w:r>
      <w:r>
        <w:rPr>
          <w:b/>
          <w:bCs/>
        </w:rPr>
        <w:t>119 t a day</w:t>
      </w:r>
      <w:r>
        <w:rPr/>
        <w:t xml:space="preserve">, so the break-even is 2,200 / 119 = </w:t>
      </w:r>
      <w:r>
        <w:rPr>
          <w:b/>
          <w:bCs/>
        </w:rPr>
        <w:t>18.5 days</w:t>
      </w:r>
      <w:r>
        <w:rPr/>
        <w:t>.</w:t>
      </w:r>
    </w:p>
    <w:p>
      <w:pPr>
        <w:pStyle w:val="BodyText"/>
        <w:rPr/>
      </w:pPr>
      <w:r>
        <w:rPr>
          <w:b/>
          <w:bCs/>
        </w:rPr>
        <w:t>Marginal case.</w:t>
      </w:r>
      <w:r>
        <w:rPr/>
        <w:t xml:space="preserve"> EF(2035) = 343 − (343 − 15) × 11/26 = 204.2 g/kWh. The gross loss is 6,480,000 × 200.0 / 10⁶ = 1,296 t a day, so the break-even is 2,200 / 1,296 = </w:t>
      </w:r>
      <w:r>
        <w:rPr>
          <w:b/>
          <w:bCs/>
        </w:rPr>
        <w:t>1.7 days</w:t>
      </w:r>
      <w:r>
        <w:rPr/>
        <w:t>.</w:t>
      </w:r>
    </w:p>
    <w:p>
      <w:pPr>
        <w:pStyle w:val="Heading5"/>
        <w:rPr/>
      </w:pPr>
      <w:r>
        <w:rPr/>
        <w:t>B5.2 CO₂e lost per month of delay</w:t>
      </w:r>
    </w:p>
    <w:p>
      <w:pPr>
        <w:pStyle w:val="FirstParagraph"/>
        <w:rPr/>
      </w:pPr>
      <w:r>
        <w:rPr>
          <w:i/>
          <w:iCs/>
        </w:rPr>
        <w:t>Table B20. CO₂e lost per month of delay, one unit.</w:t>
      </w:r>
      <w:r>
        <w:rPr/>
        <w:t xml:space="preserve"> </w:t>
      </w:r>
      <w:r>
        <w:rPr>
          <w:i/>
          <w:iCs/>
        </w:rPr>
        <w:t xml:space="preserve">Source: </w:t>
      </w:r>
      <w:r>
        <w:rPr>
          <w:rStyle w:val="VerbatimChar"/>
          <w:i/>
          <w:iCs/>
        </w:rPr>
        <w:t>results/schedule_value.md</w:t>
      </w:r>
      <w:r>
        <w:rPr>
          <w:i/>
          <w:iCs/>
        </w:rPr>
        <w:t xml:space="preserve"> section 2. “None” = flat grid, so the month is recovered at the end of life.</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 start year</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at start (g/kWh)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at end of life</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Gross t/month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Net t/month</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cancel 1 kt (gross / net)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9,372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7,243</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4.2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13,718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51,859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49,730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0.6 / 0.6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66,777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5,750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3,622</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5.3 / 8.4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39,426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37,297</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 / 0.8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66,777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125,316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32,831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27,746</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 / 1.1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77,224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72,139</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 / 0.4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125,316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5,085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6.0 / none</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53,178</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48,092</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0.6 / 0.6</w:t>
            </w:r>
          </w:p>
        </w:tc>
      </w:tr>
    </w:tbl>
    <w:p>
      <w:pPr>
        <w:pStyle w:val="BodyText"/>
        <w:rPr/>
      </w:pPr>
      <w:r>
        <w:rPr/>
        <w:t>A one-month slip of all three of Units 2–4 loses: - 17,251 t gross / 10,865 t net (ON-avg-traj); - 118,278 / 111,892 t (ON-marginal-declining); - 200,332 / 0 t (ON-marginal-flat).</w:t>
      </w:r>
    </w:p>
    <w:p>
      <w:pPr>
        <w:pStyle w:val="BodyText"/>
        <w:rPr/>
      </w:pPr>
      <w:r>
        <w:rPr>
          <w:b/>
          <w:bCs/>
        </w:rPr>
        <w:t>Break-even sensitivity</w:t>
      </w:r>
      <w:r>
        <w:rPr/>
        <w:t xml:space="preserve"> (Units 2–4, ON-marginal-declining; central 1,226 t a day net, 0.8 days per kt): - capacity factor 0.80 or 0.95: 0.9 or 0.8 days per kt; - marginal factor 472 g/kWh (gas generation): 0.6 days per kt; - gas off the margin by 2040: 1.5 days per kt; by 2060: 0.7 days per kt (</w:t>
      </w:r>
      <w:r>
        <w:rPr>
          <w:rStyle w:val="VerbatimChar"/>
        </w:rPr>
        <w:t>results/schedule_value.md</w:t>
      </w:r>
      <w:r>
        <w:rPr/>
        <w:t xml:space="preserve"> section 5).</w:t>
      </w:r>
    </w:p>
    <w:p>
      <w:pPr>
        <w:pStyle w:val="Heading5"/>
        <w:rPr/>
      </w:pPr>
      <w:r>
        <w:rPr/>
        <w:t>B5.3 Break-even delay for C1</w:t>
      </w:r>
    </w:p>
    <w:p>
      <w:pPr>
        <w:pStyle w:val="FirstParagraph"/>
        <w:rPr/>
      </w:pPr>
      <w:r>
        <w:rPr>
          <w:i/>
          <w:iCs/>
        </w:rPr>
        <w:t>Table B21. Days of delay that cancel C1’s LC³ saving (Units 2–4, start 2035).</w:t>
      </w:r>
      <w:r>
        <w:rPr/>
        <w:t xml:space="preserve"> </w:t>
      </w:r>
      <w:r>
        <w:rPr>
          <w:i/>
          <w:iCs/>
        </w:rPr>
        <w:t xml:space="preserve">Source: </w:t>
      </w:r>
      <w:r>
        <w:rPr>
          <w:rStyle w:val="VerbatimChar"/>
          <w:i/>
          <w:iCs/>
        </w:rPr>
        <w:t>results/schedule_value.md</w:t>
      </w:r>
      <w:r>
        <w:rPr>
          <w:i/>
          <w:iCs/>
        </w:rPr>
        <w:t xml:space="preserve"> section 6; </w:t>
      </w:r>
      <w:r>
        <w:rPr>
          <w:rStyle w:val="VerbatimChar"/>
          <w:i/>
          <w:iCs/>
        </w:rPr>
        <w:t>results/c1_deck_case.md</w:t>
      </w:r>
      <w:r>
        <w:rPr>
          <w:i/>
          <w:iCs/>
        </w:rPr>
        <w:t>. Saving 2,200 t per unit and 6,600 t for Units 2–4 at 40% eligible (BWRX-300 Ostrołęka sp. z o.o., 2023; Pillai et al., 2019). Brackets give the 20% and 60% eligibility cases (1,100 and 3,300 t per unit), not a Monte Carlo interval.</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 (factor type)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Gross t/day per unit</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Net t/day per unit</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Per unit, gross days</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Per unit, net days</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Programme saving, one unit late: gross days</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Net days</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 (average, declining to 2040)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189</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119</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18.5 (9.2–27.7)</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34.9 (17.5–52.4)</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55.4 (27.7–83.1)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 (average, held at 2024)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4.9 (2.4–7.3)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14.6 (7.3–22.0)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 (gas leaves the margin by 2050)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1,296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1,226</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 (0.9–2.7)</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(2.5–7.6)</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5.4 (2.7–8.1)</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(held at 2024)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2,195</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 (0.5–1.5)</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(1.5–4.5)</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r>
    </w:tbl>
    <w:p>
      <w:pPr>
        <w:pStyle w:val="BodyText"/>
        <w:rPr/>
      </w:pPr>
      <w:r>
        <w:rPr/>
        <w:t xml:space="preserve">The two cases: - </w:t>
      </w:r>
      <w:r>
        <w:rPr>
          <w:b/>
          <w:bCs/>
        </w:rPr>
        <w:t>(a)</w:t>
      </w:r>
      <w:r>
        <w:rPr/>
        <w:t xml:space="preserve"> compares one unit’s saving with a delay to that unit. All three units’ saving against a three-unit slip gives the same answer, because both scale by 3. - </w:t>
      </w:r>
      <w:r>
        <w:rPr>
          <w:b/>
          <w:bCs/>
        </w:rPr>
        <w:t>(b)</w:t>
      </w:r>
      <w:r>
        <w:rPr/>
        <w:t xml:space="preserve"> compares all of Units 2–4’s saving with a delay to only one unit, for example when the first LC³ pour holds one unit’s critical path.</w:t>
      </w:r>
    </w:p>
    <w:p>
      <w:pPr>
        <w:pStyle w:val="BodyText"/>
        <w:rPr/>
      </w:pPr>
      <w:r>
        <w:rPr>
          <w:b/>
          <w:bCs/>
        </w:rPr>
        <w:t>Cross-check (earlier geometric model, 20,700 m³ per unit).</w:t>
      </w:r>
      <w:r>
        <w:rPr/>
        <w:t xml:space="preserve"> Its saving of 1,734 t per unit (5,201 t for Units 2–4; Monte Carlo 90% interval 1,387–2,153 t) gives break-evens of 9.2–14.6 days on the average factor and 1.3–1.4 days on the marginal factor. The deck case lengthens them by about 27% (2,200 / 1,734).</w:t>
      </w:r>
    </w:p>
    <w:p>
      <w:pPr>
        <w:pStyle w:val="Heading5"/>
        <w:rPr/>
      </w:pPr>
      <w:r>
        <w:rPr/>
        <w:t>B5.4 C1’s carbon value against one month’s delay</w:t>
      </w:r>
    </w:p>
    <w:p>
      <w:pPr>
        <w:pStyle w:val="FirstParagraph"/>
        <w:rPr/>
      </w:pPr>
      <w:r>
        <w:rPr>
          <w:i/>
          <w:iCs/>
        </w:rPr>
        <w:t>Table B22. C1’s carbon value (Units 2–4, 6,600 t) against the value of the CO₂e lost in a one-month slip of all three units.</w:t>
      </w:r>
      <w:r>
        <w:rPr/>
        <w:t xml:space="preserve"> </w:t>
      </w:r>
      <w:r>
        <w:rPr>
          <w:i/>
          <w:iCs/>
        </w:rPr>
        <w:t xml:space="preserve">Source: </w:t>
      </w:r>
      <w:r>
        <w:rPr>
          <w:rStyle w:val="VerbatimChar"/>
          <w:i/>
          <w:iCs/>
        </w:rPr>
        <w:t>results/schedule_value.md</w:t>
      </w:r>
      <w:r>
        <w:rPr>
          <w:i/>
          <w:iCs/>
        </w:rPr>
        <w:t xml:space="preserve"> section 7. Carbon prices: federal headline industrial trajectory (Environment and Climate Change Canada, 2026); the superseded 2021 path is shown for comparison only. Brackets: 20–60% eligibility.</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Carbon price (C$/t)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carbon value, Units 2–4 (C$ m)</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in a one-month slip, average factor (C$ m, gross / net)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Same, marginal factor (C$ m, gross / net)</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95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2026, current path (used)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0.63 (0.31–0.94)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1.64 / 1.03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11.24 / 10.63</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2026, superseded path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0.73 (0.36–1.09)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1.90 / 1.20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13.01 / 12.31</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115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2030, current path (used)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0.76 (0.38–1.14)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1.98 / 1.25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13.60 / 12.87</w:t>
            </w:r>
          </w:p>
        </w:tc>
      </w:tr>
      <w:tr>
        <w:trPr/>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superseded path</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 (0.56–1.68)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2.93 / 1.85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20.11 / 19.02</w:t>
            </w:r>
          </w:p>
        </w:tc>
      </w:tr>
    </w:tbl>
    <w:p>
      <w:pPr>
        <w:pStyle w:val="BodyText"/>
        <w:rPr/>
      </w:pPr>
      <w:r>
        <w:rPr/>
        <w:t>Working: carbon value = saving × price. For example, 6,600 t × C$95/t = C$0.63 m, and 6,600 × 115 = C$0.76 m. C1’s concrete would be placed in about 2029–2033, so the 2030 price is the relevant one; 2026 is today’s price.</w:t>
      </w:r>
    </w:p>
    <w:p>
      <w:pPr>
        <w:pStyle w:val="BodyText"/>
        <w:rPr/>
      </w:pPr>
      <w:r>
        <w:rPr>
          <w:b/>
          <w:bCs/>
        </w:rPr>
        <w:t>Direct cost of a one-month slip of Units 2–4</w:t>
      </w:r>
      <w:r>
        <w:rPr/>
        <w:t xml:space="preserve"> (inputs from </w:t>
      </w:r>
      <w:r>
        <w:rPr>
          <w:rStyle w:val="VerbatimChar"/>
        </w:rPr>
        <w:t>parameters_run5.yaml</w:t>
      </w:r>
      <w:r>
        <w:rPr/>
        <w:t xml:space="preserve">; assumptions where stated): - </w:t>
      </w:r>
      <w:r>
        <w:rPr>
          <w:b/>
          <w:bCs/>
        </w:rPr>
        <w:t>Deferred output:</w:t>
      </w:r>
      <w:r>
        <w:rPr/>
        <w:t xml:space="preserve"> 3 × 300 MW × 8,760 h × 0.90 / 12 = 591,300 MWh × C$149/MWh (OPG’s reported LCOE; Ontario Power Generation, 2026b) = </w:t>
      </w:r>
      <w:r>
        <w:rPr>
          <w:b/>
          <w:bCs/>
        </w:rPr>
        <w:t>C$88 m</w:t>
      </w:r>
      <w:r>
        <w:rPr/>
        <w:t xml:space="preserve">. The output is deferred, not lost, so this is a cash-flow cost to OPG and ratepayers, not a social loss of that size. - </w:t>
      </w:r>
      <w:r>
        <w:rPr>
          <w:b/>
          <w:bCs/>
        </w:rPr>
        <w:t>Carrying cost:</w:t>
      </w:r>
      <w:r>
        <w:rPr/>
        <w:t xml:space="preserve"> C$13.2 bn (Units 2–4: C$20.9 bn less C$7.7 bn for Unit 1 and common infrastructure) × r / 12. At r = 3, 5, 7 and 10%, that is </w:t>
      </w:r>
      <w:r>
        <w:rPr>
          <w:b/>
          <w:bCs/>
        </w:rPr>
        <w:t>C$33, 55, 77 and 110 m</w:t>
      </w:r>
      <w:r>
        <w:rPr/>
        <w:t>. It is an upper bound, because it assumes all the capital is already spent.</w:t>
      </w:r>
    </w:p>
    <w:p>
      <w:pPr>
        <w:pStyle w:val="BodyText"/>
        <w:rPr/>
      </w:pPr>
      <w:r>
        <w:rPr>
          <w:b/>
          <w:bCs/>
        </w:rPr>
        <w:t>How the 29–175× in Section 3.3 is derived (current carbon-price path):</w:t>
      </w:r>
      <w:r>
        <w:rPr/>
        <w:t xml:space="preserve"> - </w:t>
      </w:r>
      <w:r>
        <w:rPr>
          <w:b/>
          <w:bCs/>
        </w:rPr>
        <w:t>Low end:</w:t>
      </w:r>
      <w:r>
        <w:rPr/>
        <w:t xml:space="preserve"> the lowest monthly cost (C$33.0 m) over the largest carbon value on the current path (9,900 t × C$115/t = C$1.139 m) = 29.0×. - </w:t>
      </w:r>
      <w:r>
        <w:rPr>
          <w:b/>
          <w:bCs/>
        </w:rPr>
        <w:t>High end:</w:t>
      </w:r>
      <w:r>
        <w:rPr/>
        <w:t xml:space="preserve"> the highest cost (C$110.0 m) over the central value at C$95/t (C$0.627 m) = 175.4×. - </w:t>
      </w:r>
      <w:r>
        <w:rPr>
          <w:b/>
          <w:bCs/>
        </w:rPr>
        <w:t>Including the superseded C$170/t path,</w:t>
      </w:r>
      <w:r>
        <w:rPr/>
        <w:t xml:space="preserve"> the low end is C$33 m / 1.68 = 20×. The earlier 1,734 t model gave 30–223× (44–223× on the current path). - </w:t>
      </w:r>
      <w:r>
        <w:rPr>
          <w:b/>
          <w:bCs/>
        </w:rPr>
        <w:t>In carbon alone,</w:t>
      </w:r>
      <w:r>
        <w:rPr/>
        <w:t xml:space="preserve"> the slip loses 10,865–118,278 t against C1’s 6,600 t, which is 1.6–17.9 times the saving (earlier model: 2.1–22.7×).</w:t>
      </w:r>
    </w:p>
    <w:p>
      <w:pPr>
        <w:pStyle w:val="BodyText"/>
        <w:rPr/>
      </w:pPr>
      <w:r>
        <w:rPr/>
        <w:t>One day of delay costs C$1.8–2.9 m (</w:t>
      </w:r>
      <w:r>
        <w:rPr>
          <w:rStyle w:val="VerbatimChar"/>
        </w:rPr>
        <w:t>results/initiative_cost.md</w:t>
      </w:r>
      <w:r>
        <w:rPr/>
        <w:t xml:space="preserve"> section 5), against C1’s total carbon value of C$0.63–0.76 m (C$1.14 m at 60% eligibility and C$115/t).</w:t>
      </w:r>
    </w:p>
    <w:p>
      <w:pPr>
        <w:pStyle w:val="Heading5"/>
        <w:rPr/>
      </w:pPr>
      <w:r>
        <w:rPr/>
        <w:t>B5.5 Year-scale delays</w:t>
      </w:r>
    </w:p>
    <w:p>
      <w:pPr>
        <w:pStyle w:val="FirstParagraph"/>
        <w:rPr/>
      </w:pPr>
      <w:r>
        <w:rPr>
          <w:i/>
          <w:iCs/>
        </w:rPr>
        <w:t>Table B23. CO₂e avoided to 2050 lost per year of delay, one unit.</w:t>
      </w:r>
      <w:r>
        <w:rPr/>
        <w:t xml:space="preserve"> </w:t>
      </w:r>
      <w:r>
        <w:rPr>
          <w:i/>
          <w:iCs/>
        </w:rPr>
        <w:t xml:space="preserve">Source: </w:t>
      </w:r>
      <w:r>
        <w:rPr>
          <w:rStyle w:val="VerbatimChar"/>
          <w:i/>
          <w:iCs/>
        </w:rPr>
        <w:t>results/schedule_value.md</w:t>
      </w:r>
      <w:r>
        <w:rPr>
          <w:i/>
          <w:iCs/>
        </w:rPr>
        <w:t xml:space="preserve"> section 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Start 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Start B</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to 2050 (A)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to 2050 (B)</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Lost</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Lost per year of delay</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24.06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7.52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0.67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0.19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0.81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2.61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 Mt</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2032</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5.59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 Mt</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0.61 Mt</w:t>
            </w:r>
          </w:p>
        </w:tc>
      </w:tr>
    </w:tbl>
    <w:p>
      <w:pPr>
        <w:pStyle w:val="Heading5"/>
        <w:rPr/>
      </w:pPr>
      <w:r>
        <w:rPr/>
        <w:t>B5.6 Limitations</w:t>
      </w:r>
    </w:p>
    <w:p>
      <w:pPr>
        <w:pStyle w:val="Compact"/>
        <w:numPr>
          <w:ilvl w:val="0"/>
          <w:numId w:val="57"/>
        </w:numPr>
        <w:rPr/>
      </w:pPr>
      <w:r>
        <w:rPr/>
        <w:t>Average factors understate what a late baseload unit would have displaced in Ontario, where gas is on the margin.</w:t>
      </w:r>
    </w:p>
    <w:p>
      <w:pPr>
        <w:pStyle w:val="Compact"/>
        <w:numPr>
          <w:ilvl w:val="0"/>
          <w:numId w:val="58"/>
        </w:numPr>
        <w:rPr/>
      </w:pPr>
      <w:r>
        <w:rPr/>
        <w:t>The net basis assumes the plant’s life is fixed in years, not extended.</w:t>
      </w:r>
    </w:p>
    <w:p>
      <w:pPr>
        <w:pStyle w:val="Compact"/>
        <w:numPr>
          <w:ilvl w:val="0"/>
          <w:numId w:val="59"/>
        </w:numPr>
        <w:rPr/>
      </w:pPr>
      <w:r>
        <w:rPr/>
        <w:t>The carbon value is realised only if someone prices it. Construction-material emissions appear to fall outside Ontario’s Emissions Performance Standards (our inference).</w:t>
      </w:r>
    </w:p>
    <w:p>
      <w:pPr>
        <w:pStyle w:val="Compact"/>
        <w:numPr>
          <w:ilvl w:val="0"/>
          <w:numId w:val="60"/>
        </w:numPr>
        <w:rPr/>
      </w:pPr>
      <w:r>
        <w:rPr/>
        <w:t>The carrying cost is an upper bound for an early slip.</w:t>
      </w:r>
    </w:p>
    <w:p>
      <w:pPr>
        <w:pStyle w:val="Compact"/>
        <w:numPr>
          <w:ilvl w:val="0"/>
          <w:numId w:val="61"/>
        </w:numPr>
        <w:rPr/>
      </w:pPr>
      <w:r>
        <w:rPr/>
        <w:t>The eligible share (20–60%) is an assumption; the saving per m³ (0.110 t) is fixed, so volume and saving move together.</w:t>
      </w:r>
    </w:p>
    <w:p>
      <w:pPr>
        <w:pStyle w:val="normal1"/>
        <w:rPr/>
      </w:pPr>
      <w:r>
        <w:rPr/>
        <mc:AlternateContent>
          <mc:Choice Requires="wps">
            <w:drawing>
              <wp:inline distT="0" distB="0" distL="0" distR="0">
                <wp:extent cx="573151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B6. Same money: Darlington’s budget spent on firmed renewables</w:t>
      </w:r>
    </w:p>
    <w:p>
      <w:pPr>
        <w:pStyle w:val="FirstParagraph"/>
        <w:rPr/>
      </w:pPr>
      <w:r>
        <w:rPr>
          <w:b/>
          <w:bCs/>
        </w:rPr>
        <w:t>Result.</w:t>
      </w:r>
      <w:r>
        <w:rPr/>
        <w:t xml:space="preserve"> On GenCost 2023-24’s 2030 costs, the same annual spend as one SMR unit (A$0.72 bn a year) buys </w:t>
      </w:r>
      <w:r>
        <w:rPr>
          <w:b/>
          <w:bCs/>
        </w:rPr>
        <w:t>2.9×</w:t>
      </w:r>
      <w:r>
        <w:rPr/>
        <w:t xml:space="preserve"> the energy from firmed renewables (6.8 TWh a year against 2.37). For a Liddell SMR from 2040 on the slow trajectory, those renewables avoid </w:t>
      </w:r>
      <w:r>
        <w:rPr>
          <w:b/>
          <w:bCs/>
        </w:rPr>
        <w:t>10.9×</w:t>
      </w:r>
      <w:r>
        <w:rPr/>
        <w:t xml:space="preserve"> more CO₂e to 2050 (5.7× on the GenCost 2030 reading alone, with renewables at A$153). Across all Liddell cases tested the ratio is 4.9–26.0× (4.9× is the lowest, with the A$198 SMR lead and A$153 renewables), so renewables avoid more CO₂e by 2050 in every Liddell case tested. </w:t>
      </w:r>
      <w:r>
        <w:rPr>
          <w:b/>
          <w:bCs/>
        </w:rPr>
        <w:t>On Ontario’s average grid the SMR wins, on two assumptions</w:t>
      </w:r>
      <w:r>
        <w:rPr/>
        <w:t xml:space="preserve"> (the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 </w:t>
      </w:r>
      <w:r>
        <w:rPr>
          <w:rStyle w:val="VerbatimChar"/>
        </w:rPr>
        <w:t>python3 -I 03_LCA_Calculations/scripts/same_money.py</w:t>
      </w:r>
      <w:r>
        <w:rPr/>
        <w:t xml:space="preserve">, with output in </w:t>
      </w:r>
      <w:r>
        <w:rPr>
          <w:rStyle w:val="VerbatimChar"/>
        </w:rPr>
        <w:t>results/same_money.md</w:t>
      </w:r>
      <w:r>
        <w:rPr/>
        <w:t>.</w:t>
      </w:r>
    </w:p>
    <w:p>
      <w:pPr>
        <w:pStyle w:val="BodyText"/>
        <w:rPr/>
      </w:pPr>
      <w:r>
        <w:rPr>
          <w:b/>
          <w:bCs/>
        </w:rPr>
        <w:t>Basis of the tables.</w:t>
      </w:r>
      <w:r>
        <w:rPr/>
        <w:t xml:space="preserve"> The script runs on the 2030 reading: SMR A$306/MWh (range 230–382) and firmed renewables A$107/MWh (89–125), from a report of GenCost 2023-24 (Graham, Hayward and Foster, 2024, as reported) that gives A$387–641 as the SMR’s </w:t>
      </w:r>
      <w:r>
        <w:rPr>
          <w:b/>
          <w:bCs/>
        </w:rPr>
        <w:t>2023</w:t>
      </w:r>
      <w:r>
        <w:rPr/>
        <w:t xml:space="preserve"> value and A$230–382 as its </w:t>
      </w:r>
      <w:r>
        <w:rPr>
          <w:b/>
          <w:bCs/>
        </w:rPr>
        <w:t>2030</w:t>
      </w:r>
      <w:r>
        <w:rPr/>
        <w:t xml:space="preserve"> value. The A$514 (387–641) / A$102 reading is kept as the alternative, in the sensitivity rows of Table B28 only. If the GenCost table reads otherwise, change </w:t>
      </w:r>
      <w:r>
        <w:rPr>
          <w:rStyle w:val="VerbatimChar"/>
        </w:rPr>
        <w:t>smr_lcoe_aud</w:t>
      </w:r>
      <w:r>
        <w:rPr/>
        <w:t xml:space="preserve"> and </w:t>
      </w:r>
      <w:r>
        <w:rPr>
          <w:rStyle w:val="VerbatimChar"/>
        </w:rPr>
        <w:t>vre_firmed_lcoe_aud</w:t>
      </w:r>
      <w:r>
        <w:rPr/>
        <w:t xml:space="preserve"> in </w:t>
      </w:r>
      <w:r>
        <w:rPr>
          <w:rStyle w:val="VerbatimChar"/>
        </w:rPr>
        <w:t>parameters_run1.yaml</w:t>
      </w:r>
      <w:r>
        <w:rPr/>
        <w:t xml:space="preserve"> and re-run; every table here regenerates.</w:t>
      </w:r>
    </w:p>
    <w:p>
      <w:pPr>
        <w:pStyle w:val="Heading5"/>
        <w:rPr/>
      </w:pPr>
      <w:r>
        <w:rPr/>
        <w:t>B6.1 Inputs and method</w:t>
      </w:r>
    </w:p>
    <w:p>
      <w:pPr>
        <w:pStyle w:val="FirstParagraph"/>
        <w:rPr/>
      </w:pPr>
      <w:r>
        <w:rPr>
          <w:i/>
          <w:iCs/>
        </w:rPr>
        <w:t>Table B24. Cost inputs and the two GenCost readings.</w:t>
      </w:r>
      <w:r>
        <w:rPr/>
        <w:t xml:space="preserve"> </w:t>
      </w:r>
      <w:r>
        <w:rPr>
          <w:i/>
          <w:iCs/>
        </w:rPr>
        <w:t xml:space="preserve">Source: </w:t>
      </w:r>
      <w:r>
        <w:rPr>
          <w:rStyle w:val="VerbatimChar"/>
          <w:i/>
          <w:iCs/>
        </w:rPr>
        <w:t>parameters_run1.yaml</w:t>
      </w:r>
      <w:r>
        <w:rPr>
          <w:i/>
          <w:iCs/>
        </w:rPr>
        <w:t xml:space="preserve">; </w:t>
      </w:r>
      <w:r>
        <w:rPr>
          <w:rStyle w:val="VerbatimChar"/>
          <w:i/>
          <w:iCs/>
        </w:rPr>
        <w:t>results/lcoe.md</w:t>
      </w:r>
      <w:r>
        <w:rPr>
          <w:i/>
          <w:iCs/>
        </w:rPr>
        <w:t xml:space="preserve"> section 5; references as named.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(used in Section 3.3)</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Alternative reading (sensitivity only)</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A$306/MWh (230–382), 2030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A$514 (387–641), the 2023 value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Graham, Hayward and Foster (2024), as reported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LCOE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A$107/MWh (89–125), solar and wind with integration costs, 2030; 153 = high case, assumption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A$102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Graham, Hayward and Foster (2024)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SMR lead (sensitivity)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A$198/MWh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Kim and Macfarlane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budget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C$20.9 bn for four units; Unit 1 plus common infrastructure C$7.7 bn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Ontario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Exchange rate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A$1.119 per C$1 (1.10–1.13)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Reserve Bank of Australia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Discount rate; annuity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real (3–10%); 30 years (30–60)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year of renewables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2028 (2027–2030)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life cycle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g/kWh (8–83)</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(range: UNECE PV, United Nations Economic Commission for Europe, 2021)</w:t>
            </w:r>
          </w:p>
        </w:tc>
      </w:tr>
    </w:tbl>
    <w:p>
      <w:pPr>
        <w:pStyle w:val="BodyText"/>
        <w:rPr/>
      </w:pPr>
      <w:r>
        <w:rPr>
          <w:b/>
          <w:bCs/>
        </w:rPr>
        <w:t>Method A: what the Darlington capital would buy.</w:t>
      </w:r>
      <w:r>
        <w:rPr/>
        <w:t xml:space="preserve"> 1. Capital recovery factor: CRF(r, n) = r(1 + r)ⁿ / ((1 + r)ⁿ − 1). CRF(7%, 30) = 0.07 × 7.612 / 6.612 = 0.0806. 2. Annual capital charge = budget (A$) × CRF. 3. Capital-only LCOE = charge / annual output. 4. Firmed renewables bought with that charge = charge / renewables LCOE.</w:t>
      </w:r>
    </w:p>
    <w:p>
      <w:pPr>
        <w:pStyle w:val="BodyText"/>
        <w:rPr/>
      </w:pPr>
      <w:r>
        <w:rPr/>
        <w:t xml:space="preserve">Worked example (one unit, simple share): 1. Budget: C$5.225 bn × 1.119 = A$5.85 bn. 2. Annual charge: 5.85 bn × 0.0806 = A$471 m a year. 3. Capital-only LCOE: 471 m / 2,365,200 MWh = </w:t>
      </w:r>
      <w:r>
        <w:rPr>
          <w:b/>
          <w:bCs/>
        </w:rPr>
        <w:t>A$199/MWh</w:t>
      </w:r>
      <w:r>
        <w:rPr/>
        <w:t xml:space="preserve">. 4. Renewables bought: 471 m / A$107 = 4.40 TWh, which is </w:t>
      </w:r>
      <w:r>
        <w:rPr>
          <w:b/>
          <w:bCs/>
        </w:rPr>
        <w:t>1.9×</w:t>
      </w:r>
      <w:r>
        <w:rPr/>
        <w:t xml:space="preserve"> the SMR’s 2.37 TWh.</w:t>
      </w:r>
    </w:p>
    <w:p>
      <w:pPr>
        <w:pStyle w:val="BodyText"/>
        <w:rPr/>
      </w:pPr>
      <w:r>
        <w:rPr/>
        <w:t>The result is a lower bound on the renewables’ advantage, because it ignores the SMR’s operating and fuel costs.</w:t>
      </w:r>
    </w:p>
    <w:p>
      <w:pPr>
        <w:pStyle w:val="BodyText"/>
        <w:rPr/>
      </w:pPr>
      <w:r>
        <w:rPr>
          <w:b/>
          <w:bCs/>
        </w:rPr>
        <w:t>Method B: LCOE ratio and CO₂e per dollar.</w:t>
      </w:r>
      <w:r>
        <w:rPr/>
        <w:t xml:space="preserve"> 1. Energy ratio = SMR LCOE / renewables LCOE: 306 / 107 = </w:t>
      </w:r>
      <w:r>
        <w:rPr>
          <w:b/>
          <w:bCs/>
        </w:rPr>
        <w:t>2.9×</w:t>
      </w:r>
      <w:r>
        <w:rPr/>
        <w:t>. 2. CO₂e per A$1 m = (10⁶ / LCOE) MWh × (EF_grid − EF_technology) kg/MWh / 1,000. Example (SMR, NSW 640 g/kWh, A$306): 3,268 MWh × 635.8 / 1,000 = 2,078 t. 3. Cumulative comparison: the annual spend = SMR output × SMR LCOE, and the renewables bought with it = spend / renewables LCOE, from 2028. Each technology’s avoided CO₂e is summed on the same trajectory (B4.1), net of its own life-cycle intensity (4.2 or 30 g/kWh).</w:t>
      </w:r>
    </w:p>
    <w:p>
      <w:pPr>
        <w:pStyle w:val="Heading5"/>
        <w:rPr/>
      </w:pPr>
      <w:r>
        <w:rPr/>
        <w:t>B6.2 Results</w:t>
      </w:r>
    </w:p>
    <w:p>
      <w:pPr>
        <w:pStyle w:val="FirstParagraph"/>
        <w:rPr/>
      </w:pPr>
      <w:r>
        <w:rPr>
          <w:i/>
          <w:iCs/>
        </w:rPr>
        <w:t>Table B25. Method A: what Darlington’s capital would buy (7%, 30-year annuity).</w:t>
      </w:r>
      <w:r>
        <w:rPr/>
        <w:t xml:space="preserve"> </w:t>
      </w:r>
      <w:r>
        <w:rPr>
          <w:i/>
          <w:iCs/>
        </w:rPr>
        <w:t xml:space="preserve">Source: </w:t>
      </w:r>
      <w:r>
        <w:rPr>
          <w:rStyle w:val="VerbatimChar"/>
          <w:i/>
          <w:iCs/>
        </w:rPr>
        <w:t>results/same_money.md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Budget case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Annual capital charge (A$ m)</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capital-only LCOE (A$/MWh)</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output (TWh a year)</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 bought (TWh a year)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energy</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Four units, C$20.9 bn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1,885</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9.46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unit, simple share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plus common infrastructure, C$7.7 bn</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694</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294</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6.49</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r>
    </w:tbl>
    <w:p>
      <w:pPr>
        <w:pStyle w:val="BodyText"/>
        <w:rPr/>
      </w:pPr>
      <w:r>
        <w:rPr/>
        <w:t>Capital-only LCOE for one unit across discount rates (30-year / 60-year annuity): 3%, A$126 / 89; 7%, A$199 / 176; 10%, A$262 / 248 per MWh (</w:t>
      </w:r>
      <w:r>
        <w:rPr>
          <w:rStyle w:val="VerbatimChar"/>
        </w:rPr>
        <w:t>results/same_money.md</w:t>
      </w:r>
      <w:r>
        <w:rPr/>
        <w:t xml:space="preserve"> section 2).</w:t>
      </w:r>
    </w:p>
    <w:p>
      <w:pPr>
        <w:pStyle w:val="BodyText"/>
        <w:rPr/>
      </w:pPr>
      <w:r>
        <w:rPr>
          <w:i/>
          <w:iCs/>
        </w:rPr>
        <w:t>Table B26. Method B (SMR A$306, renewables A$107 per MWh): CO₂e avoided per dollar, Liddell/NEM.</w:t>
      </w:r>
      <w:r>
        <w:rPr/>
        <w:t xml:space="preserve"> </w:t>
      </w:r>
      <w:r>
        <w:rPr>
          <w:i/>
          <w:iCs/>
        </w:rPr>
        <w:t xml:space="preserve">Source: </w:t>
      </w:r>
      <w:r>
        <w:rPr>
          <w:rStyle w:val="VerbatimChar"/>
          <w:i/>
          <w:iCs/>
        </w:rPr>
        <w:t>results/same_money.md</w:t>
      </w:r>
      <w:r>
        <w:rPr>
          <w:i/>
          <w:iCs/>
        </w:rPr>
        <w:t xml:space="preserve"> section 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Displaced grid intensity (g/kWh)</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 CO₂e per A$1 m</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 CO₂e per A$1 m</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A$/t (gross)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A$/t (gross)</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2025 average</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2,078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175</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in 2040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1,134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w:t>
            </w:r>
          </w:p>
        </w:tc>
      </w:tr>
      <w:tr>
        <w:trPr/>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Post-coal mix + 50 (illustrative)</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248</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467</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4,037</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2,140</w:t>
            </w:r>
          </w:p>
        </w:tc>
      </w:tr>
    </w:tbl>
    <w:p>
      <w:pPr>
        <w:pStyle w:val="BodyText"/>
        <w:rPr/>
      </w:pPr>
      <w:r>
        <w:rPr>
          <w:i/>
          <w:iCs/>
        </w:rPr>
        <w:t>Table B27. Cumulative CO₂e avoided for the same annual spend as one SMR unit (A$0.72 bn a year buys 6.8 TWh a year of firmed renewables from 2028, against the SMR’s 2.37 TWh).</w:t>
      </w:r>
      <w:r>
        <w:rPr/>
        <w:t xml:space="preserve"> </w:t>
      </w:r>
      <w:r>
        <w:rPr>
          <w:i/>
          <w:iCs/>
        </w:rPr>
        <w:t xml:space="preserve">Source: </w:t>
      </w:r>
      <w:r>
        <w:rPr>
          <w:rStyle w:val="VerbatimChar"/>
          <w:i/>
          <w:iCs/>
        </w:rPr>
        <w:t>results/same_money.md</w:t>
      </w:r>
      <w:r>
        <w:rPr>
          <w:i/>
          <w:iCs/>
        </w:rPr>
        <w:t xml:space="preserve"> section 4. The alternative reading (A$514 / A$102; A$1.22 bn buys 11.9 TWh) gives Liddell ratios of 10.1×, 45.8×, 19.1× and 9.3× for the first four rows (</w:t>
      </w:r>
      <w:r>
        <w:rPr>
          <w:rStyle w:val="VerbatimChar"/>
          <w:i/>
          <w:iCs/>
        </w:rPr>
        <w:t>same_money.md</w:t>
      </w:r>
      <w:r>
        <w:rPr>
          <w:i/>
          <w:iCs/>
        </w:rPr>
        <w:t xml:space="preserve"> section 4; the NEM-T2 slow rows are in Table B28).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start</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to 2035</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to 2050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to 2035</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to 2050</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to 2050</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94.90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0.67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17.46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24.43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10.9×</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24.43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(indicative, GenCost costs)</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0.88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0.39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0.4×</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(indicative, GenCost costs)</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11.82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19.26 Mt</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bl>
    <w:p>
      <w:pPr>
        <w:pStyle w:val="BodyText"/>
        <w:rPr/>
      </w:pPr>
      <w:r>
        <w:rPr/>
        <w:t>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rPr/>
      </w:pPr>
      <w:r>
        <w:rPr>
          <w:i/>
          <w:iCs/>
        </w:rPr>
        <w:t>Table B28. Sensitivity of the same-money result (Liddell, NEM-T2 slow, SMR from 2040). Figure F7 data.</w:t>
      </w:r>
      <w:r>
        <w:rPr/>
        <w:t xml:space="preserve"> </w:t>
      </w:r>
      <w:r>
        <w:rPr>
          <w:i/>
          <w:iCs/>
        </w:rPr>
        <w:t xml:space="preserve">Source: </w:t>
      </w:r>
      <w:r>
        <w:rPr>
          <w:rStyle w:val="VerbatimChar"/>
          <w:i/>
          <w:iCs/>
        </w:rPr>
        <w:t>results/same_money.md</w:t>
      </w:r>
      <w:r>
        <w:rPr>
          <w:i/>
          <w:iCs/>
        </w:rPr>
        <w:t xml:space="preserve"> section 5. Bold row is the central case Section 3.3 uses; the last six rows are the alternative reading (SMR A$514).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 (SMR / renewables LCOE, A$/MWh)</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Energy ratio</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CO₂e to 2050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Central: GenCost 2023-24, 2030 midpoints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 2030 low (230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 2030 high (382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LCOE 2030 low (306 / 89)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LCOE 2030 high (306 / 125)</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high, assumption (306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Worst case for renewables on the 2030 reading (230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SMR lead (198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Lowest SMR lead, worst case tested (198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starts 2035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start 2030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life cycle 83 g/kWh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5.8 g/kWh, our 95th percentile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central (514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low (387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high (641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renewables low (514 / 91)</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renewables high, assumption (514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12.8×</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starts 2035</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w:t>
            </w:r>
          </w:p>
        </w:tc>
      </w:tr>
    </w:tbl>
    <w:p>
      <w:pPr>
        <w:pStyle w:val="Heading5"/>
        <w:rPr/>
      </w:pPr>
      <w:r>
        <w:rPr/>
        <w:t>B6.3 Capital cost alone, and the check against our own LCOE and OPG’s figure</w:t>
      </w:r>
    </w:p>
    <w:p>
      <w:pPr>
        <w:pStyle w:val="FirstParagraph"/>
        <w:rPr/>
      </w:pPr>
      <w:r>
        <w:rPr>
          <w:b/>
          <w:bCs/>
        </w:rPr>
        <w:t>Capital cost alone (moved from Section 3.3.3).</w:t>
      </w:r>
      <w:r>
        <w:rPr/>
        <w:t xml:space="preserve"> 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rPr/>
      </w:pPr>
      <w:r>
        <w:rPr/>
        <w:t>Our Darlington LCOE (</w:t>
      </w:r>
      <w:r>
        <w:rPr>
          <w:rStyle w:val="VerbatimChar"/>
        </w:rPr>
        <w:t>results/lcoe.md</w:t>
      </w:r>
      <w:r>
        <w:rPr/>
        <w:t xml:space="preserve">; case B, 60 years, vendor operating costs, CF 0.90) is C$112/151/198/280 per MWh at 3/5/7/10% real (A$125/169/221/313). - </w:t>
      </w:r>
      <w:r>
        <w:rPr>
          <w:b/>
          <w:bCs/>
        </w:rPr>
        <w:t>Against GenCost:</w:t>
      </w:r>
      <w:r>
        <w:rPr/>
        <w:t xml:space="preserve"> 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 </w:t>
      </w:r>
      <w:r>
        <w:rPr>
          <w:rStyle w:val="VerbatimChar"/>
        </w:rPr>
        <w:t>results/lcoe.md</w:t>
      </w:r>
      <w:r>
        <w:rPr/>
        <w:t xml:space="preserve"> section 5), so A$221 is below the GenCost ranges we found. GenCost 2025-26 still ranks SMRs as the highest-cost option (Graham and Hayward, 2026), and its SMR range was not retrieved. - </w:t>
      </w:r>
      <w:r>
        <w:rPr>
          <w:b/>
          <w:bCs/>
        </w:rPr>
        <w:t>Against OPG:</w:t>
      </w:r>
      <w:r>
        <w:rPr/>
        <w:t xml:space="preserve"> OPG’s reported four-unit average of C$149/MWh (Ontario Power Generation, 2026b) is reproduced at a real discount rate of 4.9%. That rate is consistent with a ratepayer-backed Crown utility, not with merchant finance. - </w:t>
      </w:r>
      <w:r>
        <w:rPr>
          <w:b/>
          <w:bCs/>
        </w:rPr>
        <w:t>Cost ratio:</w:t>
      </w:r>
      <w:r>
        <w:rPr/>
        <w:t xml:space="preserve"> on our 7% value against GenCost 2024-25’s firmed-renewables lead, the SMR/renewables cost ratio is 221 / 101 = 2.2× (</w:t>
      </w:r>
      <w:r>
        <w:rPr>
          <w:rStyle w:val="VerbatimChar"/>
        </w:rPr>
        <w:t>results/lcoe.md</w:t>
      </w:r>
      <w:r>
        <w:rPr/>
        <w:t xml:space="preserve"> section 5). On GenCost 2023-24’s 2030 values it is about 2.9× (1.8–4.3×), or 5.0× on the alternative reading. - </w:t>
      </w:r>
      <w:r>
        <w:rPr>
          <w:b/>
          <w:bCs/>
        </w:rPr>
        <w:t>Overrun:</w:t>
      </w:r>
      <w:r>
        <w:rPr/>
        <w:t xml:space="preserve"> a NuScale-sized capital overrun (×1.75) at 7% gives C$317/MWh (Section 3.5.1), the largest single input, ahead of the discount rate. - </w:t>
      </w:r>
      <w:r>
        <w:rPr>
          <w:b/>
          <w:bCs/>
        </w:rPr>
        <w:t>Market value against revenue (NuScale, 2025):</w:t>
      </w:r>
      <w:r>
        <w:rPr/>
        <w:t xml:space="preserve"> US$5.3 bn public float against US$31.5 m revenue, 168× (NuScale Power Corporation, 2026). Equity prices future orders; it does not finance first plants. - </w:t>
      </w:r>
      <w:r>
        <w:rPr>
          <w:b/>
          <w:bCs/>
        </w:rPr>
        <w:t>Full working:</w:t>
      </w:r>
      <w:r>
        <w:rPr/>
        <w:t xml:space="preserve"> in </w:t>
      </w:r>
      <w:r>
        <w:rPr>
          <w:rStyle w:val="VerbatimChar"/>
        </w:rPr>
        <w:t>results/lcoe.md</w:t>
      </w:r>
      <w:r>
        <w:rPr/>
        <w:t>.</w:t>
      </w:r>
    </w:p>
    <w:p>
      <w:pPr>
        <w:pStyle w:val="Heading5"/>
        <w:rPr/>
      </w:pPr>
      <w:r>
        <w:rPr/>
        <w:t>B6.4 Limitations</w:t>
      </w:r>
    </w:p>
    <w:p>
      <w:pPr>
        <w:pStyle w:val="Compact"/>
        <w:numPr>
          <w:ilvl w:val="0"/>
          <w:numId w:val="62"/>
        </w:numPr>
        <w:rPr/>
      </w:pPr>
      <w:r>
        <w:rPr/>
        <w:t>Adding several TWh a year of firmed renewables would itself change the NEM trajectory, so the comparison holds only at the margin of the stated trajectory.</w:t>
      </w:r>
    </w:p>
    <w:p>
      <w:pPr>
        <w:pStyle w:val="Compact"/>
        <w:numPr>
          <w:ilvl w:val="0"/>
          <w:numId w:val="63"/>
        </w:numPr>
        <w:rPr/>
      </w:pPr>
      <w:r>
        <w:rPr/>
        <w:t>The LCOE of firmed renewables rises with their share, and GenCost’s integration costs cover this only up to the shares it models.</w:t>
      </w:r>
    </w:p>
    <w:p>
      <w:pPr>
        <w:pStyle w:val="Compact"/>
        <w:numPr>
          <w:ilvl w:val="0"/>
          <w:numId w:val="64"/>
        </w:numPr>
        <w:rPr/>
      </w:pPr>
      <w:r>
        <w:rPr/>
        <w:t>Darlington’s budget is in nominal Canadian dollars (2025 announcement), while GenCost is in real Australian dollars. Method A is therefore an order-of-magnitude cross-check, not a precise conversion.</w:t>
      </w:r>
    </w:p>
    <w:p>
      <w:pPr>
        <w:pStyle w:val="Compact"/>
        <w:numPr>
          <w:ilvl w:val="0"/>
          <w:numId w:val="65"/>
        </w:numPr>
        <w:rPr/>
      </w:pPr>
      <w:r>
        <w:rPr/>
        <w:t>Renewable assets last about 25–30 years (GenCost). No replacement falls before 2050, but a whole-life comparison would need one.</w:t>
      </w:r>
    </w:p>
    <w:p>
      <w:pPr>
        <w:pStyle w:val="Compact"/>
        <w:numPr>
          <w:ilvl w:val="0"/>
          <w:numId w:val="66"/>
        </w:numPr>
        <w:rPr/>
      </w:pPr>
      <w:r>
        <w:rPr/>
        <w:t>The Ontario rows use Australian costs and are indicative only. Ontario-specific costs were a stretch item in the plan and were not done.</w:t>
      </w:r>
    </w:p>
    <w:p>
      <w:pPr>
        <w:pStyle w:val="normal1"/>
        <w:rPr/>
      </w:pPr>
      <w:r>
        <w:rPr/>
        <mc:AlternateContent>
          <mc:Choice Requires="wps">
            <w:drawing>
              <wp:inline distT="0" distB="0" distL="0" distR="0">
                <wp:extent cx="573151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B7. Multi-criteria analysis (MCDA): status quo, SMR, SMR + C1 and firmed renewables</w:t>
      </w:r>
    </w:p>
    <w:p>
      <w:pPr>
        <w:pStyle w:val="FirstParagraph"/>
        <w:rPr/>
      </w:pPr>
      <w:r>
        <w:rPr>
          <w:b/>
          <w:bCs/>
        </w:rPr>
        <w:t>Result.</w:t>
      </w:r>
      <w:r>
        <w:rPr/>
        <w:t xml:space="preserve"> Firmed renewables for the same money score highest under all four weight sets (80.1, 85.9, 63.7 and 89.3 of 100). The status quo is second, and SMR and SMR + C1 tie for third (29.7, 24.0, 43.6 and 20.4). C1 moves the SMR’s score by under 0.005 point. </w:t>
      </w:r>
      <w:r>
        <w:rPr>
          <w:b/>
          <w:bCs/>
        </w:rPr>
        <w:t>The ranking is a structured comparison, not a measurement:</w:t>
      </w:r>
      <w:r>
        <w:rPr/>
        <w:t xml:space="preserve"> the social, legal and renewables-supply scores and the weights are our judgement. The main-text summary is Section 3.7 (the Section 3.7 tables). Source: </w:t>
      </w:r>
      <w:r>
        <w:rPr>
          <w:rStyle w:val="VerbatimChar"/>
        </w:rPr>
        <w:t>scripts/mcda.py</w:t>
      </w:r>
      <w:r>
        <w:rPr/>
        <w:t xml:space="preserve"> (C1 case </w:t>
      </w:r>
      <w:r>
        <w:rPr>
          <w:rStyle w:val="VerbatimChar"/>
        </w:rPr>
        <w:t>new_2200</w:t>
      </w:r>
      <w:r>
        <w:rPr/>
        <w:t xml:space="preserve">), </w:t>
      </w:r>
      <w:r>
        <w:rPr>
          <w:rStyle w:val="VerbatimChar"/>
        </w:rPr>
        <w:t>results/mcda.md</w:t>
      </w:r>
      <w:r>
        <w:rPr/>
        <w:t xml:space="preserve"> and </w:t>
      </w:r>
      <w:r>
        <w:rPr>
          <w:rStyle w:val="VerbatimChar"/>
        </w:rPr>
        <w:t>results/mcda_scores.csv</w:t>
      </w:r>
      <w:r>
        <w:rPr/>
        <w:t>, which holds every raw score, normalised score, weight set and perturbation (593 rows).</w:t>
      </w:r>
    </w:p>
    <w:p>
      <w:pPr>
        <w:pStyle w:val="Heading5"/>
        <w:rPr/>
      </w:pPr>
      <w:r>
        <w:rPr/>
        <w:t>B7.1 Options, criteria and inputs</w:t>
      </w:r>
    </w:p>
    <w:p>
      <w:pPr>
        <w:pStyle w:val="FirstParagraph"/>
        <w:rPr/>
      </w:pPr>
      <w:r>
        <w:rPr/>
        <w:t>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rPr/>
      </w:pPr>
      <w:r>
        <w:rPr>
          <w:i/>
          <w:iCs/>
        </w:rPr>
        <w:t>Table B29. Performance matrix (raw values) and the source of each score.</w:t>
      </w:r>
      <w:r>
        <w:rPr/>
        <w:t xml:space="preserve"> </w:t>
      </w:r>
      <w:r>
        <w:rPr>
          <w:i/>
          <w:iCs/>
        </w:rPr>
        <w:t xml:space="preserve">Source: </w:t>
      </w:r>
      <w:r>
        <w:rPr>
          <w:rStyle w:val="VerbatimChar"/>
          <w:i/>
          <w:iCs/>
        </w:rPr>
        <w:t>results/mcda.md</w:t>
      </w:r>
      <w:r>
        <w:rPr>
          <w:i/>
          <w:iCs/>
        </w:rPr>
        <w:t xml:space="preserve"> section 2. SMR + C1 shown for the 2,200 t case.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Criterion</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 (status)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CO₂e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4.1845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team LCA median (Section 3.2). Renewables: 30 g/kWh assumption inside UNECE’s PV range of 8–83. Status quo: NSW grid factor 2025 (NGA Factors)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CO₂e avoided to 2050 (Mt per A$1 bn/yr)</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B6 frame (</w:t>
            </w:r>
            <w:r>
              <w:rPr>
                <w:rStyle w:val="VerbatimChar"/>
                <w:rFonts w:eastAsia="Aptos" w:cs="Aptos"/>
                <w:kern w:val="0"/>
                <w:lang w:val="en-US"/>
              </w:rPr>
              <w:t>same_money.py</w:t>
            </w:r>
            <w:r>
              <w:rPr>
                <w:rFonts w:eastAsia="Aptos" w:cs="Aptos"/>
                <w:kern w:val="0"/>
                <w:lang w:val="en-US"/>
              </w:rPr>
              <w:t>); GenCost 2030 LCOEs; NEM trajectory T2, slow (assumption)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Cost, LCOE (A$/MWh)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306.04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midpoints: SMR 230–382, firmed renewables 89–125. C1 adds A$0.038/MWh (assumptions)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full year of new supply</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2050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CSIRO’s 2040 for nuclear (Graham, Hayward and Foster, 2024). Renewables: 2028 (assumption). Status quo: no new supply by 2050 (convention)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Supply concentration (HHI)</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enrichment, B2. Renewables: lower bound from China’s share, above 80% of every PV stage (International Energy Agency, 2022). Status quo: convention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 (Table B39 total, 5–15)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3.4.2 and Table B39 (our judgement)</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feasibility (Table B13 total, 4–12)</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B3, best SMR route under equal weights (route C, 8); route A scores 6, which leaves this input unchanged (our judgement)</w:t>
            </w:r>
          </w:p>
        </w:tc>
      </w:tr>
    </w:tbl>
    <w:p>
      <w:pPr>
        <w:pStyle w:val="BodyText"/>
        <w:rPr/>
      </w:pPr>
      <w:r>
        <w:rPr>
          <w:b/>
          <w:bCs/>
        </w:rPr>
        <w:t>Conventions for the status quo (a do-nothing reference).</w:t>
      </w:r>
      <w:r>
        <w:rPr/>
        <w:t xml:space="preserve"> It takes the NSW grid factor as its “life cycle” (a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rPr/>
      </w:pPr>
      <w:r>
        <w:rPr>
          <w:b/>
          <w:bCs/>
        </w:rPr>
        <w:t>Not scored.</w:t>
      </w:r>
      <w:r>
        <w:rPr/>
        <w:t xml:space="preserve"> Technology readiness level (TRL) is not scored. Schedule risk enters through the first-power year (tested at 2035 and 2045) and the C1 delay case.</w:t>
      </w:r>
    </w:p>
    <w:p>
      <w:pPr>
        <w:pStyle w:val="Heading5"/>
        <w:rPr/>
      </w:pPr>
      <w:r>
        <w:rPr/>
        <w:t>B7.2 Method</w:t>
      </w:r>
    </w:p>
    <w:p>
      <w:pPr>
        <w:pStyle w:val="Compact"/>
        <w:numPr>
          <w:ilvl w:val="0"/>
          <w:numId w:val="67"/>
        </w:numPr>
        <w:rPr/>
      </w:pPr>
      <w:r>
        <w:rPr>
          <w:b/>
          <w:bCs/>
        </w:rPr>
        <w:t>Model.</w:t>
      </w:r>
      <w:r>
        <w:rPr/>
        <w:t xml:space="preserve"> Linear additive (weighted-sum) MCDA, the standard compensatory model in the UK government manual (Dodgson et al., 2009).</w:t>
      </w:r>
    </w:p>
    <w:p>
      <w:pPr>
        <w:pStyle w:val="Compact"/>
        <w:numPr>
          <w:ilvl w:val="0"/>
          <w:numId w:val="68"/>
        </w:numPr>
        <w:rPr/>
      </w:pPr>
      <w:r>
        <w:rPr>
          <w:b/>
          <w:bCs/>
        </w:rPr>
        <w:t>Normalisation.</w:t>
      </w:r>
      <w:r>
        <w:rPr/>
        <w:t xml:space="preserve"> Each criterion is min–max normalised across the four options: s = (x − worst) / (best − worst), so the best option scores 1 and the worst 0.</w:t>
      </w:r>
    </w:p>
    <w:p>
      <w:pPr>
        <w:pStyle w:val="Compact"/>
        <w:numPr>
          <w:ilvl w:val="0"/>
          <w:numId w:val="69"/>
        </w:numPr>
        <w:rPr/>
      </w:pPr>
      <w:r>
        <w:rPr>
          <w:b/>
          <w:bCs/>
        </w:rPr>
        <w:t>Total.</w:t>
      </w:r>
      <w:r>
        <w:rPr/>
        <w:t xml:space="preserve"> T = 100 × Σ w_c s_c, with weights renormalised to sum to 1.</w:t>
      </w:r>
    </w:p>
    <w:p>
      <w:pPr>
        <w:pStyle w:val="Compact"/>
        <w:numPr>
          <w:ilvl w:val="0"/>
          <w:numId w:val="70"/>
        </w:numPr>
        <w:rPr/>
      </w:pPr>
      <w:r>
        <w:rPr>
          <w:b/>
          <w:bCs/>
        </w:rPr>
        <w:t>CO₂e avoided per dollar.</w:t>
      </w:r>
      <w:r>
        <w:rPr/>
        <w:t xml:space="preserve"> 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pStyle w:val="Compact"/>
        <w:numPr>
          <w:ilvl w:val="0"/>
          <w:numId w:val="71"/>
        </w:numPr>
        <w:rPr/>
      </w:pPr>
      <w:r>
        <w:rPr>
          <w:b/>
          <w:bCs/>
        </w:rPr>
        <w:t>C1 in the model.</w:t>
      </w:r>
      <w:r>
        <w:rPr/>
        <w:t xml:space="preserve"> Life-cycle reduction = saving / lifetime output. For 2,200 t: 2,200 × 10⁶ g / (2,365,200 MWh × 1,000 × 60 years = 1.419 × 10¹¹ kWh) = </w:t>
      </w:r>
      <w:r>
        <w:rPr>
          <w:b/>
          <w:bCs/>
        </w:rPr>
        <w:t>0.0155 g/kWh</w:t>
      </w:r>
      <w:r>
        <w:rPr/>
        <w:t xml:space="preserve"> (0.37% of 4.2). For the earlier 1,734 t it is 0.0122 g/kWh (0.29%). C1’s cost is a premium (base 0%) × C$229/m³ × 20,000 m³ plus qualification (base C$1.0 m), × 1.119 AUD/CAD, annualised at a capital recovery factor of 0.0806 (7%, 30 years) over 2,365,200 MWh: </w:t>
      </w:r>
      <w:r>
        <w:rPr>
          <w:b/>
          <w:bCs/>
        </w:rPr>
        <w:t>+A$0.038/MWh</w:t>
      </w:r>
      <w:r>
        <w:rPr/>
        <w:t>. The base case is schedule-neutral (the Section 3.6.2 condition).</w:t>
      </w:r>
    </w:p>
    <w:p>
      <w:pPr>
        <w:pStyle w:val="FirstParagraph"/>
        <w:rPr/>
      </w:pPr>
      <w:r>
        <w:rPr>
          <w:b/>
          <w:bCs/>
        </w:rPr>
        <w:t>Worked example (equal weights, SMR).</w:t>
      </w:r>
      <w:r>
        <w:rPr/>
        <w:t xml:space="preserve"> Life cycle: (640 − 4.2) / (640 − 4.1845) = 0.99998. Avoided per dollar: 5.31 / 57.69 = 0.0921. Cost: (306.04 − 306.00) / 306.04 = 0.0001. Time: (2050 − 2040) / (2050 − 2028) = 0.4545. Supply: (6,400 − 3,009) / 6,400 = 0.5298. Social: (11 − 11) / (14 − 11) = 0. Legal: (8 − 8) / (12 − 8) = 0. The sum is 2.0766, and T = 100 × 2.0766 / 7 = </w:t>
      </w:r>
      <w:r>
        <w:rPr>
          <w:b/>
          <w:bCs/>
        </w:rPr>
        <w:t>29.7</w:t>
      </w:r>
      <w:r>
        <w:rPr/>
        <w:t>.</w:t>
      </w:r>
    </w:p>
    <w:p>
      <w:pPr>
        <w:pStyle w:val="BodyText"/>
        <w:rPr/>
      </w:pPr>
      <w:r>
        <w:rPr>
          <w:i/>
          <w:iCs/>
        </w:rPr>
        <w:t>Table B30. Normalised scores (1 = best of the four options).</w:t>
      </w:r>
      <w:r>
        <w:rPr/>
        <w:t xml:space="preserve"> </w:t>
      </w:r>
      <w:r>
        <w:rPr>
          <w:i/>
          <w:iCs/>
        </w:rPr>
        <w:t xml:space="preserve">Source: </w:t>
      </w:r>
      <w:r>
        <w:rPr>
          <w:rStyle w:val="VerbatimChar"/>
          <w:i/>
          <w:iCs/>
        </w:rPr>
        <w:t>results/mcda.md</w:t>
      </w:r>
      <w:r>
        <w:rPr>
          <w:i/>
          <w:iCs/>
        </w:rPr>
        <w:t xml:space="preserve"> section 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Criterion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0.9594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Avoided per dollar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0.0921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0.0921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0.6504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Time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0.4545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0.4545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Supply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0.5298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0.5298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0.6667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feasibility</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bl>
    <w:p>
      <w:pPr>
        <w:pStyle w:val="Heading5"/>
        <w:rPr/>
      </w:pPr>
      <w:r>
        <w:rPr/>
        <w:t>B7.3 Weights and results</w:t>
      </w:r>
    </w:p>
    <w:p>
      <w:pPr>
        <w:pStyle w:val="FirstParagraph"/>
        <w:rPr/>
      </w:pPr>
      <w:r>
        <w:rPr/>
        <w:t>The weights are our reading of each group’s stated priorities (</w:t>
      </w:r>
      <w:r>
        <w:rPr>
          <w:rStyle w:val="VerbatimChar"/>
        </w:rPr>
        <w:t>parameters_run9.yaml</w:t>
      </w:r>
      <w:r>
        <w:rPr/>
        <w:t>), not elicited from them.</w:t>
      </w:r>
    </w:p>
    <w:p>
      <w:pPr>
        <w:pStyle w:val="BodyText"/>
        <w:rPr/>
      </w:pPr>
      <w:r>
        <w:rPr>
          <w:i/>
          <w:iCs/>
        </w:rPr>
        <w:t>Table B31. Weight sets and total scores (0–100).</w:t>
      </w:r>
      <w:r>
        <w:rPr/>
        <w:t xml:space="preserve"> </w:t>
      </w:r>
      <w:r>
        <w:rPr>
          <w:i/>
          <w:iCs/>
        </w:rPr>
        <w:t xml:space="preserve">Source: </w:t>
      </w:r>
      <w:r>
        <w:rPr>
          <w:rStyle w:val="VerbatimChar"/>
          <w:i/>
          <w:iCs/>
        </w:rPr>
        <w:t>results/mcda.md</w:t>
      </w:r>
      <w:r>
        <w:rPr>
          <w:i/>
          <w:iCs/>
        </w:rPr>
        <w:t xml:space="preserve"> section 4. Rationale sources: Bowen’s statements; the Liberal Party 2026 energy plan; Section 3.4.2.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879"/>
        <w:gridCol w:w="880"/>
        <w:gridCol w:w="880"/>
        <w:gridCol w:w="880"/>
        <w:gridCol w:w="881"/>
        <w:gridCol w:w="880"/>
        <w:gridCol w:w="880"/>
        <w:gridCol w:w="880"/>
        <w:gridCol w:w="879"/>
      </w:tblGrid>
      <w:tr>
        <w:trPr>
          <w:tblHeader w:val="true"/>
        </w:trPr>
        <w:tc>
          <w:tcPr>
            <w:tcW w:w="8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Life cycle</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per $</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Cost</w:t>
            </w:r>
          </w:p>
        </w:tc>
        <w:tc>
          <w:tcPr>
            <w:tcW w:w="88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Time</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Supply</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Legal</w:t>
            </w:r>
          </w:p>
        </w:tc>
        <w:tc>
          <w:tcPr>
            <w:tcW w:w="8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Rationale</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view privileged</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Government and AEMO lens: cost and speed of decarbonisation</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 and advocate lens: zero-emission firm supply and security. The most SMR-favourable set we could justify, as a stress test</w:t>
            </w:r>
          </w:p>
        </w:tc>
      </w:tr>
      <w:tr>
        <w:trPr/>
        <w:tc>
          <w:tcPr>
            <w:tcW w:w="8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Hunter community, Traditional Owners and unions: consent, legal certainty, early jobs</w:t>
            </w:r>
          </w:p>
        </w:tc>
      </w:tr>
    </w:tbl>
    <w:p>
      <w:pPr>
        <w:pStyle w:val="normal1"/>
        <w:rPr/>
      </w:pPr>
      <w:r>
        <w:rPr/>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Ranking</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&gt; status quo &gt; SMR ≈ SMR + C1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bl>
    <w:p>
      <w:pPr>
        <w:pStyle w:val="Heading5"/>
        <w:rPr/>
      </w:pPr>
      <w:r>
        <w:rPr/>
        <w:t>B7.4 Rank reversal and input sensitivity</w:t>
      </w:r>
    </w:p>
    <w:p>
      <w:pPr>
        <w:pStyle w:val="FirstParagraph"/>
        <w:rPr/>
      </w:pPr>
      <w:r>
        <w:rPr>
          <w:i/>
          <w:iCs/>
        </w:rPr>
        <w:t>Table B32. Each weight varied by ±50% (then renormalised): 14 tests per weight set.</w:t>
      </w:r>
      <w:r>
        <w:rPr/>
        <w:t xml:space="preserve"> </w:t>
      </w:r>
      <w:r>
        <w:rPr>
          <w:i/>
          <w:iCs/>
        </w:rPr>
        <w:t xml:space="preserve">Source: </w:t>
      </w:r>
      <w:r>
        <w:rPr>
          <w:rStyle w:val="VerbatimChar"/>
          <w:i/>
          <w:iCs/>
        </w:rPr>
        <w:t>results/mcda.md</w:t>
      </w:r>
      <w:r>
        <w:rPr>
          <w:i/>
          <w:iCs/>
        </w:rPr>
        <w:t xml:space="preserve"> section 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Tests</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First place changes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Cases that change the order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 0.5 and supply × 1.5: both give status quo &gt; renewables &gt; SMR</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bl>
    <w:p>
      <w:pPr>
        <w:pStyle w:val="Compact"/>
        <w:numPr>
          <w:ilvl w:val="0"/>
          <w:numId w:val="72"/>
        </w:numPr>
        <w:rPr/>
      </w:pPr>
      <w:r>
        <w:rPr>
          <w:b/>
          <w:bCs/>
        </w:rPr>
        <w:t>Random weights.</w:t>
      </w:r>
      <w:r>
        <w:rPr/>
        <w:t xml:space="preserve"> In 20,000 Dirichlet(1,…,1) draws (seed 20261021), first place goes to renewables in 85.4%, the status quo in 14.5%, SMR + C1 in 0.1% and SMR in 0.0%. An SMR option is above renewables in 1.1% of draws.</w:t>
      </w:r>
    </w:p>
    <w:p>
      <w:pPr>
        <w:pStyle w:val="Compact"/>
        <w:numPr>
          <w:ilvl w:val="0"/>
          <w:numId w:val="73"/>
        </w:numPr>
        <w:rPr/>
      </w:pPr>
      <w:r>
        <w:rPr>
          <w:b/>
          <w:bCs/>
        </w:rPr>
        <w:t>Threshold.</w:t>
      </w:r>
      <w:r>
        <w:rPr/>
        <w:t xml:space="preserve"> Putting one criterion’s weight at w and sharing the rest equally, an SMR option first ranks first only when life cycle carries at least 0.936. For the other six criteria it never does.</w:t>
      </w:r>
    </w:p>
    <w:p>
      <w:pPr>
        <w:pStyle w:val="Compact"/>
        <w:numPr>
          <w:ilvl w:val="0"/>
          <w:numId w:val="74"/>
        </w:numPr>
        <w:rPr/>
      </w:pPr>
      <w:r>
        <w:rPr>
          <w:b/>
          <w:bCs/>
        </w:rPr>
        <w:t>SMR versus SMR + C1.</w:t>
      </w:r>
      <w:r>
        <w:rPr/>
        <w:t xml:space="preserve"> They never swap places in any of the 56 tests.</w:t>
      </w:r>
    </w:p>
    <w:p>
      <w:pPr>
        <w:pStyle w:val="FirstParagraph"/>
        <w:rPr/>
      </w:pPr>
      <w:r>
        <w:rPr>
          <w:i/>
          <w:iCs/>
        </w:rPr>
        <w:t>Table B33. Input changes that alter first place or the order (base weights). All other changes leave “renewables &gt; status quo &gt; SMR” in all four sets.</w:t>
      </w:r>
      <w:r>
        <w:rPr/>
        <w:t xml:space="preserve"> </w:t>
      </w:r>
      <w:r>
        <w:rPr>
          <w:i/>
          <w:iCs/>
        </w:rPr>
        <w:t xml:space="preserve">Source: </w:t>
      </w:r>
      <w:r>
        <w:rPr>
          <w:rStyle w:val="VerbatimChar"/>
          <w:i/>
          <w:iCs/>
        </w:rPr>
        <w:t>results/mcda.md</w:t>
      </w:r>
      <w:r>
        <w:rPr>
          <w:i/>
          <w:iCs/>
        </w:rPr>
        <w:t xml:space="preserve"> section 6 (17 input cases × 4 weight sets = 68 tests).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Change</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Worst case for renewables (SMR A$198, renewables A$153)</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status quo first; others unchanged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 social licence at 14 (instead of 13)</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status quo first; others unchanged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 supply = renewables’ HHI (6,400)</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renewables &gt; SMR &gt; status quo; others unchanged</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Fixed global scales (best and worst fixed in advance)</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All four sets: renewables &gt; SMR &gt; status quo</w:t>
            </w:r>
          </w:p>
        </w:tc>
      </w:tr>
    </w:tbl>
    <w:p>
      <w:pPr>
        <w:pStyle w:val="BodyText"/>
        <w:rPr/>
      </w:pPr>
      <w:r>
        <w:rP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 </w:t>
      </w:r>
      <w:r>
        <w:rPr>
          <w:b/>
          <w:bCs/>
        </w:rPr>
        <w:t>The status quo above the SMR is not:</w:t>
      </w:r>
      <w:r>
        <w:rPr/>
        <w:t xml:space="preserve"> it comes from the four-option scale, where doing nothing scores full marks on cost, supply and legal feasibility.</w:t>
      </w:r>
    </w:p>
    <w:p>
      <w:pPr>
        <w:pStyle w:val="Heading5"/>
        <w:rPr/>
      </w:pPr>
      <w:r>
        <w:rPr/>
        <w:t>B7.5 SMR versus SMR + C1 under each C1 case</w:t>
      </w:r>
    </w:p>
    <w:p>
      <w:pPr>
        <w:pStyle w:val="FirstParagraph"/>
        <w:rPr/>
      </w:pPr>
      <w:r>
        <w:rPr>
          <w:i/>
          <w:iCs/>
        </w:rPr>
        <w:t>Table B34. Effect of C1 on the SMR’s life cycle and score, by C1 case.</w:t>
      </w:r>
      <w:r>
        <w:rPr/>
        <w:t xml:space="preserve"> </w:t>
      </w:r>
      <w:r>
        <w:rPr>
          <w:i/>
          <w:iCs/>
        </w:rPr>
        <w:t xml:space="preserve">Source: </w:t>
      </w:r>
      <w:r>
        <w:rPr>
          <w:rStyle w:val="VerbatimChar"/>
          <w:i/>
          <w:iCs/>
        </w:rPr>
        <w:t>results/mcda.md</w:t>
      </w:r>
      <w:r>
        <w:rPr>
          <w:i/>
          <w:iCs/>
        </w:rPr>
        <w:t xml:space="preserve"> section 7. The 1,100, 2,200 and 3,300 t cases (eligibility of 20/40/60%) are the deck case (BWRX-300 Ostrołęka sp. z o.o., 2023; Pillai et al., 2019). The 1,734 t row is the earlier-model cross-check.</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case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Saving (t/unit)</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Life cycle, SMR → SMR + C1 (g/kWh)</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Change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Score gap, equal weights (points)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Score gap if qualification is free</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 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4.1922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0.0078 g/kWh (0.18%)</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+0.00024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 t (central)</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4.1845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0.0155 g/kWh (0.37%)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+0.00049</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 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4.1767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0.0233 g/kWh (0.55%)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+0.00073</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1,734 t (earlier model, cross-check)</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1,734</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4.1878</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0.0122 g/kWh (0.29%)</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0.0016</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+0.00038</w:t>
            </w:r>
          </w:p>
        </w:tc>
      </w:tr>
    </w:tbl>
    <w:p>
      <w:pPr>
        <w:pStyle w:val="BodyText"/>
        <w:rPr/>
      </w:pPr>
      <w:r>
        <w:rP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 </w:t>
      </w:r>
      <w:r>
        <w:rPr>
          <w:b/>
          <w:bCs/>
        </w:rPr>
        <w:t>Delay case.</w:t>
      </w:r>
      <w:r>
        <w:rPr/>
        <w:t xml:space="preserve"> 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p>
      <w:pPr>
        <w:pStyle w:val="Heading5"/>
        <w:rPr/>
      </w:pPr>
      <w:r>
        <w:rPr/>
        <w:t>B7.6 Limitations</w:t>
      </w:r>
    </w:p>
    <w:p>
      <w:pPr>
        <w:pStyle w:val="Compact"/>
        <w:numPr>
          <w:ilvl w:val="0"/>
          <w:numId w:val="75"/>
        </w:numPr>
        <w:rPr/>
      </w:pPr>
      <w:r>
        <w:rPr/>
        <w:t>Social licence, legal feasibility and the renewables supply score are our scored judgement (Table B39; Table B13; B7.1). The weights are our reading, not elicited. A stakeholder survey would replace them.</w:t>
      </w:r>
    </w:p>
    <w:p>
      <w:pPr>
        <w:pStyle w:val="Compact"/>
        <w:numPr>
          <w:ilvl w:val="0"/>
          <w:numId w:val="76"/>
        </w:numPr>
        <w:rPr/>
      </w:pPr>
      <w:r>
        <w:rPr/>
        <w:t>Local min–max scaling makes each score depend on which options are compared. The status quo’s second place changes on fixed global scales (B7.4).</w:t>
      </w:r>
    </w:p>
    <w:p>
      <w:pPr>
        <w:pStyle w:val="Compact"/>
        <w:numPr>
          <w:ilvl w:val="0"/>
          <w:numId w:val="77"/>
        </w:numPr>
        <w:rPr/>
      </w:pPr>
      <w:r>
        <w:rPr/>
        <w:t>Renewables’ supply HHI uses solar PV only; batteries, wind turbines and transmission are not assessed, and the IEA (2022) report was not opened in full.</w:t>
      </w:r>
    </w:p>
    <w:p>
      <w:pPr>
        <w:pStyle w:val="Compact"/>
        <w:numPr>
          <w:ilvl w:val="0"/>
          <w:numId w:val="78"/>
        </w:numPr>
        <w:rPr/>
      </w:pPr>
      <w:r>
        <w:rPr/>
        <w:t>TRL is not scored, and first-power years depend on CSIRO’s 2040 and the Coalition’s 2035 (as reported).</w:t>
      </w:r>
    </w:p>
    <w:p>
      <w:pPr>
        <w:pStyle w:val="Compact"/>
        <w:numPr>
          <w:ilvl w:val="0"/>
          <w:numId w:val="79"/>
        </w:numPr>
        <w:rPr/>
      </w:pPr>
      <w:r>
        <w:rPr/>
        <w:t>Renewables’ 30 g/kWh and 2028 start are assumptions, and the GenCost reading is the one stated in B6. Adding several TWh of renewables would itself change the grid trajectory (B6.4).</w:t>
      </w:r>
    </w:p>
    <w:p>
      <w:pPr>
        <w:pStyle w:val="Compact"/>
        <w:numPr>
          <w:ilvl w:val="0"/>
          <w:numId w:val="80"/>
        </w:numPr>
        <w:rPr/>
      </w:pPr>
      <w:r>
        <w:rPr/>
        <w:t>The UK government manual (Dodgson et al., 2009) was not opened in full.</w:t>
      </w:r>
    </w:p>
    <w:p>
      <w:pPr>
        <w:pStyle w:val="FirstParagraph"/>
        <w:rPr/>
      </w:pPr>
      <w:r>
        <w:rPr>
          <w:b/>
          <w:bCs/>
        </w:rPr>
        <w:t>Reproduce.</w:t>
      </w:r>
      <w:r>
        <w:rPr/>
        <w:t xml:space="preserve"> From the repository root: </w:t>
      </w:r>
      <w:r>
        <w:rPr>
          <w:rStyle w:val="VerbatimChar"/>
        </w:rPr>
        <w:t>python3 -I 03_LCA_Calculations/scripts/mcda.py --c1-case new_2200</w:t>
      </w:r>
      <w:r>
        <w:rPr/>
        <w:t xml:space="preserve"> (cases: </w:t>
      </w:r>
      <w:r>
        <w:rPr>
          <w:rStyle w:val="VerbatimChar"/>
        </w:rPr>
        <w:t>old_1734</w:t>
      </w:r>
      <w:r>
        <w:rPr/>
        <w:t xml:space="preserve">, </w:t>
      </w:r>
      <w:r>
        <w:rPr>
          <w:rStyle w:val="VerbatimChar"/>
        </w:rPr>
        <w:t>new_1100</w:t>
      </w:r>
      <w:r>
        <w:rPr/>
        <w:t xml:space="preserve">, </w:t>
      </w:r>
      <w:r>
        <w:rPr>
          <w:rStyle w:val="VerbatimChar"/>
        </w:rPr>
        <w:t>new_2200</w:t>
      </w:r>
      <w:r>
        <w:rPr/>
        <w:t xml:space="preserve">, </w:t>
      </w:r>
      <w:r>
        <w:rPr>
          <w:rStyle w:val="VerbatimChar"/>
        </w:rPr>
        <w:t>new_3300</w:t>
      </w:r>
      <w:r>
        <w:rPr/>
        <w:t xml:space="preserve">). Inputs are in </w:t>
      </w:r>
      <w:r>
        <w:rPr>
          <w:rStyle w:val="VerbatimChar"/>
        </w:rPr>
        <w:t>03_LCA_Calculations/parameters_run9.yaml</w:t>
      </w:r>
      <w:r>
        <w:rPr/>
        <w:t xml:space="preserve">; outputs are </w:t>
      </w:r>
      <w:r>
        <w:rPr>
          <w:rStyle w:val="VerbatimChar"/>
        </w:rPr>
        <w:t>results/mcda.md</w:t>
      </w:r>
      <w:r>
        <w:rPr/>
        <w:t xml:space="preserve"> and </w:t>
      </w:r>
      <w:r>
        <w:rPr>
          <w:rStyle w:val="VerbatimChar"/>
        </w:rPr>
        <w:t>results/mcda_scores.csv</w:t>
      </w:r>
      <w:r>
        <w:rPr/>
        <w:t>.</w:t>
      </w:r>
    </w:p>
    <w:p>
      <w:pPr>
        <w:pStyle w:val="normal1"/>
        <w:rPr/>
      </w:pPr>
      <w:r>
        <w:rPr/>
        <mc:AlternateContent>
          <mc:Choice Requires="wps">
            <w:drawing>
              <wp:inline distT="0" distB="0" distL="0" distR="0">
                <wp:extent cx="573151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B8. Social licence and stakeholder working (for Section 3.4.2 and Section 3.4.1)</w:t>
      </w:r>
    </w:p>
    <w:p>
      <w:pPr>
        <w:pStyle w:val="FirstParagraph"/>
        <w:rPr/>
      </w:pPr>
      <w:r>
        <w:rPr>
          <w:b/>
          <w:bCs/>
        </w:rPr>
        <w:t>Result.</w:t>
      </w:r>
      <w:r>
        <w:rPr/>
        <w:t xml:space="preserve"> 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 </w:t>
      </w:r>
      <w:r>
        <w:rPr>
          <w:b/>
          <w:bCs/>
        </w:rPr>
        <w:t>The stance scores and route scores are our judgement, not measurements.</w:t>
      </w:r>
      <w:r>
        <w:rPr/>
        <w:t xml:space="preserve"> Script: </w:t>
      </w:r>
      <w:r>
        <w:rPr>
          <w:rStyle w:val="VerbatimChar"/>
        </w:rPr>
        <w:t>python3 -I 03_LCA_Calculations/scripts/social_licence.py</w:t>
      </w:r>
      <w:r>
        <w:rPr/>
        <w:t xml:space="preserve"> (</w:t>
      </w:r>
      <w:r>
        <w:rPr>
          <w:rStyle w:val="VerbatimChar"/>
        </w:rPr>
        <w:t>parameters_run6.yaml</w:t>
      </w:r>
      <w:r>
        <w:rPr/>
        <w:t xml:space="preserve">; output </w:t>
      </w:r>
      <w:r>
        <w:rPr>
          <w:rStyle w:val="VerbatimChar"/>
        </w:rPr>
        <w:t>results/social_licence.md</w:t>
      </w:r>
      <w:r>
        <w:rPr/>
        <w:t>).</w:t>
      </w:r>
    </w:p>
    <w:p>
      <w:pPr>
        <w:pStyle w:val="BodyText"/>
        <w:rPr/>
      </w:pPr>
      <w:r>
        <w:rPr/>
        <w:t xml:space="preserve">Sources for the Section 3.4.2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 </w:t>
      </w:r>
      <w:r>
        <w:rPr>
          <w:i/>
          <w:iCs/>
        </w:rPr>
        <w:t>Barngarla</w:t>
      </w:r>
      <w:r>
        <w:rPr/>
        <w:t xml:space="preserve"> [2023] FCA 809; Nuclear Waste Management Organization (2024a; 2024b; 2024c; n.d.); Department of Industry, Science, Energy and Resources (2020); Power Workers’ Union (2021); Conference Board of Canada (2021); Joint Standing Committee on Treaties (2024); Slovic (1987).</w:t>
      </w:r>
    </w:p>
    <w:p>
      <w:pPr>
        <w:pStyle w:val="Heading5"/>
        <w:rPr/>
      </w:pPr>
      <w:r>
        <w:rPr/>
        <w:t>B8.1 Perceived and actual safety, and deaths avoided</w:t>
      </w:r>
    </w:p>
    <w:p>
      <w:pPr>
        <w:pStyle w:val="Compact"/>
        <w:numPr>
          <w:ilvl w:val="0"/>
          <w:numId w:val="81"/>
        </w:numPr>
        <w:rPr/>
      </w:pPr>
      <w:r>
        <w:rPr/>
        <w:t>Death rates per TWh (Ritchie, 2020; Markandya and Wilkinson, 2007): coal 24.62, brown coal 32.72, gas 2.82, wind 0.04, nuclear 0.03, solar 0.02. Coal is 24.62 / 0.03 = about 820 times nuclear (gas about 94 times).</w:t>
      </w:r>
    </w:p>
    <w:p>
      <w:pPr>
        <w:pStyle w:val="Compact"/>
        <w:numPr>
          <w:ilvl w:val="0"/>
          <w:numId w:val="82"/>
        </w:numPr>
        <w:rPr/>
      </w:pPr>
      <w:r>
        <w:rPr/>
        <w:t>Output of one unit: 300 MWe × 8,760 h × 0.9 = 2.365 TWh a year (2.102–2.497 at capacity factors of 0.80–0.95).</w:t>
      </w:r>
    </w:p>
    <w:p>
      <w:pPr>
        <w:pStyle w:val="Compact"/>
        <w:numPr>
          <w:ilvl w:val="0"/>
          <w:numId w:val="83"/>
        </w:numPr>
        <w:rPr/>
      </w:pPr>
      <w:r>
        <w:rPr/>
        <w:t xml:space="preserve">Deaths avoided a year = output × (death rate of the displaced source − nuclear’s rate). Example (black coal): 2.365 × (24.62 − 0.03) = </w:t>
      </w:r>
      <w:r>
        <w:rPr>
          <w:b/>
          <w:bCs/>
        </w:rPr>
        <w:t>58.2</w:t>
      </w:r>
      <w:r>
        <w:rPr/>
        <w:t>.</w:t>
      </w:r>
    </w:p>
    <w:p>
      <w:pPr>
        <w:pStyle w:val="FirstParagraph"/>
        <w:rPr/>
      </w:pPr>
      <w:r>
        <w:rPr>
          <w:i/>
          <w:iCs/>
        </w:rPr>
        <w:t>Table B36. Statistical deaths avoided a year by one unit, by displaced source.</w:t>
      </w:r>
      <w:r>
        <w:rPr/>
        <w:t xml:space="preserve"> </w:t>
      </w:r>
      <w:r>
        <w:rPr>
          <w:i/>
          <w:iCs/>
        </w:rPr>
        <w:t xml:space="preserve">Source: </w:t>
      </w:r>
      <w:r>
        <w:rPr>
          <w:rStyle w:val="VerbatimChar"/>
          <w:i/>
          <w:iCs/>
        </w:rPr>
        <w:t>results/social_licence.md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Displaced source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0.80</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0.90 (central)</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0.95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Black coal (Liddell; upper bound, because coal leaves the grid by 2038 in AEMO’s central scenario)</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58.2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Brown coal (stretch case)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77.3</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81.6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(Darlington, per unit; Ontario has no coal)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5.9</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four units</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Wind</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Solar</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r>
    </w:tbl>
    <w:p>
      <w:pPr>
        <w:pStyle w:val="BodyText"/>
        <w:rPr/>
      </w:pPr>
      <w:r>
        <w:rPr/>
        <w:t>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p>
      <w:pPr>
        <w:pStyle w:val="Heading5"/>
        <w:rPr/>
      </w:pPr>
      <w:r>
        <w:rPr/>
        <w:t>B8.2 Stakeholder power, interest and stance (Figure F8)</w:t>
      </w:r>
    </w:p>
    <w:p>
      <w:pPr>
        <w:pStyle w:val="FirstParagraph"/>
        <w:rPr/>
      </w:pPr>
      <w:r>
        <w:rPr/>
        <w:t xml:space="preserve">Each actor is scored for power (1–5), interest (1–5) and stance (−2 strongly against to +2 strongly for) from the evidence in Sections 3.4–3.6 (evidence keys in </w:t>
      </w:r>
      <w:r>
        <w:rPr>
          <w:rStyle w:val="VerbatimChar"/>
        </w:rPr>
        <w:t>parameters_run6.yaml</w:t>
      </w:r>
      <w:r>
        <w:rPr/>
        <w:t xml:space="preserve">). “High power” is a score of 4 or more. Quadrant: power ≥ 4 and interest ≥ 4, manage closely; power ≥ 4 only, keep satisfied; interest ≥ 4 only, keep informed; neither, monitor. </w:t>
      </w:r>
      <w:r>
        <w:rPr>
          <w:b/>
          <w:bCs/>
        </w:rPr>
        <w:t>Power-weighted stance</w:t>
      </w:r>
      <w:r>
        <w:rPr/>
        <w:t xml:space="preserve"> = Σ(power × stance) / Σ(power).</w:t>
      </w:r>
    </w:p>
    <w:p>
      <w:pPr>
        <w:pStyle w:val="BodyText"/>
        <w:rPr/>
      </w:pPr>
      <w:r>
        <w:rPr>
          <w:i/>
          <w:iCs/>
        </w:rPr>
        <w:t>Table B37. Stakeholder scores, Darlington Units 2–4 with C1.</w:t>
      </w:r>
      <w:r>
        <w:rPr/>
        <w:t xml:space="preserve"> </w:t>
      </w:r>
      <w:r>
        <w:rPr>
          <w:i/>
          <w:iCs/>
        </w:rPr>
        <w:t xml:space="preserve">Source: our judgement from Sections 3.4–3.6 evidence; </w:t>
      </w:r>
      <w:r>
        <w:rPr>
          <w:rStyle w:val="VerbatimChar"/>
          <w:i/>
          <w:iCs/>
        </w:rPr>
        <w:t>results/social_licence.md</w:t>
      </w:r>
      <w:r>
        <w:rPr>
          <w:i/>
          <w:iCs/>
        </w:rPr>
        <w:t xml:space="preserve"> section 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Power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Interest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Stance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Quadrant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Government (shareholder)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(licensee, owner)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(safety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Canada (CIB, CGF, CILGC)</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(vendor)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Energy Board (rate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and Durham (host)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Unions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NGOs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suppliers (no source found)</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bl>
    <w:p>
      <w:pPr>
        <w:pStyle w:val="BodyText"/>
        <w:rPr/>
      </w:pPr>
      <w:r>
        <w:rPr/>
        <w:t xml:space="preserve">Working: Σ(power × stance) = 10 + 10 + 0 + 4 + 8 + 4 + 0 + 6 + 6 − 4 + 2 + 0 = 46; Σ(power) = 43; 46 / 43 = </w:t>
      </w:r>
      <w:r>
        <w:rPr>
          <w:b/>
          <w:bCs/>
        </w:rPr>
        <w:t>+1.07</w:t>
      </w:r>
      <w:r>
        <w:rPr/>
        <w:t>. Seven actors have high power and none is opposed.</w:t>
      </w:r>
    </w:p>
    <w:p>
      <w:pPr>
        <w:pStyle w:val="BodyText"/>
        <w:rPr/>
      </w:pPr>
      <w:r>
        <w:rPr>
          <w:i/>
          <w:iCs/>
        </w:rPr>
        <w:t>Table B38. Stakeholder scores, a hypothetical BWRX-300 at Liddell.</w:t>
      </w:r>
      <w:r>
        <w:rPr/>
        <w:t xml:space="preserve"> </w:t>
      </w:r>
      <w:r>
        <w:rPr>
          <w:i/>
          <w:iCs/>
        </w:rPr>
        <w:t>Source: as Table B37.</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Power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Interest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Stance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Quadrant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Government (Labor)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Government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(site owner)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ARPANSA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NGOs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found; scored neutral by default)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Unions (ACTU, ETU)</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Investors in NEM renewables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Coalition</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Hunter community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vendors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bl>
    <w:p>
      <w:pPr>
        <w:pStyle w:val="BodyText"/>
        <w:rPr/>
      </w:pPr>
      <w:r>
        <w:rPr/>
        <w:t xml:space="preserve">Working: Σ(power × stance) = −10 − 10 − 8 + 0 − 6 + 0 − 6 − 3 + 4 + 0 + 2 = −37; Σ(power) = 36; −37 / 36 = </w:t>
      </w:r>
      <w:r>
        <w:rPr>
          <w:b/>
          <w:bCs/>
        </w:rPr>
        <w:t>−1.03</w:t>
      </w:r>
      <w:r>
        <w:rPr/>
        <w:t>. Four actors have high power and three are opposed. Scoring the Wonnarua people at −2 or +2 would move the Liddell result by −0.17 or +0.17 (3 × 2 / 36), which does not change its sign.</w:t>
      </w:r>
    </w:p>
    <w:p>
      <w:pPr>
        <w:pStyle w:val="Heading5"/>
        <w:rPr/>
      </w:pPr>
      <w:r>
        <w:rPr/>
        <w:t>B8.3 Social-licence routes for an SMR at Liddell</w:t>
      </w:r>
    </w:p>
    <w:p>
      <w:pPr>
        <w:pStyle w:val="FirstParagraph"/>
        <w:rPr/>
      </w:pPr>
      <w:r>
        <w:rPr/>
        <w:t>Four routes are scored 1–3 (3 best) on legitimacy (chance of durable consent), legal risk (low risk scores high), speed, public cost (low cost scores high) and fairness. Each weighted column doubles one criterion.</w:t>
      </w:r>
    </w:p>
    <w:p>
      <w:pPr>
        <w:pStyle w:val="BodyText"/>
        <w:rPr/>
      </w:pPr>
      <w:r>
        <w:rPr>
          <w:i/>
          <w:iCs/>
        </w:rPr>
        <w:t>Table B39. Route scores by criterion and totals.</w:t>
      </w:r>
      <w:r>
        <w:rPr/>
        <w:t xml:space="preserve"> </w:t>
      </w:r>
      <w:r>
        <w:rPr>
          <w:i/>
          <w:iCs/>
        </w:rPr>
        <w:t>Source: our judgement (</w:t>
      </w:r>
      <w:r>
        <w:rPr>
          <w:rStyle w:val="VerbatimChar"/>
          <w:i/>
          <w:iCs/>
        </w:rPr>
        <w:t>parameters_run6.yaml</w:t>
      </w:r>
      <w:r>
        <w:rPr>
          <w:i/>
          <w:iCs/>
        </w:rPr>
        <w:t xml:space="preserve">); totals by </w:t>
      </w:r>
      <w:r>
        <w:rPr>
          <w:rStyle w:val="VerbatimChar"/>
          <w:i/>
          <w:iCs/>
        </w:rPr>
        <w:t>social_licence.py</w:t>
      </w:r>
      <w:r>
        <w:rPr>
          <w:i/>
          <w:iCs/>
        </w:rPr>
        <w:t>; route models from Newcastle Herald (2024b), NWMO (2024a; 2024c) and Williams Treaties First Nations et al.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719"/>
        <w:gridCol w:w="720"/>
        <w:gridCol w:w="720"/>
        <w:gridCol w:w="720"/>
        <w:gridCol w:w="720"/>
        <w:gridCol w:w="721"/>
        <w:gridCol w:w="720"/>
        <w:gridCol w:w="720"/>
        <w:gridCol w:w="720"/>
        <w:gridCol w:w="720"/>
        <w:gridCol w:w="719"/>
      </w:tblGrid>
      <w:tr>
        <w:trPr>
          <w:tblHeader w:val="true"/>
        </w:trPr>
        <w:tc>
          <w:tcPr>
            <w:tcW w:w="7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Legitimacy</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Legal</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Public cost</w:t>
            </w:r>
          </w:p>
        </w:tc>
        <w:tc>
          <w:tcPr>
            <w:tcW w:w="7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Fairness</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Legitimacy ×2</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 ×2</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Fairness ×2</w:t>
            </w:r>
          </w:p>
        </w:tc>
        <w:tc>
          <w:tcPr>
            <w:tcW w:w="7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Public cost ×2</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R1. Commonwealth-led siting</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R2. Volunteer host plus willingness test (NWMO model)</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R3. R2 plus First Nations equity and loan guarantee</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r>
      <w:tr>
        <w:trPr/>
        <w:tc>
          <w:tcPr>
            <w:tcW w:w="7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R4. No SMR: firmed renewables</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7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r>
    </w:tbl>
    <w:p>
      <w:pPr>
        <w:pStyle w:val="BodyText"/>
        <w:rPr/>
      </w:pPr>
      <w:r>
        <w:rPr/>
        <w:t>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(Section 3.7).</w:t>
      </w:r>
    </w:p>
    <w:p>
      <w:pPr>
        <w:pStyle w:val="Heading5"/>
        <w:rPr/>
      </w:pPr>
      <w:r>
        <w:rPr/>
        <w:t>B8.4 Who finances the Darlington New Nuclear Project</w:t>
      </w:r>
    </w:p>
    <w:p>
      <w:pPr>
        <w:pStyle w:val="FirstParagraph"/>
        <w:rPr/>
      </w:pPr>
      <w:r>
        <w:rPr>
          <w:i/>
          <w:iCs/>
        </w:rPr>
        <w:t>Table B40. Shares of the C$20.9 bn budget.</w:t>
      </w:r>
      <w:r>
        <w:rPr/>
        <w:t xml:space="preserve"> </w:t>
      </w:r>
      <w:r>
        <w:rPr>
          <w:i/>
          <w:iCs/>
        </w:rPr>
        <w:t xml:space="preserve">Source: </w:t>
      </w:r>
      <w:r>
        <w:rPr>
          <w:rStyle w:val="VerbatimChar"/>
          <w:i/>
          <w:iCs/>
        </w:rPr>
        <w:t>results/social_licence.md</w:t>
      </w:r>
      <w:r>
        <w:rPr>
          <w:i/>
          <w:iCs/>
        </w:rPr>
        <w:t xml:space="preserve"> section 4, from Government of Ontario (2025), Canada Growth Fund and Building Ontario Fund (2025), Canada Infrastructure Bank (2022), Williams Treaties First Nations et al.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Financier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 bn</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of C$20.9 bn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Growth Fund equity (federal)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Building Ontario Fund equity (Ontario)</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phase 1 (federal)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loan converting to equity</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Remainder: OPG’s balance sheet, recovered through Ontario Energy Board rates</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16.23</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77.7%</w:t>
            </w:r>
          </w:p>
        </w:tc>
      </w:tr>
    </w:tbl>
    <w:p>
      <w:pPr>
        <w:pStyle w:val="BodyText"/>
        <w:rPr/>
      </w:pPr>
      <w:r>
        <w:rPr/>
        <w:t>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rPr/>
      </w:pPr>
      <w:r>
        <w:rPr>
          <w:b/>
          <w:bCs/>
        </w:rPr>
        <w:t>Limits.</w:t>
      </w:r>
      <w:r>
        <w:rPr/>
        <w:t xml:space="preserve"> All scores are judgements from secondary summaries. Local min–max scaling and the MCDA use of these scores are in B7. Job and waste figures in the Section 3.4.2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pPr>
        <w:pStyle w:val="normal1"/>
        <w:rPr/>
      </w:pPr>
      <w:r>
        <w:rPr/>
        <mc:AlternateContent>
          <mc:Choice Requires="wps">
            <w:drawing>
              <wp:inline distT="0" distB="0" distL="0" distR="0">
                <wp:extent cx="573151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Appendix C. Sensitivity: tornado and Monte Carlo set-up and results</w:t>
      </w:r>
    </w:p>
    <w:p>
      <w:pPr>
        <w:pStyle w:val="FirstParagraph"/>
        <w:rPr/>
      </w:pPr>
      <w:r>
        <w:rPr/>
        <w:t xml:space="preserve">This appendix shows how uncertain the Section 3.2 results are and which inputs drive them. </w:t>
      </w:r>
      <w:r>
        <w:rPr>
          <w:b/>
          <w:bCs/>
        </w:rPr>
        <w:t>The life-cycle intensity is uncertain mainly through the fuel inputs (conversion heat, mining, back end, burnup, enrichment); C1’s saving is uncertain mainly through the eligible share, the LC³ cut and the plant concrete volume.</w:t>
      </w:r>
      <w:r>
        <w:rPr/>
        <w:t xml:space="preserve"> All ranges come from </w:t>
      </w:r>
      <w:r>
        <w:rPr>
          <w:rStyle w:val="VerbatimChar"/>
        </w:rPr>
        <w:t>parameters_lca.yaml</w:t>
      </w:r>
      <w:r>
        <w:rPr/>
        <w:t>. The Ostrołęka and Pillai tables could not be opened and other inputs are as reported by secondary sources, assumptions or placeholders, so the intervals describe the uncertainty in our inputs as found, not in verified data.</w:t>
      </w:r>
    </w:p>
    <w:p>
      <w:pPr>
        <w:pStyle w:val="Heading4"/>
        <w:rPr/>
      </w:pPr>
      <w:r>
        <w:rPr/>
        <w:t>C1. Set-up</w:t>
      </w:r>
    </w:p>
    <w:p>
      <w:pPr>
        <w:pStyle w:val="Compact"/>
        <w:numPr>
          <w:ilvl w:val="0"/>
          <w:numId w:val="84"/>
        </w:numPr>
        <w:rPr/>
      </w:pPr>
      <w:r>
        <w:rPr>
          <w:b/>
          <w:bCs/>
        </w:rPr>
        <w:t>Tornado (one at a time).</w:t>
      </w:r>
      <w:r>
        <w:rPr/>
        <w:t xml:space="preserve"> Each of the 45 ranged inputs is set to its low and then its high value, with every other input at its central value. Outputs: life-cycle g CO₂e/kWh and C1’s saving (t CO₂e per unit, at 40% eligibility).</w:t>
      </w:r>
    </w:p>
    <w:p>
      <w:pPr>
        <w:pStyle w:val="Compact"/>
        <w:numPr>
          <w:ilvl w:val="0"/>
          <w:numId w:val="85"/>
        </w:numPr>
        <w:rPr/>
      </w:pPr>
      <w:r>
        <w:rPr>
          <w:b/>
          <w:bCs/>
        </w:rPr>
        <w:t>Monte Carlo.</w:t>
      </w:r>
      <w:r>
        <w:rPr/>
        <w:t xml:space="preserve"> N = 20,000 draws; seed 20261021; generator </w:t>
      </w:r>
      <w:r>
        <w:rPr>
          <w:rStyle w:val="VerbatimChar"/>
        </w:rPr>
        <w:t>numpy.random.default_rng</w:t>
      </w:r>
      <w:r>
        <w:rPr/>
        <w:t xml:space="preserve">. All 45 inputs are drawn </w:t>
      </w:r>
      <w:r>
        <w:rPr>
          <w:b/>
          <w:bCs/>
        </w:rPr>
        <w:t>independently</w:t>
      </w:r>
      <w:r>
        <w:rPr/>
        <w:t>: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pStyle w:val="Compact"/>
        <w:numPr>
          <w:ilvl w:val="0"/>
          <w:numId w:val="86"/>
        </w:numPr>
        <w:rPr/>
      </w:pPr>
      <w:r>
        <w:rPr>
          <w:b/>
          <w:bCs/>
        </w:rPr>
        <w:t>C1 in the draws.</w:t>
      </w:r>
      <w:r>
        <w:rPr/>
        <w:t xml:space="preserve"> Eligibility is drawn (triangular 0.2/0.4/0.6) in the headline saving; the 20/40/60% scenarios hold it fixed while everything else varies. Each draw’s saving is divided by the same draw’s life-cycle total.</w:t>
      </w:r>
    </w:p>
    <w:p>
      <w:pPr>
        <w:pStyle w:val="Compact"/>
        <w:numPr>
          <w:ilvl w:val="0"/>
          <w:numId w:val="87"/>
        </w:numPr>
        <w:rPr/>
      </w:pPr>
      <w:r>
        <w:rPr>
          <w:b/>
          <w:bCs/>
        </w:rPr>
        <w:t>Cross-check rule.</w:t>
      </w:r>
      <w:r>
        <w:rPr/>
        <w:t xml:space="preserve"> If a bottom-up draw’s whole-plant concrete falls below the cross-check C1 volume, the plant volume is set equal to it: 696 of 20,000 draws (3.5%). The main case never clips.</w:t>
      </w:r>
    </w:p>
    <w:p>
      <w:pPr>
        <w:pStyle w:val="Compact"/>
        <w:numPr>
          <w:ilvl w:val="0"/>
          <w:numId w:val="88"/>
        </w:numPr>
        <w:rPr/>
      </w:pPr>
      <w:r>
        <w:rPr>
          <w:b/>
          <w:bCs/>
        </w:rPr>
        <w:t>Outputs.</w:t>
      </w:r>
      <w:r>
        <w:rPr/>
        <w:t xml:space="preserve"> 5th, 50th and 95th percentiles and the mean. Stage means are additive, so they sum to the expected total.</w:t>
      </w:r>
    </w:p>
    <w:p>
      <w:pPr>
        <w:pStyle w:val="Compact"/>
        <w:numPr>
          <w:ilvl w:val="0"/>
          <w:numId w:val="89"/>
        </w:numPr>
        <w:rPr/>
      </w:pPr>
      <w:r>
        <w:rPr>
          <w:b/>
          <w:bCs/>
        </w:rPr>
        <w:t>Reproduce:</w:t>
      </w:r>
      <w:r>
        <w:rPr/>
        <w:t xml:space="preserve"> </w:t>
      </w:r>
      <w:r>
        <w:rPr>
          <w:rStyle w:val="VerbatimChar"/>
        </w:rPr>
        <w:t>python3 -I 03_LCA_Calculations/scripts/lca_uncertainty.py</w:t>
      </w:r>
      <w:r>
        <w:rPr/>
        <w:t>.</w:t>
      </w:r>
    </w:p>
    <w:p>
      <w:pPr>
        <w:pStyle w:val="Heading4"/>
        <w:rPr/>
      </w:pPr>
      <w:r>
        <w:rPr/>
        <w:t>C2. Ranged inputs and tornado results</w:t>
      </w:r>
    </w:p>
    <w:p>
      <w:pPr>
        <w:pStyle w:val="FirstParagraph"/>
        <w:rPr/>
      </w:pPr>
      <w:r>
        <w:rPr>
          <w:b/>
          <w:bCs/>
        </w:rPr>
        <w:t>Result.</w:t>
      </w:r>
      <w:r>
        <w:rPr/>
        <w:t xml:space="preserve"> Five fuel-cycle inputs each move the life-cycle total by more than 0.6 g/kWh. No concrete input moves it by more than 0.06 g/kWh; plant steel moves it by 0.11 and the construction uplift by 0.34.</w:t>
      </w:r>
    </w:p>
    <w:p>
      <w:pPr>
        <w:pStyle w:val="BodyText"/>
        <w:rPr/>
      </w:pPr>
      <w:r>
        <w:rPr>
          <w:i/>
          <w:iCs/>
        </w:rPr>
        <w:t>Table C2. The 29 ranged inputs that affect the main case, their basis and tornado results (ranked by swing in life-cycle intensity; the other 16 are listed below).</w:t>
      </w:r>
      <w:r>
        <w:rPr/>
        <w:t xml:space="preserve"> </w:t>
      </w:r>
      <w:r>
        <w:rPr>
          <w:i/>
          <w:iCs/>
        </w:rPr>
        <w:t xml:space="preserve">Source: </w:t>
      </w:r>
      <w:r>
        <w:rPr>
          <w:rStyle w:val="VerbatimChar"/>
          <w:i/>
          <w:iCs/>
        </w:rPr>
        <w:t>parameters_lca.yaml</w:t>
      </w:r>
      <w:r>
        <w:rPr>
          <w:i/>
          <w:iCs/>
        </w:rPr>
        <w:t xml:space="preserve">; </w:t>
      </w:r>
      <w:r>
        <w:rPr>
          <w:rStyle w:val="VerbatimChar"/>
          <w:i/>
          <w:iCs/>
        </w:rPr>
        <w:t>results/lca_tornado.csv</w:t>
      </w:r>
      <w:r>
        <w:rPr>
          <w:i/>
          <w:iCs/>
        </w:rPr>
        <w:t>. P = placeholder, A = assumption; other rows are as reported by the source named. Distribution triangular unless stated. “—” = no effect on C1’s saving (2,200 t at 40% eligibility). Low, central and high are model input bounds, not result intervals.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(unit)</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Low / central / high</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Life-cycle g/kWh at low → high (swing)</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saving t at low → high</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 26 / 665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5.533 (2.669)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(kg CO₂e/kg U₃O₈)</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 / 42 / 81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2.425 → 3.815 (1.390)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0.28 / 0.56 / 1.11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2.584 → 3.414 (0.830)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(GWd/t)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45 / 55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3.281 → 2.599 (0.682)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 U-235)</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 / 3.8 / 4.95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Sun and Kurosaki (2025); low A; 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2.694 → 3.357 (0.663)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0.17 / 0.33 / 0.67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2.704 → 3.204 (0.500)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Enrichment-plant grid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0.05 / 0.373 / 0.637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CO₂ only; low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2.629 → 3.056 (0.427)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construction uplift (fraction)</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0.25 / 0.5 / 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2.797 → 3.135 (0.338)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energy (kWh/SWU)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 50 / 100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2.810 → 3.136 (0.326)</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 life (years)</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 60 / 80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Canadian Nuclear Safety Commission (2024); bounds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3.067 → 2.763 (0.304)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 / 0.11 / 0.33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2.814 → 3.084 (0.270)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Tails assay (% U-235)</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 / 0.25 / 0.30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2.800 → 2.960 (0.160)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steel per unit (t)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11,200 / 14,000 / 16,800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2.812 → 2.917 (0.105)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 (MWe), uniform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 300 / 315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Nuclear Energy (n.d.); Ontario Power Generation (2025b); 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2.775 (0.089)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 (t CO₂e/t)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1.22 / 1.73 / 2.50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 high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2.829 → 2.917 (0.088)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factor (t CO₂e/t)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0.89 / 0.97 / 1.99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American Institute of Steel Construction (2022); Circular Ecology (2019)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2.858 → 2.945 (0.087)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Conversion-plant grid, Ontario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0.035 / 0.0738 / 0.343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Canada Energy Regulator (n.d.)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2.855 → 2.930 (0.075)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 / 0.90 / 0.95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2.915 → 2.843 (0.072)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ratio (t/m³)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 / 0.15 / 0.25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(high = forebay)</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2.884 → 2.824 (0.060)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per unit (m³)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40,000 / 50,000 / 60,000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2.836 → 2.893 (0.057)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1,760 → 2,640</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OPC concrete factor (kg CO₂e/m³)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 / 380 / 420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2.838 → 2.885 (0.048)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1,911 → 2,432</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Fabrication-plant grid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 / 0.373 / 0.637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CO₂ only; low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2.848 → 2.890 (0.042)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haul distance (km)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 / 500 / 1,500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2.858 → 2.879 (0.021)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 energy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 / 36 / 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2.878 (0.014)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electricity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10.3 / 11.8 / 16.9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2.862 → 2.872 (0.010)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Truck factor (kg CO₂e/t-km)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 / 0.10 / 0.15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2.861 → 2.869 (0.008)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haul distance (km)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 15 / 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2.863 → 2.869 (0.006)</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cut in concrete emissions</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0.22 / 0.289 / 0.39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change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1,672 → 2,964</w:t>
            </w:r>
          </w:p>
        </w:tc>
      </w:tr>
      <w:tr>
        <w:trPr/>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Eligible share of plant concrete</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0.4 / 0.6</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non-safety works first</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change</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 → 3,300</w:t>
            </w:r>
          </w:p>
        </w:tc>
      </w:tr>
    </w:tbl>
    <w:p>
      <w:pPr>
        <w:pStyle w:val="BodyText"/>
        <w:rPr/>
      </w:pPr>
      <w:r>
        <w:rPr/>
        <w:t>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p>
      <w:pPr>
        <w:pStyle w:val="Heading4"/>
        <w:rPr/>
      </w:pPr>
      <w:r>
        <w:rPr/>
        <w:t>C3. What the tornado shows, and where the emissions arise</w:t>
      </w:r>
    </w:p>
    <w:p>
      <w:pPr>
        <w:pStyle w:val="FirstParagraph"/>
        <w:rPr/>
      </w:pPr>
      <w:r>
        <w:rPr>
          <w:b/>
          <w:bCs/>
        </w:rPr>
        <w:t>Life-cycle intensity (Figure F3, left).</w:t>
      </w:r>
      <w:r>
        <w:rPr/>
        <w:t xml:space="preserve"> The ranking is dominated by the fuel chain. Conversion heat alone could double the result, because the published heat demand spans a factor of 25 (26–665 kWh/kg U). The mining factor ranks second because ore grade varies widely between Saskatchewan mines. Higher burnup </w:t>
      </w:r>
      <w:r>
        <w:rPr>
          <w:i/>
          <w:iCs/>
        </w:rPr>
        <w:t>lowers</w:t>
      </w:r>
      <w:r>
        <w:rPr/>
        <w:t xml:space="preserve"> the result (less uranium per MWh) and higher enrichment raises it (more separative work). Of the construction inputs, only the uplift (0.34) and plant steel (0.11) exceed 0.1 g/kWh.</w:t>
      </w:r>
    </w:p>
    <w:p>
      <w:pPr>
        <w:pStyle w:val="BodyText"/>
        <w:rPr/>
      </w:pPr>
      <w:r>
        <w:rPr>
          <w:b/>
          <w:bCs/>
        </w:rPr>
        <w:t>C1’s saving (Figure F3, right).</w:t>
      </w:r>
      <w:r>
        <w:rPr/>
        <w:t xml:space="preserve"> 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rPr/>
      </w:pPr>
      <w:r>
        <w:rPr>
          <w:i/>
          <w:iCs/>
        </w:rPr>
        <w:t>Table C3. Expected life-cycle emissions by stage (Monte Carlo mean) against the mode case.</w:t>
      </w:r>
      <w:r>
        <w:rPr/>
        <w:t xml:space="preserve"> </w:t>
      </w:r>
      <w:r>
        <w:rPr>
          <w:i/>
          <w:iCs/>
        </w:rPr>
        <w:t xml:space="preserve">Source: </w:t>
      </w:r>
      <w:r>
        <w:rPr>
          <w:rStyle w:val="VerbatimChar"/>
          <w:i/>
          <w:iCs/>
        </w:rPr>
        <w:t>results/lca_uncertainty.md</w:t>
      </w:r>
      <w:r>
        <w:rPr>
          <w:i/>
          <w:iCs/>
        </w:rPr>
        <w:t>; last column is our subtraction (mean − mode).</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 g/kWh</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g/kWh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of mean</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 mode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mining and milling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1.261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0.760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+0.237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conversion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2.392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24.6%</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spent fuel and disposal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0.651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0.387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0.961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0.390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0.233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+0.060</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enrichment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0.634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other materials and site energy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0.386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0.167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0.178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rebar</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plate, structural and equipment steel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0.079</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0.064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transport to site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+0.003</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4.487</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+1.623</w:t>
            </w:r>
          </w:p>
        </w:tc>
      </w:tr>
    </w:tbl>
    <w:p>
      <w:pPr>
        <w:pStyle w:val="BodyText"/>
        <w:rPr/>
      </w:pPr>
      <w:r>
        <w:rPr/>
        <w:t>Grouped (expected basis): fuel front end 61.6%, back end and decommissioning 18.2%, O&amp;M 8.7%, construction 11.5% (0.515 / 4.487). Mode-case shares are 50.9, 23.4, 11.5 and 14.2%. Construction’s share has a Monte Carlo median of 11.5% (P5–P95 7.2–17.8%). All concrete is 3.0–4.7% of the total.</w:t>
      </w:r>
    </w:p>
    <w:p>
      <w:pPr>
        <w:pStyle w:val="Heading4"/>
        <w:rPr/>
      </w:pPr>
      <w:r>
        <w:rPr/>
        <w:t>C4. Monte Carlo results</w:t>
      </w:r>
    </w:p>
    <w:p>
      <w:pPr>
        <w:pStyle w:val="FirstParagraph"/>
        <w:rPr/>
      </w:pPr>
      <w:r>
        <w:rPr>
          <w:b/>
          <w:bCs/>
        </w:rPr>
        <w:t>Result.</w:t>
      </w:r>
      <w:r>
        <w:rPr/>
        <w:t xml:space="preserve"> Life-cycle intensity: </w:t>
      </w:r>
      <w:r>
        <w:rPr>
          <w:b/>
          <w:bCs/>
        </w:rPr>
        <w:t>median 4.40, 90% interval 3.24–6.05 g CO₂e/kWh</w:t>
      </w:r>
      <w:r>
        <w:rPr/>
        <w:t xml:space="preserve">. C1’s saving at central eligibility: </w:t>
      </w:r>
      <w:r>
        <w:rPr>
          <w:b/>
          <w:bCs/>
        </w:rPr>
        <w:t>median 2,217 t per unit (1,375–3,294)</w:t>
      </w:r>
      <w:r>
        <w:rPr/>
        <w:t xml:space="preserve"> and </w:t>
      </w:r>
      <w:r>
        <w:rPr>
          <w:b/>
          <w:bCs/>
        </w:rPr>
        <w:t>6,651 t for Units 2–4 (4,124–9,881)</w:t>
      </w:r>
      <w:r>
        <w:rPr/>
        <w:t xml:space="preserve">. LC³ saves more than slag in </w:t>
      </w:r>
      <w:r>
        <w:rPr>
          <w:b/>
          <w:bCs/>
        </w:rPr>
        <w:t>55%</w:t>
      </w:r>
      <w:r>
        <w:rPr/>
        <w:t xml:space="preserve"> of draws.</w:t>
      </w:r>
    </w:p>
    <w:p>
      <w:pPr>
        <w:pStyle w:val="BodyText"/>
        <w:rPr/>
      </w:pPr>
      <w:r>
        <w:rPr>
          <w:i/>
          <w:iCs/>
        </w:rPr>
        <w:t>Table C4a. Monte Carlo outputs (20,000 draws, seed 20261021).</w:t>
      </w:r>
      <w:r>
        <w:rPr/>
        <w:t xml:space="preserve"> </w:t>
      </w:r>
      <w:r>
        <w:rPr>
          <w:i/>
          <w:iCs/>
        </w:rPr>
        <w:t xml:space="preserve">Source: </w:t>
      </w:r>
      <w:r>
        <w:rPr>
          <w:rStyle w:val="VerbatimChar"/>
          <w:i/>
          <w:iCs/>
        </w:rPr>
        <w:t>results/lca_uncertainty.md</w:t>
      </w:r>
      <w:r>
        <w:rPr>
          <w:i/>
          <w:iCs/>
        </w:rPr>
        <w:t xml:space="preserve">, </w:t>
      </w:r>
      <w:r>
        <w:rPr>
          <w:rStyle w:val="VerbatimChar"/>
          <w:i/>
          <w:iCs/>
        </w:rPr>
        <w:t>lca_montecarlo_summary.csv</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intensity (g CO₂e/kWh)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4.487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front end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1.586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of which mining and milling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0.760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0.515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0.347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0.736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share of life cycle (%)</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14.17</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11.83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7.19</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11.45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17.78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(m³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43,224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56,772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 (m³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12,886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19,879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27,540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LC³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2,259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 CO₂e)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as share of the unit’s life cycle (%)</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0.373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0.195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0.614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saving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2,193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minus slag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588</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766</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life-cycle intensity (g/kWh)</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2.701</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4.293</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3.050</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4.199</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5.863</w:t>
            </w:r>
          </w:p>
        </w:tc>
      </w:tr>
    </w:tbl>
    <w:p>
      <w:pPr>
        <w:pStyle w:val="BodyText"/>
        <w:rPr/>
      </w:pPr>
      <w:r>
        <w:rPr/>
        <w:t>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rPr/>
      </w:pPr>
      <w:r>
        <w:rPr>
          <w:i/>
          <w:iCs/>
        </w:rPr>
        <w:t>Table C4b. Scenario savings and life-cycle shares on the Monte Carlo basis (the basis of Table T5 in Section 3.2.3 and Table A7b).</w:t>
      </w:r>
      <w:r>
        <w:rPr/>
        <w:t xml:space="preserve"> </w:t>
      </w:r>
      <w:r>
        <w:rPr>
          <w:i/>
          <w:iCs/>
        </w:rPr>
        <w:t xml:space="preserve">Source: </w:t>
      </w:r>
      <w:r>
        <w:rPr>
          <w:rStyle w:val="VerbatimChar"/>
          <w:i/>
          <w:iCs/>
        </w:rPr>
        <w:t>results/lca_uncertainty.md</w:t>
      </w:r>
      <w:r>
        <w:rPr>
          <w:i/>
          <w:iCs/>
        </w:rPr>
        <w:t>. Each draw’s saving is divided by the same draw’s S0 life-cycle total. S3 rows are steel sensitivities, not part of C1; S3 world-average is negative (adds emissions).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Saving, t per unit: median (5th–95th)</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 %: median (5th–95th)</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Mode-case share, %</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LC³ on 40% (eligibility drawn)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2,217 (1,375–3,294)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0.355 (0.195–0.614)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S1 slag blend on the same 40% (fallback)</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2,140 (1,310–3,238)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0.343 (0.185–0.602)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0.563</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LC³ in infill and forebay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1,750 (1,389–2,152)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0.293 (0.187–0.458)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S2b LC³ on 40% plus slag elsewhere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5,517 (4,346–6,841)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0.886 (0.566–1.357)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1.386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like-for-like (target-structure steel)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940 (415–1,580)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0.149 (0.062–0.283)</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upper bound (all steel, sections factors)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6,428 (2,521–11,486)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1.025 (0.382–2.041)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0.963</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world-average steel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9,914 (−14,037 to −4,904)</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1.559 (−2.700 to −0.717)</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3.114</w:t>
            </w:r>
          </w:p>
        </w:tc>
      </w:tr>
    </w:tbl>
    <w:p>
      <w:pPr>
        <w:pStyle w:val="Heading4"/>
        <w:rPr/>
      </w:pPr>
      <w:r>
        <w:rPr/>
        <w:t>C5. Why the median (4.40) sits above the mode case (2.86)</w:t>
      </w:r>
    </w:p>
    <w:p>
      <w:pPr>
        <w:pStyle w:val="FirstParagraph"/>
        <w:rPr/>
      </w:pPr>
      <w:r>
        <w:rPr>
          <w:b/>
          <w:bCs/>
        </w:rPr>
        <w:t>Result.</w:t>
      </w:r>
      <w:r>
        <w:rPr/>
        <w:t xml:space="preserve"> The gap is real information, not an error: the inputs we know least about have long upper tails, so they can mostly push the result up.</w:t>
      </w:r>
    </w:p>
    <w:p>
      <w:pPr>
        <w:pStyle w:val="Compact"/>
        <w:numPr>
          <w:ilvl w:val="0"/>
          <w:numId w:val="90"/>
        </w:numPr>
        <w:rPr/>
      </w:pPr>
      <w:r>
        <w:rPr/>
        <w:t>A triangular distribution’s mean is (low + mode + high) / 3. For conversion heat that is (26 + 26 + 665) / 3 ≈ 239 kWh/kg U, nine times the mode of 26.</w:t>
      </w:r>
    </w:p>
    <w:p>
      <w:pPr>
        <w:pStyle w:val="Compact"/>
        <w:numPr>
          <w:ilvl w:val="0"/>
          <w:numId w:val="91"/>
        </w:numPr>
        <w:rPr/>
      </w:pPr>
      <w:r>
        <w:rPr/>
        <w:t>Conversion therefore contributes +0.98 of the +1.62 g/kWh gap (Table C3). Mining (+0.24), the back end (+0.09), enrichment (+0.08), the construction uplift (+0.09), O&amp;M (+0.06) and decommissioning (+0.06) add most of the rest.</w:t>
      </w:r>
    </w:p>
    <w:p>
      <w:pPr>
        <w:pStyle w:val="Compact"/>
        <w:numPr>
          <w:ilvl w:val="0"/>
          <w:numId w:val="92"/>
        </w:numPr>
        <w:rPr/>
      </w:pPr>
      <w:r>
        <w:rPr/>
        <w:t>C1’s saving is almost symmetric (mode 2,200 t, median 2,217 t), so its share of the total falls from 0.54% at the mode case to 0.36%.</w:t>
      </w:r>
    </w:p>
    <w:p>
      <w:pPr>
        <w:pStyle w:val="Compact"/>
        <w:numPr>
          <w:ilvl w:val="0"/>
          <w:numId w:val="93"/>
        </w:numPr>
        <w:rPr/>
      </w:pPr>
      <w:r>
        <w:rPr/>
        <w:t>We quote the median as the result and the mode case only as “every input at its most likely value”. A measured conversion value would collapse most of the gap.</w:t>
      </w:r>
    </w:p>
    <w:p>
      <w:pPr>
        <w:pStyle w:val="Compact"/>
        <w:numPr>
          <w:ilvl w:val="0"/>
          <w:numId w:val="94"/>
        </w:numPr>
        <w:rPr/>
      </w:pPr>
      <w:r>
        <w:rP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Section 3.2 reports the </w:t>
      </w:r>
      <w:r>
        <w:rPr>
          <w:b/>
          <w:bCs/>
        </w:rPr>
        <w:t>range of medians, 3.51–4.40 g CO₂e/kWh</w:t>
      </w:r>
      <w:r>
        <w:rPr/>
        <w:t>. Conversion heat accounts for about 0.9 g/kWh of the median (4.40 − 3.51) and decides how skewed the result is.</w:t>
      </w:r>
    </w:p>
    <w:p>
      <w:pPr>
        <w:pStyle w:val="FirstParagraph"/>
        <w:rPr/>
      </w:pPr>
      <w:r>
        <w:rPr>
          <w:i/>
          <w:iCs/>
        </w:rPr>
        <w:t>Table C5. Conversion-heat distribution test (life-cycle g CO₂e/kWh).</w:t>
      </w:r>
      <w:r>
        <w:rPr/>
        <w:t xml:space="preserve"> </w:t>
      </w:r>
      <w:r>
        <w:rPr>
          <w:i/>
          <w:iCs/>
        </w:rPr>
        <w:t xml:space="preserve">Source: </w:t>
      </w:r>
      <w:r>
        <w:rPr>
          <w:rStyle w:val="VerbatimChar"/>
          <w:i/>
          <w:iCs/>
        </w:rPr>
        <w:t>results/lca_uncertainty.md</w:t>
      </w:r>
      <w:r>
        <w:rPr>
          <w:i/>
          <w:iCs/>
        </w:rPr>
        <w:t>. C1’s share is the headline saving with eligibility drawn.</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Conversion-heat distribution</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heat (kWh/kg U)</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share, % median (P5–P95)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Triangular 26 / 26 / 665 (headline)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4.487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0.355 (0.195–0.614)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Fixed at 26 (Gibon and Hahn Menacho, 2023)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2.797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3.506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4.391</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0.446 (0.258–0.734)</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Log-uniform 26–665</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4.294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4.113</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6.116</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0.373 (0.200–0.650)</w:t>
            </w:r>
          </w:p>
        </w:tc>
      </w:tr>
    </w:tbl>
    <w:p>
      <w:pPr>
        <w:pStyle w:val="Heading4"/>
        <w:rPr/>
      </w:pPr>
      <w:r>
        <w:rPr/>
        <w:t>C6. Limitations of the uncertainty analysis</w:t>
      </w:r>
    </w:p>
    <w:p>
      <w:pPr>
        <w:pStyle w:val="Compact"/>
        <w:numPr>
          <w:ilvl w:val="0"/>
          <w:numId w:val="95"/>
        </w:numPr>
        <w:rPr/>
      </w:pPr>
      <w:r>
        <w:rPr>
          <w:b/>
          <w:bCs/>
        </w:rPr>
        <w:t>Independence.</w:t>
      </w:r>
      <w:r>
        <w:rPr/>
        <w:t xml:space="preserve"> Inputs are drawn independently. Concrete and steel quantities are probably positively correlated, and enrichment and burnup are linked in practice; the effect on the total is small because construction is about 11.5%.</w:t>
      </w:r>
    </w:p>
    <w:p>
      <w:pPr>
        <w:pStyle w:val="Compact"/>
        <w:numPr>
          <w:ilvl w:val="0"/>
          <w:numId w:val="96"/>
        </w:numPr>
        <w:rPr/>
      </w:pPr>
      <w:r>
        <w:rPr>
          <w:b/>
          <w:bCs/>
        </w:rPr>
        <w:t>Ranges partly judgement.</w:t>
      </w:r>
      <w:r>
        <w:rPr/>
        <w:t xml:space="preserve"> The ±20% on the Ostrołęka quantities, the eligible share, the LC³ cut range and the ×0.5 to ×2 transfer ranges on the EDF stages are assumptions, not data.</w:t>
      </w:r>
    </w:p>
    <w:p>
      <w:pPr>
        <w:pStyle w:val="Compact"/>
        <w:numPr>
          <w:ilvl w:val="0"/>
          <w:numId w:val="97"/>
        </w:numPr>
        <w:rPr/>
      </w:pPr>
      <w:r>
        <w:rPr>
          <w:b/>
          <w:bCs/>
        </w:rPr>
        <w:t>Triangular shape.</w:t>
      </w:r>
      <w:r>
        <w:rPr/>
        <w:t xml:space="preserve"> A convention, not a fitted distribution; Table C5 tests it for conversion heat only.</w:t>
      </w:r>
    </w:p>
    <w:p>
      <w:pPr>
        <w:pStyle w:val="Compact"/>
        <w:numPr>
          <w:ilvl w:val="0"/>
          <w:numId w:val="98"/>
        </w:numPr>
        <w:rPr/>
      </w:pPr>
      <w:r>
        <w:rPr>
          <w:b/>
          <w:bCs/>
        </w:rPr>
        <w:t>Inputs as found.</w:t>
      </w:r>
      <w:r>
        <w:rPr/>
        <w:t xml:space="preserve"> The Ostrołęka and Pillai tables were not opened. The intervals will move when they are.</w:t>
      </w:r>
    </w:p>
    <w:p>
      <w:pPr>
        <w:pStyle w:val="Compact"/>
        <w:numPr>
          <w:ilvl w:val="0"/>
          <w:numId w:val="99"/>
        </w:numPr>
        <w:rPr/>
      </w:pPr>
      <w:r>
        <w:rPr>
          <w:b/>
          <w:bCs/>
        </w:rPr>
        <w:t>Model structure not varied.</w:t>
      </w:r>
      <w:r>
        <w:rPr/>
        <w:t xml:space="preserve"> The boundary (process-based stages plus three stages transferred as per-kWh values) and the cut-offs (Section 3.2.1) are not sampled; they bias the result low (C7).</w:t>
      </w:r>
    </w:p>
    <w:p>
      <w:pPr>
        <w:pStyle w:val="Heading4"/>
        <w:rPr/>
      </w:pPr>
      <w:r>
        <w:rPr/>
        <w:t>C7. Why our result differs from the benchmarks</w:t>
      </w:r>
    </w:p>
    <w:p>
      <w:pPr>
        <w:pStyle w:val="FirstParagraph"/>
        <w:rPr/>
      </w:pPr>
      <w:r>
        <w:rPr>
          <w:b/>
          <w:bCs/>
        </w:rPr>
        <w:t>Result.</w:t>
      </w:r>
      <w:r>
        <w:rPr/>
        <w:t xml:space="preserve"> Our median is below UNECE’s range but our 90% interval overlaps it; the main reasons are ore grade, enrichment technology and cut-offs.</w:t>
      </w:r>
    </w:p>
    <w:p>
      <w:pPr>
        <w:pStyle w:val="BodyText"/>
        <w:rPr/>
      </w:pPr>
      <w:r>
        <w:rPr>
          <w:i/>
          <w:iCs/>
        </w:rPr>
        <w:t>Table C7a. Published life-cycle values against ours (g CO₂e/kWh).</w:t>
      </w:r>
      <w:r>
        <w:rPr/>
        <w:t xml:space="preserve"> </w:t>
      </w:r>
      <w:r>
        <w:rPr>
          <w:i/>
          <w:iCs/>
        </w:rPr>
        <w:t>Source: this study; references as listed. Benchmark values are as reported in the sources named and were not independently checked.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Ours against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This study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4.40 median (3.24–6.05); range of medians 3.51–4.40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United Nations Economic Commission for Europe (2021), nuclear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5.1–6.4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below the range; our 90% interval overlaps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IPCC AR5 Annex III (Schlömer et al., 2014)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3.7 / 12 / 110 (minimum / median / maximum, as commonly quoted)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Near the minimum, well below the median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Warner and Heath (2012), harmonised light-water reactors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12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a third of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French fleet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3.7 (2.9–4.6)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Overlaps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 global 2020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Carless, Griffin and Fischbeck (2016), Westinghouse SMR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9.1 (5.9–13.2)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gas combined cycle (United Nations Economic Commission for Europe, 2021)</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751–1,095; 403–513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170–250 and 90–120 times higher than ours</w:t>
            </w:r>
          </w:p>
        </w:tc>
      </w:tr>
    </w:tbl>
    <w:p>
      <w:pPr>
        <w:pStyle w:val="BodyText"/>
        <w:rPr/>
      </w:pPr>
      <w:r>
        <w:rPr>
          <w:i/>
          <w:iCs/>
        </w:rPr>
        <w:t>Table C7b. Why our result differs from the benchmarks: direction and size of each reason.</w:t>
      </w:r>
      <w:r>
        <w:rPr/>
        <w:t xml:space="preserve"> </w:t>
      </w:r>
      <w:r>
        <w:rPr>
          <w:i/>
          <w:iCs/>
        </w:rPr>
        <w:t>Source: this study (Appendices A and C), with the references as listed.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Reason</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our 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Size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High-grade Canadian ore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mining is 1.0–1.3 g/kWh; at global-average grades Gibon and Hahn Menacho (2023) attribute 46% of 6.1, about 2.8 g/kWh, to it. This explains most of the gap to UNECE and Gibon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enrichment only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than older studies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kWh/SWU against about 2,500 for the diffusion plants in older study sets (Gibon and Hahn Menacho, 2023; Warner and Heath, 2012)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Energy-only fuel inventory (cut-offs)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quantified (chemicals, cladding, upstream gas, fuel-plant capital goods excluded)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 close to large reactors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0.41 g/kWh at the mode case, 0.50 median (0.35–0.74), against about 0.59 for large reactors (16% of 3.7; EDF R&amp;D, 2024). The SMR scale penalty shows: 167 m³ of concrete per MWe against 69 for the ESBWR and 138 for the ABWR (Peterson, Zhao and Petroski, 2005)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 life and high capacity factor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At 40 years instead of 60, the mode case rises from 2.86 to 3.07 g/kWh</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and back end transferred from France (reprocessing)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Possibly higher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plans direct disposal; back-end range 0.28–1.11 g/kWh tested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rather than large reactor</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Small</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Carless, Griffin and Fischbeck (2016) give 9.1 for an SMR against 8.4 for the AP1000, mainly through the fuel cycle; our construction share is too small for scale effects to move the total much</w:t>
            </w:r>
          </w:p>
        </w:tc>
      </w:tr>
    </w:tbl>
    <w:p>
      <w:pPr>
        <w:pStyle w:val="BodyText"/>
        <w:rPr/>
      </w:pPr>
      <w:r>
        <w:rPr/>
        <w:t>The sources disagree mainly about the fuel front end (ore grade, enrichment technology and grid), not construction, and that is where our result departs from them. The known low bias would raise the total and make C1’s share smaller still, so it does not weaken Section 3.2.3.</w:t>
      </w:r>
    </w:p>
    <w:p>
      <w:pPr>
        <w:pStyle w:val="normal1"/>
        <w:rPr/>
      </w:pPr>
      <w:r>
        <w:rPr/>
        <mc:AlternateContent>
          <mc:Choice Requires="wps">
            <w:drawing>
              <wp:inline distT="0" distB="0" distL="0" distR="0">
                <wp:extent cx="573151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Appendix E. Search log</w:t>
      </w:r>
    </w:p>
    <w:p>
      <w:pPr>
        <w:pStyle w:val="Heading4"/>
        <w:rPr/>
      </w:pPr>
      <w:r>
        <w:rPr/>
        <w:t>E1. Method and access</w:t>
      </w:r>
    </w:p>
    <w:p>
      <w:pPr>
        <w:pStyle w:val="FirstParagraph"/>
        <w:rPr/>
      </w:pPr>
      <w:r>
        <w:rPr/>
        <w:t>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rPr/>
      </w:pPr>
      <w:r>
        <w:rPr/>
        <w:t xml:space="preserve">Google Patents (patents.google.com) </w:t>
      </w:r>
      <w:r>
        <w:rPr>
          <w:b/>
          <w:bCs/>
        </w:rPr>
        <w:t>could not be reached</w:t>
      </w:r>
      <w:r>
        <w:rPr/>
        <w:t xml:space="preserve"> from the research environment (DNS failure). Justia, Espacenet, Lens, PatentsView, USPTO Patent Public Search and Google Scholar also failed to connect. Google Patents result counts are therefore </w:t>
      </w:r>
      <w:r>
        <w:rPr>
          <w:b/>
          <w:bCs/>
        </w:rPr>
        <w:t>not available</w:t>
      </w:r>
      <w:r>
        <w:rPr/>
        <w:t>. Instead, each string was run through a general web search, which returns about 9–10 links per query. Patent records were identified from those links and their summaries. The “hits” column below counts the patent records found, not database hits. Assignees, dates and claims are as given in search summaries; the patent pages were not opened, so they are indicative only.</w:t>
      </w:r>
    </w:p>
    <w:p>
      <w:pPr>
        <w:pStyle w:val="Heading4"/>
        <w:rPr/>
      </w:pPr>
      <w:r>
        <w:rPr/>
        <w:t>E2. Search strings and results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Area</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Search string (web search)</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Links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Patent records found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patent isolation condenser small modular boiling water reactor US patent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(US 10,867,712 B2; US 12,308,130)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US10867712B2 isolation condenser systems … assignee GE-Hitachi inventors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(one family: US, WO, CA, JP, PL)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US12308130 simplified nuclear reactor isolation condenser integrally isolatable connections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(US 12,308,130 B2; US 11,139,087; US 11,955,248)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Nuclear Energy patent “reactor building” below grade vertical shaft small modular reactor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(US 2020/0208517 A1; US 11,842,821)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US20200208517 “Underground vertical shafts and nuclear reactors using the same”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family (EP 3906566), plus 2 older underground-reactor patents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steel-plate composite modular wall nuclear “steel plate composite” diaphragm plate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“steel-concrete composite” module nuclear plant construction Westinghouse OR GE-Hitachi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 plate concrete composite wall modules “diaphragm plates” flow holes nuclear GE Hitachi Purdue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limestone calcined clay cement LC3 Scrivener EPFL patent WO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patents.google.com “calcined clay” limestone cement composition patent kaolinite clinker replacement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(US 8,906,155 B2; US 2014/0000491; KR 10-2843101 B1; US 2023/0312412 A1; WO 2022/043349 A1)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US20230312412A1 limestone calcined clay cement construction composition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(US 11,939,273 B2; US 2023/0202926 A1; US 2023/0036470 A1)</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 “increase of workability” binder … calcined clay limestone assignee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(EP 3925941 A1; EP 4168371; US 2025/0187980 A1)</w:t>
            </w:r>
          </w:p>
        </w:tc>
      </w:tr>
    </w:tbl>
    <w:p>
      <w:pPr>
        <w:pStyle w:val="BodyText"/>
        <w:rPr/>
      </w:pPr>
      <w:r>
        <w:rPr>
          <w:b/>
          <w:bCs/>
        </w:rPr>
        <w:t>Result for (ii).</w:t>
      </w:r>
      <w:r>
        <w:rPr/>
        <w:t xml:space="preserve"> 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 </w:t>
      </w:r>
      <w:r>
        <w:rPr>
          <w:b/>
          <w:bCs/>
        </w:rPr>
        <w:t>Gap: search Google Patents for “diaphragm plate” with assignee GE-Hitachi Nuclear Energy Americas when the host is reachable.</w:t>
      </w:r>
    </w:p>
    <w:p>
      <w:pPr>
        <w:pStyle w:val="Heading4"/>
        <w:rPr/>
      </w:pPr>
      <w:r>
        <w:rPr/>
        <w:t>E3. Patents kept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Title</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Year</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 to this report</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 (family WO 2019/005465 A1, CA 3067552 A1, JP 7234150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systems for nuclear reactor commercial electricity generation</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Nuclear Energy Americas LLC</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Filed 2017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passive decay-heat system behind the BWRX-300’s 7-day no-power claim (Section 3.1.2)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Reactor condition controlled check valve permits coolant to flow from a reservoir to an isolation condenser chamber</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 (search summary only); inventors named as Hunt, Dahlgren and Marquino</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Passive make-up of the condenser pool: how cooling extends beyond 7 days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 (EP 3906566)</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shafts and nuclear reactors using the same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 inventors include Kirby and McDonald (GE-Hitachi staff)</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below-grade shaft reactor building and the basemat poured at the bottom of the shaft (Section 3.1.2; C1’s infill location)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Clinker substitute based on calcined clay</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 (as listed)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Reported to cover calcined clays of lower kaolinite content (below 40%), which would widen the clay supply for LC³ (Section 3.1.5)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using low-temperature calcined clay (title as listed by ZKG)</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Listed by ZKG as LC³ using low-temperature calcined clay; details not seen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 (US 2023/0312412 A1; WO 2022/043349 A1)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(LC3) construction composition</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 GmbH</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Filed 2021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Admixture-modified LC³ binder: an admixture supplier is patenting LC³ compositions (Section 3.8)</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 (EP 3925941 A1)</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Method for the increase of workability of a binder composition comprising Portland cement, calcined clay, and limestone</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 AG</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Directly addresses the main RB.7 barrier: LC³ workability for self-consolidating DP-SC infill (Section 3.8)</w:t>
            </w:r>
          </w:p>
        </w:tc>
      </w:tr>
    </w:tbl>
    <w:p>
      <w:pPr>
        <w:pStyle w:val="BodyText"/>
        <w:rPr/>
      </w:pPr>
      <w:r>
        <w:rPr/>
        <w:t>Seven patents are kept. Excluded: US 11,139,087 and US 11,955,248 (isolation condenser and feedwater control; assignee not seen), US 11,842,821 (title and date inconsistent between summaries), and US 2023/0036470 A1 and US 2025/0187980 A1 (not LC³-specific).</w:t>
      </w:r>
    </w:p>
    <w:p>
      <w:pPr>
        <w:pStyle w:val="BodyText"/>
        <w:rPr/>
      </w:pPr>
      <w:r>
        <w:rPr>
          <w:b/>
          <w:bCs/>
        </w:rPr>
        <w:t>What the patents show (R1.3).</w:t>
      </w:r>
      <w:r>
        <w:rPr/>
        <w:t xml:space="preserve"> The BWRX-300’s distinctive systems (isolation condensers, shaft construction) sit in GEH’s own patent families. LC³ itself, developed through EPFL’s public research programme, appears in no core composition patent in these results. The patenting is around it: clay processing (Outotec) and </w:t>
      </w:r>
      <w:r>
        <w:rPr>
          <w:b/>
          <w:bCs/>
        </w:rPr>
        <w:t>admixtures for workability</w:t>
      </w:r>
      <w:r>
        <w:rPr/>
        <w:t xml:space="preserve"> (Sika,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p>
      <w:pPr>
        <w:pStyle w:val="Heading4"/>
        <w:rPr/>
      </w:pPr>
      <w:r>
        <w:rPr/>
        <w:t>E4. Literature searches (web-search substitute for Google Scholar)</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Topic</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String</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Kept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Radiation in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Field Remec Le Pape 2015 radiation effects in concrete … Nuclear Engineering and Design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Field, Remec and Le Pape (2015)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concrete decommissioning Eu-152 Co-60 biological shield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Greifswald shield study (HZDR); a Belgian BR3 decommissioning study</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Clearance and recycling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decommissioning concrete clearance recycling percentage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Thierfeldt (2019)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chloride and SCC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self-compacting concrete heat of hydration chloride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chloride study (2025); UniBw calcined-clay SCC</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heat of hydration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LC3 concrete heat of hydration lower than OPC semi-adiabatic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None LC³-specific (gap)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SCC rheology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self-compacting concrete limestone calcined clay cement superplasticizer demand rheology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UniBw; IIT Madras (2020)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L7</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residuals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copper tramp element accumulation steel scrap recycling EAF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2025 review of copper in steel scrap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RPV embrittlement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reactor pressure vessel steel SA-508 copper phosphorus irradiation embrittlement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(2023b); NRC RG 1.99 Rev. 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route intensity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worldsteel CO2 intensity BF-BOF … EAF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worldsteel (2025;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ANSTO Synroc … hot isostatic pressing</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ANSTO Synroc</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Projects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TVA Clinch River …; Linglong One …; HTR-PM …; NuScale US460 SDA …</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See </w:t>
            </w:r>
            <w:r>
              <w:rPr>
                <w:rStyle w:val="VerbatimChar"/>
                <w:rFonts w:eastAsia="Aptos" w:cs="Aptos"/>
                <w:kern w:val="0"/>
                <w:lang w:val="en-US"/>
              </w:rPr>
              <w:t>02_Research/briefs/technology-projects-trl.md</w:t>
            </w:r>
          </w:p>
        </w:tc>
      </w:tr>
    </w:tbl>
    <w:p>
      <w:pPr>
        <w:pStyle w:val="BodyText"/>
        <w:spacing w:before="180" w:after="180"/>
        <w:rPr/>
      </w:pPr>
      <w:r>
        <w:rPr/>
        <w:t>Literature sources are listed in the reference list.</w:t>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121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131">
          <wp:simplePos x="0" y="0"/>
          <wp:positionH relativeFrom="margin">
            <wp:posOffset>4845050</wp:posOffset>
          </wp:positionH>
          <wp:positionV relativeFrom="margin">
            <wp:posOffset>-457200</wp:posOffset>
          </wp:positionV>
          <wp:extent cx="887730" cy="318135"/>
          <wp:effectExtent l="0" t="0" r="0" b="0"/>
          <wp:wrapNone/>
          <wp:docPr id="59"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252">
          <wp:simplePos x="0" y="0"/>
          <wp:positionH relativeFrom="page">
            <wp:posOffset>752475</wp:posOffset>
          </wp:positionH>
          <wp:positionV relativeFrom="page">
            <wp:posOffset>314325</wp:posOffset>
          </wp:positionV>
          <wp:extent cx="1401445" cy="595630"/>
          <wp:effectExtent l="0" t="0" r="0" b="0"/>
          <wp:wrapNone/>
          <wp:docPr id="60"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9">
          <wp:simplePos x="0" y="0"/>
          <wp:positionH relativeFrom="page">
            <wp:posOffset>752475</wp:posOffset>
          </wp:positionH>
          <wp:positionV relativeFrom="page">
            <wp:posOffset>9858375</wp:posOffset>
          </wp:positionV>
          <wp:extent cx="1401445" cy="595630"/>
          <wp:effectExtent l="0" t="0" r="0" b="0"/>
          <wp:wrapNone/>
          <wp:docPr id="6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0"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0">
          <wp:simplePos x="0" y="0"/>
          <wp:positionH relativeFrom="margin">
            <wp:posOffset>4845050</wp:posOffset>
          </wp:positionH>
          <wp:positionV relativeFrom="margin">
            <wp:posOffset>9086850</wp:posOffset>
          </wp:positionV>
          <wp:extent cx="887730" cy="318135"/>
          <wp:effectExtent l="0" t="0" r="0" b="0"/>
          <wp:wrapSquare wrapText="bothSides"/>
          <wp:docPr id="6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9"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1"/>
    <w:lvlOverride w:ilvl="0">
      <w:startOverride w:val="1"/>
    </w:lvlOverride>
  </w:num>
  <w:num w:numId="22">
    <w:abstractNumId w:val="1"/>
    <w:lvlOverride w:ilvl="0">
      <w:startOverride w:val="1"/>
    </w:lvlOverride>
  </w:num>
  <w:num w:numId="23">
    <w:abstractNumId w:val="1"/>
  </w:num>
  <w:num w:numId="24">
    <w:abstractNumId w:val="1"/>
  </w:num>
  <w:num w:numId="25">
    <w:abstractNumId w:val="1"/>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1"/>
    <w:lvlOverride w:ilvl="0">
      <w:startOverride w:val="1"/>
    </w:lvlOverride>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 w:numId="47">
    <w:abstractNumId w:val="1"/>
  </w:num>
  <w:num w:numId="48">
    <w:abstractNumId w:val="1"/>
    <w:lvlOverride w:ilvl="0">
      <w:startOverride w:val="1"/>
    </w:lvlOverride>
  </w:num>
  <w:num w:numId="49">
    <w:abstractNumId w:val="1"/>
  </w:num>
  <w:num w:numId="50">
    <w:abstractNumId w:val="1"/>
  </w:num>
  <w:num w:numId="51">
    <w:abstractNumId w:val="1"/>
  </w:num>
  <w:num w:numId="52">
    <w:abstractNumId w:val="1"/>
  </w:num>
  <w:num w:numId="53">
    <w:abstractNumId w:val="1"/>
    <w:lvlOverride w:ilvl="0">
      <w:startOverride w:val="1"/>
    </w:lvlOverride>
  </w:num>
  <w:num w:numId="54">
    <w:abstractNumId w:val="1"/>
  </w:num>
  <w:num w:numId="55">
    <w:abstractNumId w:val="1"/>
  </w:num>
  <w:num w:numId="56">
    <w:abstractNumId w:val="1"/>
  </w:num>
  <w:num w:numId="57">
    <w:abstractNumId w:val="1"/>
    <w:lvlOverride w:ilvl="0">
      <w:startOverride w:val="1"/>
    </w:lvlOverride>
  </w:num>
  <w:num w:numId="58">
    <w:abstractNumId w:val="1"/>
  </w:num>
  <w:num w:numId="59">
    <w:abstractNumId w:val="1"/>
  </w:num>
  <w:num w:numId="60">
    <w:abstractNumId w:val="1"/>
  </w:num>
  <w:num w:numId="61">
    <w:abstractNumId w:val="1"/>
  </w:num>
  <w:num w:numId="62">
    <w:abstractNumId w:val="1"/>
    <w:lvlOverride w:ilvl="0">
      <w:startOverride w:val="1"/>
    </w:lvlOverride>
  </w:num>
  <w:num w:numId="63">
    <w:abstractNumId w:val="1"/>
  </w:num>
  <w:num w:numId="64">
    <w:abstractNumId w:val="1"/>
  </w:num>
  <w:num w:numId="65">
    <w:abstractNumId w:val="1"/>
  </w:num>
  <w:num w:numId="66">
    <w:abstractNumId w:val="1"/>
  </w:num>
  <w:num w:numId="67">
    <w:abstractNumId w:val="1"/>
    <w:lvlOverride w:ilvl="0">
      <w:startOverride w:val="1"/>
    </w:lvlOverride>
  </w:num>
  <w:num w:numId="68">
    <w:abstractNumId w:val="1"/>
  </w:num>
  <w:num w:numId="69">
    <w:abstractNumId w:val="1"/>
  </w:num>
  <w:num w:numId="70">
    <w:abstractNumId w:val="1"/>
  </w:num>
  <w:num w:numId="71">
    <w:abstractNumId w:val="1"/>
  </w:num>
  <w:num w:numId="72">
    <w:abstractNumId w:val="3"/>
  </w:num>
  <w:num w:numId="73">
    <w:abstractNumId w:val="3"/>
  </w:num>
  <w:num w:numId="74">
    <w:abstractNumId w:val="3"/>
  </w:num>
  <w:num w:numId="75">
    <w:abstractNumId w:val="1"/>
    <w:lvlOverride w:ilvl="0">
      <w:startOverride w:val="1"/>
    </w:lvlOverride>
  </w:num>
  <w:num w:numId="76">
    <w:abstractNumId w:val="1"/>
  </w:num>
  <w:num w:numId="77">
    <w:abstractNumId w:val="1"/>
  </w:num>
  <w:num w:numId="78">
    <w:abstractNumId w:val="1"/>
  </w:num>
  <w:num w:numId="79">
    <w:abstractNumId w:val="1"/>
  </w:num>
  <w:num w:numId="80">
    <w:abstractNumId w:val="1"/>
  </w:num>
  <w:num w:numId="81">
    <w:abstractNumId w:val="1"/>
    <w:lvlOverride w:ilvl="0">
      <w:startOverride w:val="1"/>
    </w:lvlOverride>
  </w:num>
  <w:num w:numId="82">
    <w:abstractNumId w:val="1"/>
  </w:num>
  <w:num w:numId="83">
    <w:abstractNumId w:val="1"/>
  </w:num>
  <w:num w:numId="84">
    <w:abstractNumId w:val="3"/>
  </w:num>
  <w:num w:numId="85">
    <w:abstractNumId w:val="3"/>
  </w:num>
  <w:num w:numId="86">
    <w:abstractNumId w:val="3"/>
  </w:num>
  <w:num w:numId="87">
    <w:abstractNumId w:val="3"/>
  </w:num>
  <w:num w:numId="88">
    <w:abstractNumId w:val="3"/>
  </w:num>
  <w:num w:numId="89">
    <w:abstractNumId w:val="3"/>
  </w:num>
  <w:num w:numId="90">
    <w:abstractNumId w:val="3"/>
  </w:num>
  <w:num w:numId="91">
    <w:abstractNumId w:val="3"/>
  </w:num>
  <w:num w:numId="92">
    <w:abstractNumId w:val="3"/>
  </w:num>
  <w:num w:numId="93">
    <w:abstractNumId w:val="3"/>
  </w:num>
  <w:num w:numId="94">
    <w:abstractNumId w:val="3"/>
  </w:num>
  <w:num w:numId="95">
    <w:abstractNumId w:val="1"/>
    <w:lvlOverride w:ilvl="0">
      <w:startOverride w:val="1"/>
    </w:lvlOverride>
  </w:num>
  <w:num w:numId="96">
    <w:abstractNumId w:val="1"/>
  </w:num>
  <w:num w:numId="97">
    <w:abstractNumId w:val="1"/>
  </w:num>
  <w:num w:numId="98">
    <w:abstractNumId w:val="1"/>
  </w:num>
  <w:num w:numId="99">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60" w:after="6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60" w:after="6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60" w:after="6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595959" w:sz="8" w:space="0"/>
        <w:bottom w:val="single" w:color="595959" w:sz="8" w:space="0"/>
        <w:insideH w:val="single" w:color="D0D7DE" w:sz="4"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122</Pages>
  <Words>35835</Words>
  <Characters>196787</Characters>
  <CharactersWithSpaces>227659</CharactersWithSpaces>
  <Paragraphs>3973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2026-10-25T12:01:14Z</dcterms:created>
  <dc:creator/>
  <dc:description/>
  <dc:language>en-US</dc:language>
  <cp:lastModifiedBy/>
  <dcterms:modified xsi:type="dcterms:W3CDTF">2026-10-25T12:01:21Z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