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4.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
    <w:p>
      <w:pPr>
        <w:pStyle w:val="Heading3"/>
      </w:pPr>
      <w:r>
        <w:t xml:space="preserve">4.1 Technology, projects and patents</w:t>
      </w:r>
    </w:p>
    <w:p>
      <w:pPr>
        <w:pStyle w:val="FirstParagraph"/>
      </w:pPr>
      <w:r>
        <w:rPr>
          <w:bCs/>
          <w:b/>
        </w:rPr>
        <w:t xml:space="preserve">No light-water SMR is yet reported operating on land; the BWRX-300 is the Western design closest to doing so, and China’s ACP100 (Linglong One) was still in commissioning, with no criticality reported, in May 2026.</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4"/>
    <w:bookmarkStart w:id="25" w:name="the-bwrx-300-at-darlington"/>
    <w:p>
      <w:pPr>
        <w:pStyle w:val="Heading3"/>
      </w:pPr>
      <w:r>
        <w:t xml:space="preserve">4.2 The BWRX-300 at Darlington</w:t>
      </w:r>
    </w:p>
    <w:p>
      <w:pPr>
        <w:pStyle w:val="FirstParagraph"/>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materials-from-extraction-to-end-of-life"/>
    <w:p>
      <w:pPr>
        <w:pStyle w:val="Heading2"/>
      </w:pPr>
      <w:r>
        <w:t xml:space="preserve">5 Materials from extraction to end-of-life</w:t>
      </w:r>
    </w:p>
    <w:p>
      <w:pPr>
        <w:pStyle w:val="FirstParagraph"/>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8"/>
    <w:bookmarkStart w:id="49" w:name="life-cycle-assessment-and-eco-audit"/>
    <w:p>
      <w:pPr>
        <w:pStyle w:val="Heading2"/>
      </w:pPr>
      <w:r>
        <w:t xml:space="preserve">6 Life-cycle assessment and eco-audit</w:t>
      </w:r>
    </w:p>
    <w:p>
      <w:pPr>
        <w:pStyle w:val="FirstParagraph"/>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1"/>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1"/>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1"/>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1"/>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2"/>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2"/>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2"/>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7"/>
    <w:bookmarkStart w:id="44"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0"/>
    <w:bookmarkStart w:id="54"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9" w:name="Xabf1823ab98fa71e358698492c3b3ca10e02619"/>
    <w:p>
      <w:pPr>
        <w:pStyle w:val="Heading2"/>
      </w:pPr>
      <w:r>
        <w:t xml:space="preserve">8 Non-technical factors affecting translation to practice</w:t>
      </w:r>
    </w:p>
    <w:bookmarkStart w:id="60"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0"/>
    <w:bookmarkStart w:id="61"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1"/>
    <w:bookmarkStart w:id="62"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2"/>
    <w:bookmarkStart w:id="63"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3"/>
    <w:bookmarkStart w:id="67"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5" name="Picture"/>
            <a:graphic>
              <a:graphicData uri="http://schemas.openxmlformats.org/drawingml/2006/picture">
                <pic:pic>
                  <pic:nvPicPr>
                    <pic:cNvPr descr="/home/user/MTE4593-Group-Assignment/03_LCA_Calculations/results/F8_stakeholder_map.png" id="66" name="Picture"/>
                    <pic:cNvPicPr>
                      <a:picLocks noChangeArrowheads="1" noChangeAspect="1"/>
                    </pic:cNvPicPr>
                  </pic:nvPicPr>
                  <pic:blipFill>
                    <a:blip r:embed="rId64"/>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7"/>
    <w:bookmarkStart w:id="68"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8"/>
    <w:bookmarkEnd w:id="69"/>
    <w:bookmarkStart w:id="73"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0"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0.36%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70"/>
    <w:bookmarkStart w:id="71"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1"/>
    <w:bookmarkStart w:id="72"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2"/>
    <w:bookmarkEnd w:id="73"/>
    <w:bookmarkStart w:id="74" w:name="future-material-properties-and-processes"/>
    <w:p>
      <w:pPr>
        <w:pStyle w:val="Heading2"/>
      </w:pPr>
      <w:r>
        <w:t xml:space="preserve">10 Future material properties and processes</w:t>
      </w:r>
    </w:p>
    <w:p>
      <w:pPr>
        <w:pStyle w:val="FirstParagraph"/>
      </w:pPr>
      <w:r>
        <w:rPr>
          <w:bCs/>
          <w:b/>
        </w:rPr>
        <w:t xml:space="preserve">C1 and the levers beyond it each depend on a property or process still to be proven (Table T15).</w:t>
      </w:r>
    </w:p>
    <w:p>
      <w:pPr>
        <w:pStyle w:val="BodyText"/>
      </w:pPr>
      <w:r>
        <w:rPr>
          <w:iCs/>
          <w:i/>
        </w:rPr>
        <w:t xml:space="preserve">Table T15.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4"/>
    <w:bookmarkStart w:id="75"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5"/>
    <w:bookmarkStart w:id="78"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6"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6"/>
    <w:bookmarkStart w:id="77"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7"/>
    <w:bookmarkEnd w:id="78"/>
    <w:bookmarkStart w:id="79"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9"/>
    <w:bookmarkStart w:id="146" w:name="appendices"/>
    <w:p>
      <w:pPr>
        <w:pStyle w:val="Heading1"/>
      </w:pPr>
      <w:r>
        <w:t xml:space="preserve">Appendices</w:t>
      </w:r>
    </w:p>
    <w:bookmarkStart w:id="89" w:name="Xddcc31d2d3503f687b8b233cd4a745104a63a5c"/>
    <w:p>
      <w:pPr>
        <w:pStyle w:val="Heading2"/>
      </w:pPr>
      <w:r>
        <w:t xml:space="preserve">Appendix A. LCA inventory and calculations</w:t>
      </w:r>
    </w:p>
    <w:p>
      <w:pPr>
        <w:pStyle w:val="FirstParagraph"/>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0"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0"/>
    <w:bookmarkStart w:id="81"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1"/>
    <w:bookmarkStart w:id="82"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2"/>
    <w:bookmarkStart w:id="83"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3"/>
    <w:bookmarkStart w:id="84"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4"/>
    <w:bookmarkStart w:id="85"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5"/>
    <w:bookmarkStart w:id="86"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6"/>
    <w:bookmarkStart w:id="87"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7"/>
    <w:bookmarkStart w:id="88"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8"/>
    <w:bookmarkEnd w:id="89"/>
    <w:bookmarkStart w:id="13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4"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0"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0"/>
    <w:bookmarkStart w:id="91"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1"/>
    <w:bookmarkStart w:id="92"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2"/>
    <w:bookmarkStart w:id="93"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3"/>
    <w:bookmarkEnd w:id="94"/>
    <w:bookmarkStart w:id="101"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5"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5"/>
    <w:bookmarkStart w:id="96"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6"/>
    <w:bookmarkStart w:id="97"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7"/>
    <w:bookmarkStart w:id="98"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8"/>
    <w:bookmarkStart w:id="99"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9"/>
    <w:bookmarkStart w:id="100"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0"/>
    <w:bookmarkEnd w:id="101"/>
    <w:bookmarkStart w:id="103"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2"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2"/>
    <w:bookmarkEnd w:id="103"/>
    <w:bookmarkStart w:id="107"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4"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4"/>
    <w:bookmarkStart w:id="105"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5"/>
    <w:bookmarkStart w:id="106"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6"/>
    <w:bookmarkEnd w:id="107"/>
    <w:bookmarkStart w:id="11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8"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8"/>
    <w:bookmarkStart w:id="109"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9"/>
    <w:bookmarkStart w:id="110"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0"/>
    <w:bookmarkStart w:id="111"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1"/>
    <w:bookmarkStart w:id="11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2"/>
    <w:bookmarkStart w:id="113"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3"/>
    <w:bookmarkEnd w:id="114"/>
    <w:bookmarkStart w:id="11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5"/>
    <w:bookmarkStart w:id="11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6"/>
    <w:bookmarkStart w:id="117"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7"/>
    <w:bookmarkStart w:id="118"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8"/>
    <w:bookmarkEnd w:id="119"/>
    <w:bookmarkStart w:id="126"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0"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0"/>
    <w:bookmarkStart w:id="121"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1"/>
    <w:bookmarkStart w:id="122"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2"/>
    <w:bookmarkStart w:id="123"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3"/>
    <w:bookmarkStart w:id="124"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4"/>
    <w:bookmarkStart w:id="125"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5"/>
    <w:bookmarkEnd w:id="126"/>
    <w:bookmarkStart w:id="131"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7"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7"/>
    <w:bookmarkStart w:id="128"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8"/>
    <w:bookmarkStart w:id="129"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9"/>
    <w:bookmarkStart w:id="130"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0"/>
    <w:bookmarkEnd w:id="131"/>
    <w:bookmarkEnd w:id="132"/>
    <w:bookmarkStart w:id="140"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3"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3"/>
    <w:bookmarkStart w:id="13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4"/>
    <w:bookmarkStart w:id="135"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5"/>
    <w:bookmarkStart w:id="13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6"/>
    <w:bookmarkStart w:id="137"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7"/>
    <w:bookmarkStart w:id="138"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8"/>
    <w:bookmarkStart w:id="139"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39"/>
    <w:bookmarkEnd w:id="140"/>
    <w:bookmarkStart w:id="145" w:name="appendix-e.-search-log"/>
    <w:p>
      <w:pPr>
        <w:pStyle w:val="Heading2"/>
      </w:pPr>
      <w:r>
        <w:t xml:space="preserve">Appendix E. Search log</w:t>
      </w:r>
    </w:p>
    <w:p>
      <w:pPr>
        <w:pStyle w:val="FirstParagraph"/>
      </w:pPr>
      <w:r>
        <w:rPr>
          <w:iCs/>
          <w:i/>
        </w:rPr>
        <w:t xml:space="preserve">Drafted for Leroy; Leroy may reclaim.</w:t>
      </w:r>
    </w:p>
    <w:bookmarkStart w:id="141"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1"/>
    <w:bookmarkStart w:id="142"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2"/>
    <w:bookmarkStart w:id="143"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3"/>
    <w:bookmarkStart w:id="144"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4"/>
    <w:bookmarkEnd w:id="145"/>
    <w:bookmarkEnd w:id="146"/>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2026-10-25T09:34:35Z</dcterms:created>
  <dcterms:modified xsi:type="dcterms:W3CDTF">2026-10-25T09:34:35Z</dcterms:modified>
</cp:coreProperties>
</file>

<file path=docProps/custom.xml><?xml version="1.0" encoding="utf-8"?>
<Properties xmlns="http://schemas.openxmlformats.org/officeDocument/2006/custom-properties" xmlns:vt="http://schemas.openxmlformats.org/officeDocument/2006/docPropsVTypes"/>
</file>