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ADD SURNAME (ADD STUDENT ID), Victor Clarke (ADD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2"/>
        <w:spacing w:before="0" w:after="120"/>
        <w:rPr/>
      </w:pPr>
      <w:bookmarkStart w:id="0" w:name="__RefHeading___Toc52910_3211584216"/>
      <w:bookmarkStart w:id="1" w:name="X2dfb1858b493784faa8b63dddf1eba57828d596"/>
      <w:bookmarkEnd w:id="0"/>
      <w:bookmarkEnd w:id="1"/>
      <w:r>
        <w:rPr/>
        <w:t>Team review checklist (this page is removed in the submission version)</w:t>
      </w:r>
    </w:p>
    <w:p>
      <w:pPr>
        <w:pStyle w:val="FirstParagraph"/>
        <w:rPr/>
      </w:pPr>
      <w:r>
        <w:rPr>
          <w:rStyle w:val="TeamNote"/>
        </w:rPr>
        <w:t>Highlighted notes like this one mark what is still needed. Everything else is complete and fact-checked.</w:t>
      </w:r>
    </w:p>
    <w:p>
      <w:pPr>
        <w:pStyle w:val="BodyText"/>
        <w:rPr/>
      </w:pPr>
      <w:r>
        <w:rPr>
          <w:b/>
          <w:bCs/>
        </w:rPr>
        <w:t>Leroy: Granta EduPack</w:t>
      </w:r>
      <w:r>
        <w:rPr/>
        <w:t xml:space="preserve"> (the only open technical item)</w:t>
      </w:r>
    </w:p>
    <w:p>
      <w:pPr>
        <w:pStyle w:val="Compact"/>
        <w:numPr>
          <w:ilvl w:val="0"/>
          <w:numId w:val="1"/>
        </w:numPr>
        <w:rPr/>
      </w:pPr>
      <w:r>
        <w:rPr/>
        <w:t>Run the Granta EduPack Eco Audit as set out in the note at the top of Section 3.2, and send the results (screenshots or export).</w:t>
      </w:r>
    </w:p>
    <w:p>
      <w:pPr>
        <w:pStyle w:val="Compact"/>
        <w:numPr>
          <w:ilvl w:val="0"/>
          <w:numId w:val="1"/>
        </w:numPr>
        <w:rPr/>
      </w:pPr>
      <w:r>
        <w:rPr/>
        <w:t>The results go in Section 3.2, Appendix A9 and one sentence in Section 2. The report currently says Granta was planned but not completed.</w:t>
      </w:r>
    </w:p>
    <w:p>
      <w:pPr>
        <w:pStyle w:val="FirstParagraph"/>
        <w:rPr/>
      </w:pPr>
      <w:r>
        <w:rPr>
          <w:b/>
          <w:bCs/>
        </w:rPr>
        <w:t>Everyone</w:t>
      </w:r>
    </w:p>
    <w:p>
      <w:pPr>
        <w:pStyle w:val="Compact"/>
        <w:numPr>
          <w:ilvl w:val="0"/>
          <w:numId w:val="24"/>
        </w:numPr>
        <w:rPr/>
      </w:pPr>
      <w:r>
        <w:rPr/>
        <w:t>Title page: Victor’s and Sam’s student IDs, and Sam’s surname (Leroy’s is in).</w:t>
      </w:r>
    </w:p>
    <w:p>
      <w:pPr>
        <w:pStyle w:val="Compact"/>
        <w:numPr>
          <w:ilvl w:val="0"/>
          <w:numId w:val="25"/>
        </w:numPr>
        <w:rPr/>
      </w:pPr>
      <w:r>
        <w:rPr/>
        <w:t>Agree the AI-use declaration wording (placeholder before the appendices).</w:t>
      </w:r>
    </w:p>
    <w:p>
      <w:pPr>
        <w:pStyle w:val="FirstParagraph"/>
        <w:rPr/>
      </w:pPr>
      <w:r>
        <w:rPr>
          <w:b/>
          <w:bCs/>
        </w:rPr>
        <w:t>Victor (before submitting)</w:t>
      </w:r>
    </w:p>
    <w:p>
      <w:pPr>
        <w:pStyle w:val="Compact"/>
        <w:numPr>
          <w:ilvl w:val="0"/>
          <w:numId w:val="26"/>
        </w:numPr>
        <w:rPr/>
      </w:pPr>
      <w:r>
        <w:rPr/>
        <w:t>Update the table of contents in Word (right-click, Update Field).</w:t>
      </w:r>
    </w:p>
    <w:p>
      <w:pPr>
        <w:pStyle w:val="normal1"/>
        <w:rPr/>
      </w:pPr>
      <w:r>
        <w:rPr/>
      </w:r>
      <w:bookmarkStart w:id="2" w:name="X2dfb1858b493784faa8b63dddf1eba57828d596"/>
      <w:bookmarkStart w:id="3" w:name="X2dfb1858b493784faa8b63dddf1eba57828d596"/>
      <w:bookmarkEnd w:id="3"/>
      <w:r>
        <w:br w:type="page"/>
      </w:r>
    </w:p>
    <w:p>
      <w:pPr>
        <w:pStyle w:val="Heading1"/>
        <w:spacing w:before="0" w:after="120"/>
        <w:rPr/>
      </w:pPr>
      <w:bookmarkStart w:id="4" w:name="__RefHeading___Toc52912_3211584216"/>
      <w:bookmarkStart w:id="5" w:name="abstract"/>
      <w:bookmarkEnd w:id="4"/>
      <w:bookmarkEnd w:id="5"/>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bookmarkStart w:id="6" w:name="__RefHeading___Toc52914_3211584216"/>
      <w:bookmarkEnd w:id="6"/>
      <w:r>
        <w:rPr/>
        <w:t>Table of Contents</w:t>
      </w:r>
    </w:p>
    <w:sdt>
      <w:sdtPr>
        <w:docPartObj>
          <w:docPartGallery w:val="Table of Contents"/>
          <w:docPartUnique w:val="true"/>
        </w:docPartObj>
      </w:sdtPr>
      <w:sdtContent>
        <w:p>
          <w:pPr>
            <w:pStyle w:val="TOC2"/>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52910_3211584216">
            <w:r>
              <w:rPr>
                <w:webHidden/>
                <w:rStyle w:val="IndexLink"/>
              </w:rPr>
              <w:t>Team review checklist (this page is removed in the submission version)</w:t>
              <w:tab/>
              <w:t>1</w:t>
            </w:r>
          </w:hyperlink>
        </w:p>
        <w:p>
          <w:pPr>
            <w:pStyle w:val="TOC1"/>
            <w:tabs>
              <w:tab w:val="clear" w:pos="9026"/>
              <w:tab w:val="right" w:pos="9025" w:leader="dot"/>
            </w:tabs>
            <w:rPr/>
          </w:pPr>
          <w:hyperlink w:anchor="__RefHeading___Toc52912_3211584216">
            <w:r>
              <w:rPr>
                <w:webHidden/>
                <w:rStyle w:val="IndexLink"/>
              </w:rPr>
              <w:t>Abstract</w:t>
              <w:tab/>
              <w:t>2</w:t>
            </w:r>
          </w:hyperlink>
        </w:p>
        <w:p>
          <w:pPr>
            <w:pStyle w:val="TOC1"/>
            <w:tabs>
              <w:tab w:val="clear" w:pos="9026"/>
              <w:tab w:val="right" w:pos="9025" w:leader="dot"/>
            </w:tabs>
            <w:rPr/>
          </w:pPr>
          <w:hyperlink w:anchor="__RefHeading___Toc52914_3211584216">
            <w:r>
              <w:rPr>
                <w:webHidden/>
                <w:rStyle w:val="IndexLink"/>
              </w:rPr>
              <w:t>Table of Contents</w:t>
              <w:tab/>
              <w:t>3</w:t>
            </w:r>
          </w:hyperlink>
        </w:p>
        <w:p>
          <w:pPr>
            <w:pStyle w:val="TOC1"/>
            <w:tabs>
              <w:tab w:val="clear" w:pos="9026"/>
              <w:tab w:val="right" w:pos="9025" w:leader="dot"/>
            </w:tabs>
            <w:rPr/>
          </w:pPr>
          <w:hyperlink w:anchor="__RefHeading___Toc52916_3211584216">
            <w:r>
              <w:rPr>
                <w:webHidden/>
                <w:rStyle w:val="IndexLink"/>
              </w:rPr>
              <w:t>1 Introduction</w:t>
              <w:tab/>
              <w:t>5</w:t>
            </w:r>
          </w:hyperlink>
        </w:p>
        <w:p>
          <w:pPr>
            <w:pStyle w:val="TOC1"/>
            <w:tabs>
              <w:tab w:val="clear" w:pos="9026"/>
              <w:tab w:val="right" w:pos="9025" w:leader="dot"/>
            </w:tabs>
            <w:rPr/>
          </w:pPr>
          <w:hyperlink w:anchor="__RefHeading___Toc52918_3211584216">
            <w:r>
              <w:rPr>
                <w:webHidden/>
                <w:rStyle w:val="IndexLink"/>
              </w:rPr>
              <w:t>2 Data Sources/Methodology</w:t>
              <w:tab/>
              <w:t>5</w:t>
            </w:r>
          </w:hyperlink>
        </w:p>
        <w:p>
          <w:pPr>
            <w:pStyle w:val="TOC1"/>
            <w:tabs>
              <w:tab w:val="clear" w:pos="9026"/>
              <w:tab w:val="right" w:pos="9025" w:leader="dot"/>
            </w:tabs>
            <w:rPr/>
          </w:pPr>
          <w:hyperlink w:anchor="__RefHeading___Toc52920_3211584216">
            <w:r>
              <w:rPr>
                <w:webHidden/>
                <w:rStyle w:val="IndexLink"/>
              </w:rPr>
              <w:t>3 Discussion</w:t>
              <w:tab/>
              <w:t>7</w:t>
            </w:r>
          </w:hyperlink>
        </w:p>
        <w:p>
          <w:pPr>
            <w:pStyle w:val="TOC2"/>
            <w:tabs>
              <w:tab w:val="clear" w:pos="9026"/>
              <w:tab w:val="right" w:pos="9025" w:leader="dot"/>
            </w:tabs>
            <w:rPr/>
          </w:pPr>
          <w:hyperlink w:anchor="__RefHeading___Toc52922_3211584216">
            <w:r>
              <w:rPr>
                <w:webHidden/>
                <w:rStyle w:val="IndexLink"/>
              </w:rPr>
              <w:t>3.1 Overview of SMR</w:t>
              <w:tab/>
              <w:t>7</w:t>
            </w:r>
          </w:hyperlink>
        </w:p>
        <w:p>
          <w:pPr>
            <w:pStyle w:val="TOC3"/>
            <w:tabs>
              <w:tab w:val="clear" w:pos="9026"/>
              <w:tab w:val="right" w:pos="9025" w:leader="dot"/>
            </w:tabs>
            <w:rPr/>
          </w:pPr>
          <w:hyperlink w:anchor="__RefHeading___Toc52924_3211584216">
            <w:r>
              <w:rPr>
                <w:webHidden/>
                <w:rStyle w:val="IndexLink"/>
              </w:rPr>
              <w:t>3.1.1 Current Projects and Patents</w:t>
              <w:tab/>
              <w:t>7</w:t>
            </w:r>
          </w:hyperlink>
        </w:p>
        <w:p>
          <w:pPr>
            <w:pStyle w:val="TOC3"/>
            <w:tabs>
              <w:tab w:val="clear" w:pos="9026"/>
              <w:tab w:val="right" w:pos="9025" w:leader="dot"/>
            </w:tabs>
            <w:rPr/>
          </w:pPr>
          <w:hyperlink w:anchor="__RefHeading___Toc52926_3211584216">
            <w:r>
              <w:rPr>
                <w:webHidden/>
                <w:rStyle w:val="IndexLink"/>
              </w:rPr>
              <w:t>3.1.2 Technical Descriptions: the BWRX-300 at Darlington</w:t>
              <w:tab/>
              <w:t>8</w:t>
            </w:r>
          </w:hyperlink>
        </w:p>
        <w:p>
          <w:pPr>
            <w:pStyle w:val="TOC3"/>
            <w:tabs>
              <w:tab w:val="clear" w:pos="9026"/>
              <w:tab w:val="right" w:pos="9025" w:leader="dot"/>
            </w:tabs>
            <w:rPr/>
          </w:pPr>
          <w:hyperlink w:anchor="__RefHeading___Toc52928_3211584216">
            <w:r>
              <w:rPr>
                <w:webHidden/>
                <w:rStyle w:val="IndexLink"/>
              </w:rPr>
              <w:t>3.1.3 Barriers to cutting emissions with small modular reactors</w:t>
              <w:tab/>
              <w:t>9</w:t>
            </w:r>
          </w:hyperlink>
        </w:p>
        <w:p>
          <w:pPr>
            <w:pStyle w:val="TOC3"/>
            <w:tabs>
              <w:tab w:val="clear" w:pos="9026"/>
              <w:tab w:val="right" w:pos="9025" w:leader="dot"/>
            </w:tabs>
            <w:rPr/>
          </w:pPr>
          <w:hyperlink w:anchor="__RefHeading___Toc52930_3211584216">
            <w:r>
              <w:rPr>
                <w:webHidden/>
                <w:rStyle w:val="IndexLink"/>
              </w:rPr>
              <w:t>3.1.4 The initiative: low-clinker concrete for the Darlington Units 2–4 infill</w:t>
              <w:tab/>
              <w:t>10</w:t>
            </w:r>
          </w:hyperlink>
        </w:p>
        <w:p>
          <w:pPr>
            <w:pStyle w:val="TOC3"/>
            <w:tabs>
              <w:tab w:val="clear" w:pos="9026"/>
              <w:tab w:val="right" w:pos="9025" w:leader="dot"/>
            </w:tabs>
            <w:rPr/>
          </w:pPr>
          <w:hyperlink w:anchor="__RefHeading___Toc52932_3211584216">
            <w:r>
              <w:rPr>
                <w:webHidden/>
                <w:rStyle w:val="IndexLink"/>
              </w:rPr>
              <w:t>3.1.5 Materials from extraction to end-of-life</w:t>
              <w:tab/>
              <w:t>11</w:t>
            </w:r>
          </w:hyperlink>
        </w:p>
        <w:p>
          <w:pPr>
            <w:pStyle w:val="TOC2"/>
            <w:tabs>
              <w:tab w:val="clear" w:pos="9026"/>
              <w:tab w:val="right" w:pos="9025" w:leader="dot"/>
            </w:tabs>
            <w:rPr/>
          </w:pPr>
          <w:hyperlink w:anchor="__RefHeading___Toc52934_3211584216">
            <w:r>
              <w:rPr>
                <w:webHidden/>
                <w:rStyle w:val="IndexLink"/>
              </w:rPr>
              <w:t>3.2 Lifecycle Analysis</w:t>
              <w:tab/>
              <w:t>12</w:t>
            </w:r>
          </w:hyperlink>
        </w:p>
        <w:p>
          <w:pPr>
            <w:pStyle w:val="TOC3"/>
            <w:tabs>
              <w:tab w:val="clear" w:pos="9026"/>
              <w:tab w:val="right" w:pos="9025" w:leader="dot"/>
            </w:tabs>
            <w:rPr/>
          </w:pPr>
          <w:hyperlink w:anchor="__RefHeading___Toc52936_3211584216">
            <w:r>
              <w:rPr>
                <w:webHidden/>
                <w:rStyle w:val="IndexLink"/>
              </w:rPr>
              <w:t>3.2.1 Goal, scope and method</w:t>
              <w:tab/>
              <w:t>13</w:t>
            </w:r>
          </w:hyperlink>
        </w:p>
        <w:p>
          <w:pPr>
            <w:pStyle w:val="TOC3"/>
            <w:tabs>
              <w:tab w:val="clear" w:pos="9026"/>
              <w:tab w:val="right" w:pos="9025" w:leader="dot"/>
            </w:tabs>
            <w:rPr/>
          </w:pPr>
          <w:hyperlink w:anchor="__RefHeading___Toc52938_3211584216">
            <w:r>
              <w:rPr>
                <w:webHidden/>
                <w:rStyle w:val="IndexLink"/>
              </w:rPr>
              <w:t>3.2.2 Baseline and hotspots</w:t>
              <w:tab/>
              <w:t>14</w:t>
            </w:r>
          </w:hyperlink>
        </w:p>
        <w:p>
          <w:pPr>
            <w:pStyle w:val="TOC3"/>
            <w:tabs>
              <w:tab w:val="clear" w:pos="9026"/>
              <w:tab w:val="right" w:pos="9025" w:leader="dot"/>
            </w:tabs>
            <w:rPr/>
          </w:pPr>
          <w:hyperlink w:anchor="__RefHeading___Toc52940_3211584216">
            <w:r>
              <w:rPr>
                <w:webHidden/>
                <w:rStyle w:val="IndexLink"/>
              </w:rPr>
              <w:t>3.2.3 The initiative against the baseline</w:t>
              <w:tab/>
              <w:t>15</w:t>
            </w:r>
          </w:hyperlink>
        </w:p>
        <w:p>
          <w:pPr>
            <w:pStyle w:val="TOC3"/>
            <w:tabs>
              <w:tab w:val="clear" w:pos="9026"/>
              <w:tab w:val="right" w:pos="9025" w:leader="dot"/>
            </w:tabs>
            <w:rPr/>
          </w:pPr>
          <w:hyperlink w:anchor="__RefHeading___Toc52942_3211584216">
            <w:r>
              <w:rPr>
                <w:webHidden/>
                <w:rStyle w:val="IndexLink"/>
              </w:rPr>
              <w:t>3.2.4 Uncertainty: tornado and Monte Carlo</w:t>
              <w:tab/>
              <w:t>16</w:t>
            </w:r>
          </w:hyperlink>
        </w:p>
        <w:p>
          <w:pPr>
            <w:pStyle w:val="TOC3"/>
            <w:tabs>
              <w:tab w:val="clear" w:pos="9026"/>
              <w:tab w:val="right" w:pos="9025" w:leader="dot"/>
            </w:tabs>
            <w:rPr/>
          </w:pPr>
          <w:hyperlink w:anchor="__RefHeading___Toc52944_3211584216">
            <w:r>
              <w:rPr>
                <w:webHidden/>
                <w:rStyle w:val="IndexLink"/>
              </w:rPr>
              <w:t>3.2.5 Comparison with published values</w:t>
              <w:tab/>
              <w:t>17</w:t>
            </w:r>
          </w:hyperlink>
        </w:p>
        <w:p>
          <w:pPr>
            <w:pStyle w:val="TOC2"/>
            <w:tabs>
              <w:tab w:val="clear" w:pos="9026"/>
              <w:tab w:val="right" w:pos="9025" w:leader="dot"/>
            </w:tabs>
            <w:rPr/>
          </w:pPr>
          <w:hyperlink w:anchor="__RefHeading___Toc52946_3211584216">
            <w:r>
              <w:rPr>
                <w:webHidden/>
                <w:rStyle w:val="IndexLink"/>
              </w:rPr>
              <w:t>3.3 National Strategies and Industrial Policies: Carbon Avoided in Ontario and Australia</w:t>
              <w:tab/>
              <w:t>18</w:t>
            </w:r>
          </w:hyperlink>
        </w:p>
        <w:p>
          <w:pPr>
            <w:pStyle w:val="TOC3"/>
            <w:tabs>
              <w:tab w:val="clear" w:pos="9026"/>
              <w:tab w:val="right" w:pos="9025" w:leader="dot"/>
            </w:tabs>
            <w:rPr/>
          </w:pPr>
          <w:hyperlink w:anchor="__RefHeading___Toc52948_3211584216">
            <w:r>
              <w:rPr>
                <w:webHidden/>
                <w:rStyle w:val="IndexLink"/>
              </w:rPr>
              <w:t>3.3.1 The value of schedule</w:t>
              <w:tab/>
              <w:t>18</w:t>
            </w:r>
          </w:hyperlink>
        </w:p>
        <w:p>
          <w:pPr>
            <w:pStyle w:val="TOC3"/>
            <w:tabs>
              <w:tab w:val="clear" w:pos="9026"/>
              <w:tab w:val="right" w:pos="9025" w:leader="dot"/>
            </w:tabs>
            <w:rPr/>
          </w:pPr>
          <w:hyperlink w:anchor="__RefHeading___Toc52950_3211584216">
            <w:r>
              <w:rPr>
                <w:webHidden/>
                <w:rStyle w:val="IndexLink"/>
              </w:rPr>
              <w:t>3.3.2 What one BWRX-300 displaces: Darlington vs Liddell</w:t>
              <w:tab/>
              <w:t>19</w:t>
            </w:r>
          </w:hyperlink>
        </w:p>
        <w:p>
          <w:pPr>
            <w:pStyle w:val="TOC3"/>
            <w:tabs>
              <w:tab w:val="clear" w:pos="9026"/>
              <w:tab w:val="right" w:pos="9025" w:leader="dot"/>
            </w:tabs>
            <w:rPr/>
          </w:pPr>
          <w:hyperlink w:anchor="__RefHeading___Toc52952_3211584216">
            <w:r>
              <w:rPr>
                <w:webHidden/>
                <w:rStyle w:val="IndexLink"/>
              </w:rPr>
              <w:t>3.3.3 The same money on firmed renewables</w:t>
              <w:tab/>
              <w:t>20</w:t>
            </w:r>
          </w:hyperlink>
        </w:p>
        <w:p>
          <w:pPr>
            <w:pStyle w:val="TOC2"/>
            <w:tabs>
              <w:tab w:val="clear" w:pos="9026"/>
              <w:tab w:val="right" w:pos="9025" w:leader="dot"/>
            </w:tabs>
            <w:rPr/>
          </w:pPr>
          <w:hyperlink w:anchor="__RefHeading___Toc52954_3211584216">
            <w:r>
              <w:rPr>
                <w:webHidden/>
                <w:rStyle w:val="IndexLink"/>
              </w:rPr>
              <w:t>3.4 Stakeholder Analysis</w:t>
              <w:tab/>
              <w:t>21</w:t>
            </w:r>
          </w:hyperlink>
        </w:p>
        <w:p>
          <w:pPr>
            <w:pStyle w:val="TOC3"/>
            <w:tabs>
              <w:tab w:val="clear" w:pos="9026"/>
              <w:tab w:val="right" w:pos="9025" w:leader="dot"/>
            </w:tabs>
            <w:rPr/>
          </w:pPr>
          <w:hyperlink w:anchor="__RefHeading___Toc52956_3211584216">
            <w:r>
              <w:rPr>
                <w:webHidden/>
                <w:rStyle w:val="IndexLink"/>
              </w:rPr>
              <w:t>3.4.1 Stakeholders and money flows</w:t>
              <w:tab/>
              <w:t>21</w:t>
            </w:r>
          </w:hyperlink>
        </w:p>
        <w:p>
          <w:pPr>
            <w:pStyle w:val="TOC3"/>
            <w:tabs>
              <w:tab w:val="clear" w:pos="9026"/>
              <w:tab w:val="right" w:pos="9025" w:leader="dot"/>
            </w:tabs>
            <w:rPr/>
          </w:pPr>
          <w:hyperlink w:anchor="__RefHeading___Toc52958_3211584216">
            <w:r>
              <w:rPr>
                <w:webHidden/>
                <w:rStyle w:val="IndexLink"/>
              </w:rPr>
              <w:t>3.4.2 Social licence</w:t>
              <w:tab/>
              <w:t>23</w:t>
            </w:r>
          </w:hyperlink>
        </w:p>
        <w:p>
          <w:pPr>
            <w:pStyle w:val="TOC2"/>
            <w:tabs>
              <w:tab w:val="clear" w:pos="9026"/>
              <w:tab w:val="right" w:pos="9025" w:leader="dot"/>
            </w:tabs>
            <w:rPr/>
          </w:pPr>
          <w:hyperlink w:anchor="__RefHeading___Toc52960_3211584216">
            <w:r>
              <w:rPr>
                <w:webHidden/>
                <w:rStyle w:val="IndexLink"/>
              </w:rPr>
              <w:t>3.5 Market Analysis and Economic Feasibility</w:t>
              <w:tab/>
              <w:t>25</w:t>
            </w:r>
          </w:hyperlink>
        </w:p>
        <w:p>
          <w:pPr>
            <w:pStyle w:val="TOC3"/>
            <w:tabs>
              <w:tab w:val="clear" w:pos="9026"/>
              <w:tab w:val="right" w:pos="9025" w:leader="dot"/>
            </w:tabs>
            <w:rPr/>
          </w:pPr>
          <w:hyperlink w:anchor="__RefHeading___Toc52962_3211584216">
            <w:r>
              <w:rPr>
                <w:webHidden/>
                <w:rStyle w:val="IndexLink"/>
              </w:rPr>
              <w:t>3.5.1 Economics, finance and market barriers</w:t>
              <w:tab/>
              <w:t>25</w:t>
            </w:r>
          </w:hyperlink>
        </w:p>
        <w:p>
          <w:pPr>
            <w:pStyle w:val="TOC3"/>
            <w:tabs>
              <w:tab w:val="clear" w:pos="9026"/>
              <w:tab w:val="right" w:pos="9025" w:leader="dot"/>
            </w:tabs>
            <w:rPr/>
          </w:pPr>
          <w:hyperlink w:anchor="__RefHeading___Toc52964_3211584216">
            <w:r>
              <w:rPr>
                <w:webHidden/>
                <w:rStyle w:val="IndexLink"/>
              </w:rPr>
              <w:t>3.5.2 Supply concentration and geopolitics</w:t>
              <w:tab/>
              <w:t>28</w:t>
            </w:r>
          </w:hyperlink>
        </w:p>
        <w:p>
          <w:pPr>
            <w:pStyle w:val="TOC2"/>
            <w:tabs>
              <w:tab w:val="clear" w:pos="9026"/>
              <w:tab w:val="right" w:pos="9025" w:leader="dot"/>
            </w:tabs>
            <w:rPr/>
          </w:pPr>
          <w:hyperlink w:anchor="__RefHeading___Toc52966_3211584216">
            <w:r>
              <w:rPr>
                <w:webHidden/>
                <w:rStyle w:val="IndexLink"/>
              </w:rPr>
              <w:t>3.6 Government Regulations Review</w:t>
              <w:tab/>
              <w:t>29</w:t>
            </w:r>
          </w:hyperlink>
        </w:p>
        <w:p>
          <w:pPr>
            <w:pStyle w:val="TOC3"/>
            <w:tabs>
              <w:tab w:val="clear" w:pos="9026"/>
              <w:tab w:val="right" w:pos="9025" w:leader="dot"/>
            </w:tabs>
            <w:rPr/>
          </w:pPr>
          <w:hyperlink w:anchor="__RefHeading___Toc52968_3211584216">
            <w:r>
              <w:rPr>
                <w:webHidden/>
                <w:rStyle w:val="IndexLink"/>
              </w:rPr>
              <w:t>3.6.1 Law, regulation and licensing</w:t>
              <w:tab/>
              <w:t>29</w:t>
            </w:r>
          </w:hyperlink>
        </w:p>
        <w:p>
          <w:pPr>
            <w:pStyle w:val="TOC3"/>
            <w:tabs>
              <w:tab w:val="clear" w:pos="9026"/>
              <w:tab w:val="right" w:pos="9025" w:leader="dot"/>
            </w:tabs>
            <w:rPr/>
          </w:pPr>
          <w:hyperlink w:anchor="__RefHeading___Toc52970_3211584216">
            <w:r>
              <w:rPr>
                <w:webHidden/>
                <w:rStyle w:val="IndexLink"/>
              </w:rPr>
              <w:t>3.6.2 Implementation pathway</w:t>
              <w:tab/>
              <w:t>31</w:t>
            </w:r>
          </w:hyperlink>
        </w:p>
        <w:p>
          <w:pPr>
            <w:pStyle w:val="TOC2"/>
            <w:tabs>
              <w:tab w:val="clear" w:pos="9026"/>
              <w:tab w:val="right" w:pos="9025" w:leader="dot"/>
            </w:tabs>
            <w:rPr/>
          </w:pPr>
          <w:hyperlink w:anchor="__RefHeading___Toc52972_3211584216">
            <w:r>
              <w:rPr>
                <w:webHidden/>
                <w:rStyle w:val="IndexLink"/>
              </w:rPr>
              <w:t>3.7 Triple-bottom-line evaluation and multi-criteria analysis</w:t>
              <w:tab/>
              <w:t>33</w:t>
            </w:r>
          </w:hyperlink>
        </w:p>
        <w:p>
          <w:pPr>
            <w:pStyle w:val="TOC3"/>
            <w:tabs>
              <w:tab w:val="clear" w:pos="9026"/>
              <w:tab w:val="right" w:pos="9025" w:leader="dot"/>
            </w:tabs>
            <w:rPr/>
          </w:pPr>
          <w:hyperlink w:anchor="__RefHeading___Toc52974_3211584216">
            <w:r>
              <w:rPr>
                <w:webHidden/>
                <w:rStyle w:val="IndexLink"/>
              </w:rPr>
              <w:t>3.7.1 Triple bottom line</w:t>
              <w:tab/>
              <w:t>34</w:t>
            </w:r>
          </w:hyperlink>
        </w:p>
        <w:p>
          <w:pPr>
            <w:pStyle w:val="TOC3"/>
            <w:tabs>
              <w:tab w:val="clear" w:pos="9026"/>
              <w:tab w:val="right" w:pos="9025" w:leader="dot"/>
            </w:tabs>
            <w:rPr/>
          </w:pPr>
          <w:hyperlink w:anchor="__RefHeading___Toc52976_3211584216">
            <w:r>
              <w:rPr>
                <w:webHidden/>
                <w:rStyle w:val="IndexLink"/>
              </w:rPr>
              <w:t>3.7.2 Multi-criteria analysis</w:t>
              <w:tab/>
              <w:t>35</w:t>
            </w:r>
          </w:hyperlink>
        </w:p>
        <w:p>
          <w:pPr>
            <w:pStyle w:val="TOC3"/>
            <w:tabs>
              <w:tab w:val="clear" w:pos="9026"/>
              <w:tab w:val="right" w:pos="9025" w:leader="dot"/>
            </w:tabs>
            <w:rPr/>
          </w:pPr>
          <w:hyperlink w:anchor="__RefHeading___Toc52978_3211584216">
            <w:r>
              <w:rPr>
                <w:webHidden/>
                <w:rStyle w:val="IndexLink"/>
              </w:rPr>
              <w:t>3.7.3 Verdict and limits</w:t>
              <w:tab/>
              <w:t>36</w:t>
            </w:r>
          </w:hyperlink>
        </w:p>
        <w:p>
          <w:pPr>
            <w:pStyle w:val="TOC2"/>
            <w:tabs>
              <w:tab w:val="clear" w:pos="9026"/>
              <w:tab w:val="right" w:pos="9025" w:leader="dot"/>
            </w:tabs>
            <w:rPr/>
          </w:pPr>
          <w:hyperlink w:anchor="__RefHeading___Toc52980_3211584216">
            <w:r>
              <w:rPr>
                <w:webHidden/>
                <w:rStyle w:val="IndexLink"/>
              </w:rPr>
              <w:t>3.8 Future material properties and processes</w:t>
              <w:tab/>
              <w:t>36</w:t>
            </w:r>
          </w:hyperlink>
        </w:p>
        <w:p>
          <w:pPr>
            <w:pStyle w:val="TOC1"/>
            <w:tabs>
              <w:tab w:val="clear" w:pos="9026"/>
              <w:tab w:val="right" w:pos="9025" w:leader="dot"/>
            </w:tabs>
            <w:rPr/>
          </w:pPr>
          <w:hyperlink w:anchor="__RefHeading___Toc52982_3211584216">
            <w:r>
              <w:rPr>
                <w:webHidden/>
                <w:rStyle w:val="IndexLink"/>
              </w:rPr>
              <w:t>4 Conclusion</w:t>
              <w:tab/>
              <w:t>37</w:t>
            </w:r>
          </w:hyperlink>
        </w:p>
        <w:p>
          <w:pPr>
            <w:pStyle w:val="TOC1"/>
            <w:tabs>
              <w:tab w:val="clear" w:pos="9026"/>
              <w:tab w:val="right" w:pos="9025" w:leader="dot"/>
            </w:tabs>
            <w:rPr/>
          </w:pPr>
          <w:hyperlink w:anchor="__RefHeading___Toc52984_3211584216">
            <w:r>
              <w:rPr>
                <w:webHidden/>
                <w:rStyle w:val="IndexLink"/>
              </w:rPr>
              <w:t>5 References</w:t>
              <w:tab/>
              <w:t>39</w:t>
            </w:r>
          </w:hyperlink>
        </w:p>
        <w:p>
          <w:pPr>
            <w:pStyle w:val="TOC1"/>
            <w:tabs>
              <w:tab w:val="clear" w:pos="9026"/>
              <w:tab w:val="right" w:pos="9025" w:leader="dot"/>
            </w:tabs>
            <w:rPr/>
          </w:pPr>
          <w:hyperlink w:anchor="__RefHeading___Toc52986_3211584216">
            <w:r>
              <w:rPr>
                <w:webHidden/>
                <w:rStyle w:val="IndexLink"/>
              </w:rPr>
              <w:t>Declaration of generative AI use</w:t>
              <w:tab/>
              <w:t>54</w:t>
            </w:r>
          </w:hyperlink>
        </w:p>
        <w:p>
          <w:pPr>
            <w:pStyle w:val="TOC1"/>
            <w:tabs>
              <w:tab w:val="clear" w:pos="9026"/>
              <w:tab w:val="right" w:pos="9025" w:leader="dot"/>
            </w:tabs>
            <w:rPr/>
          </w:pPr>
          <w:hyperlink w:anchor="__RefHeading___Toc52988_3211584216">
            <w:r>
              <w:rPr>
                <w:webHidden/>
                <w:rStyle w:val="IndexLink"/>
              </w:rPr>
              <w:t>Appendices</w:t>
              <w:tab/>
              <w:t>55</w:t>
            </w:r>
          </w:hyperlink>
        </w:p>
        <w:p>
          <w:pPr>
            <w:pStyle w:val="TOC2"/>
            <w:tabs>
              <w:tab w:val="clear" w:pos="9026"/>
              <w:tab w:val="right" w:pos="9025" w:leader="dot"/>
            </w:tabs>
            <w:rPr/>
          </w:pPr>
          <w:hyperlink w:anchor="__RefHeading___Toc52990_3211584216">
            <w:r>
              <w:rPr>
                <w:webHidden/>
                <w:rStyle w:val="IndexLink"/>
              </w:rPr>
              <w:t>Appendix A. LCA inventory and calculations</w:t>
              <w:tab/>
              <w:t>55</w:t>
            </w:r>
          </w:hyperlink>
        </w:p>
        <w:p>
          <w:pPr>
            <w:pStyle w:val="TOC2"/>
            <w:tabs>
              <w:tab w:val="clear" w:pos="9026"/>
              <w:tab w:val="right" w:pos="9025" w:leader="dot"/>
            </w:tabs>
            <w:rPr/>
          </w:pPr>
          <w:hyperlink w:anchor="__RefHeading___Toc52992_3211584216">
            <w:r>
              <w:rPr>
                <w:webHidden/>
                <w:rStyle w:val="IndexLink"/>
              </w:rPr>
              <w:t>Appendix B. Working for the policy and supply-chain analysis</w:t>
              <w:tab/>
              <w:t>65</w:t>
            </w:r>
          </w:hyperlink>
        </w:p>
        <w:p>
          <w:pPr>
            <w:pStyle w:val="TOC2"/>
            <w:tabs>
              <w:tab w:val="clear" w:pos="9026"/>
              <w:tab w:val="right" w:pos="9025" w:leader="dot"/>
            </w:tabs>
            <w:rPr/>
          </w:pPr>
          <w:hyperlink w:anchor="__RefHeading___Toc52994_3211584216">
            <w:r>
              <w:rPr>
                <w:webHidden/>
                <w:rStyle w:val="IndexLink"/>
              </w:rPr>
              <w:t>Appendix C. Sensitivity: tornado and Monte Carlo set-up and results</w:t>
              <w:tab/>
              <w:t>109</w:t>
            </w:r>
          </w:hyperlink>
        </w:p>
        <w:p>
          <w:pPr>
            <w:pStyle w:val="TOC2"/>
            <w:tabs>
              <w:tab w:val="clear" w:pos="9026"/>
              <w:tab w:val="right" w:pos="9025" w:leader="dot"/>
            </w:tabs>
            <w:rPr/>
          </w:pPr>
          <w:hyperlink w:anchor="__RefHeading___Toc52996_3211584216">
            <w:r>
              <w:rPr>
                <w:webHidden/>
                <w:rStyle w:val="IndexLink"/>
              </w:rPr>
              <w:t>Appendix E. Search log</w:t>
              <w:tab/>
              <w:t>119</w:t>
            </w:r>
          </w:hyperlink>
          <w:r>
            <w:rPr>
              <w:rStyle w:val="IndexLink"/>
            </w:rPr>
            <w:fldChar w:fldCharType="end"/>
          </w:r>
        </w:p>
      </w:sdtContent>
    </w:sdt>
    <w:p>
      <w:pPr>
        <w:pStyle w:val="normal1"/>
        <w:widowControl/>
        <w:bidi w:val="0"/>
        <w:spacing w:lineRule="auto" w:line="276" w:before="0" w:after="160"/>
        <w:jc w:val="left"/>
        <w:rPr/>
      </w:pPr>
      <w:r>
        <w:rPr/>
      </w:r>
      <w:bookmarkStart w:id="7" w:name="abstract"/>
      <w:bookmarkStart w:id="8" w:name="abstract"/>
      <w:bookmarkEnd w:id="8"/>
      <w:r>
        <w:br w:type="page"/>
      </w:r>
    </w:p>
    <w:p>
      <w:pPr>
        <w:pStyle w:val="Heading1"/>
        <w:spacing w:before="0" w:after="120"/>
        <w:rPr/>
      </w:pPr>
      <w:bookmarkStart w:id="9" w:name="__RefHeading___Toc52916_3211584216"/>
      <w:bookmarkStart w:id="10" w:name="introduction"/>
      <w:bookmarkEnd w:id="9"/>
      <w:r>
        <w:rPr/>
        <w:t>1 Introduction</w:t>
      </w:r>
    </w:p>
    <w:p>
      <w:pPr>
        <w:pStyle w:val="FirstParagraph"/>
        <w:rPr/>
      </w:pPr>
      <w:r>
        <w:rPr/>
        <w:t>When a coal plant closes, small modular reactors (SMRs) are one proposed replacement. We ask whether an SMR is feasible across the triple bottom line (environmental, economic, social), and whether a materials choice can make it cleaner without making it later.</w:t>
      </w:r>
    </w:p>
    <w:p>
      <w:pPr>
        <w:pStyle w:val="Heading4"/>
        <w:rPr/>
      </w:pPr>
      <w:bookmarkStart w:id="11" w:name="context"/>
      <w:r>
        <w:rPr/>
        <w:t>Context</w:t>
      </w:r>
    </w:p>
    <w:p>
      <w:pPr>
        <w:pStyle w:val="FirstParagraph"/>
        <w:rPr/>
      </w:pPr>
      <w:bookmarkStart w:id="12" w:name="context"/>
      <w:r>
        <w:rPr/>
        <w:t>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bookmarkEnd w:id="12"/>
    </w:p>
    <w:p>
      <w:pPr>
        <w:pStyle w:val="Heading4"/>
        <w:rPr/>
      </w:pPr>
      <w:bookmarkStart w:id="13" w:name="the-two-sites"/>
      <w:r>
        <w:rPr/>
        <w:t>The two sites</w:t>
      </w:r>
    </w:p>
    <w:p>
      <w:pPr>
        <w:pStyle w:val="FirstParagraph"/>
        <w:rPr/>
      </w:pPr>
      <w:r>
        <w:rPr>
          <w:i/>
          <w:iCs/>
        </w:rPr>
        <w:t>Darlington, Ontario</w:t>
      </w:r>
      <w:r>
        <w:rPr/>
        <w:t xml:space="preserve"> is the initiative site: Ontario Power Generation (OPG) plans four units for C$20.9 billion, Unit 1 in service in 2030 (Ontario Power Generation, 2025a); Units 2–4 need further licensing (Section 3.6.1). </w:t>
      </w:r>
      <w:r>
        <w:rPr>
          <w:i/>
          <w:iCs/>
        </w:rPr>
        <w:t>Liddell</w:t>
      </w:r>
      <w:r>
        <w:rPr/>
        <w:t xml:space="preserve"> is the Australian comparison, a closed coal site with a grid connection.</w:t>
      </w:r>
      <w:bookmarkEnd w:id="13"/>
    </w:p>
    <w:p>
      <w:pPr>
        <w:pStyle w:val="Heading4"/>
        <w:rPr/>
      </w:pPr>
      <w:bookmarkStart w:id="14" w:name="the-initiative-c1"/>
      <w:r>
        <w:rPr/>
        <w:t>The initiative (C1)</w:t>
      </w:r>
    </w:p>
    <w:p>
      <w:pPr>
        <w:pStyle w:val="FirstParagraph"/>
        <w:rPr/>
      </w:pPr>
      <w:bookmarkStart w:id="15" w:name="the-initiative-c1"/>
      <w:r>
        <w:rPr/>
        <w:t>OPG should pilot limestone calcined clay cement (LC³) in eligible non-safety works first, using it in the steel-composite infill only if qualified and schedule-neutral (Sections 3.1.1–3.1.4, Section 3.1.5).</w:t>
      </w:r>
      <w:bookmarkEnd w:id="15"/>
    </w:p>
    <w:p>
      <w:pPr>
        <w:pStyle w:val="Heading4"/>
        <w:rPr/>
      </w:pPr>
      <w:bookmarkStart w:id="16" w:name="research-questions"/>
      <w:r>
        <w:rPr/>
        <w:t>Research questions</w:t>
      </w:r>
    </w:p>
    <w:p>
      <w:pPr>
        <w:pStyle w:val="Compact"/>
        <w:numPr>
          <w:ilvl w:val="0"/>
          <w:numId w:val="27"/>
        </w:numPr>
        <w:rPr/>
      </w:pPr>
      <w:r>
        <w:rPr/>
        <w:t>What does one BWRX-300 emit, and where? (Section 3.2)</w:t>
      </w:r>
    </w:p>
    <w:p>
      <w:pPr>
        <w:pStyle w:val="Compact"/>
        <w:numPr>
          <w:ilvl w:val="0"/>
          <w:numId w:val="4"/>
        </w:numPr>
        <w:rPr/>
      </w:pPr>
      <w:r>
        <w:rPr/>
        <w:t>How much does C1 save, and what delay cancels it? (Sections 3.2–3.3)</w:t>
      </w:r>
    </w:p>
    <w:p>
      <w:pPr>
        <w:pStyle w:val="Compact"/>
        <w:numPr>
          <w:ilvl w:val="0"/>
          <w:numId w:val="4"/>
        </w:numPr>
        <w:rPr/>
      </w:pPr>
      <w:r>
        <w:rPr/>
        <w:t>Does a unit’s climate value differ between Ontario and Liddell? (Section 3.3)</w:t>
      </w:r>
    </w:p>
    <w:p>
      <w:pPr>
        <w:pStyle w:val="Compact"/>
        <w:numPr>
          <w:ilvl w:val="0"/>
          <w:numId w:val="4"/>
        </w:numPr>
        <w:rPr/>
      </w:pPr>
      <w:r>
        <w:rPr/>
        <w:t>Which barriers decide whether an SMR is built, and does it beat firmed renewables? (Section 3.1.3, Sections 3.4–3.7)</w:t>
      </w:r>
    </w:p>
    <w:p>
      <w:pPr>
        <w:pStyle w:val="normal1"/>
        <w:rPr/>
      </w:pPr>
      <w:bookmarkStart w:id="17" w:name="introduction"/>
      <w:bookmarkStart w:id="18" w:name="research-questions"/>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rPr/>
      </w:pPr>
      <w:bookmarkStart w:id="19" w:name="__RefHeading___Toc52918_3211584216"/>
      <w:bookmarkStart w:id="20" w:name="data-sourcesmethodology"/>
      <w:bookmarkEnd w:id="19"/>
      <w:r>
        <w:rPr/>
        <w:t>2 Data Sources/Methodology</w:t>
      </w:r>
    </w:p>
    <w:p>
      <w:pPr>
        <w:pStyle w:val="FirstParagraph"/>
        <w:rPr/>
      </w:pPr>
      <w:r>
        <w:rPr>
          <w:rStyle w:val="TeamNote"/>
        </w:rPr>
        <w:t>LEROY: once Granta is run, this section’s Granta sentence changes to describe it.</w:t>
      </w:r>
    </w:p>
    <w:p>
      <w:pPr>
        <w:pStyle w:val="BodyText"/>
        <w:rPr/>
      </w:pPr>
      <w:r>
        <w:rPr/>
        <w:t>Four methods carry the numbers: a screening life-cycle assessment (LCA), grid displacement with a schedule break-even, a concentration index for fuel supply, and a multi-criteria analysis. Scripts and parameter files regenerate every figure (Appendix A1). Values are taken from the documents cited, or, where marked “as reported”, from the secondary source named. Where readings differ we give the range, and our own assumptions and inferences are labelled as such.</w:t>
      </w:r>
    </w:p>
    <w:p>
      <w:pPr>
        <w:pStyle w:val="Heading4"/>
        <w:rPr/>
      </w:pPr>
      <w:bookmarkStart w:id="21" w:name="life-cycle-assessment"/>
      <w:r>
        <w:rPr/>
        <w:t>Life-cycle assessment</w:t>
      </w:r>
    </w:p>
    <w:p>
      <w:pPr>
        <w:pStyle w:val="FirstParagraph"/>
        <w:rPr/>
      </w:pPr>
      <w:bookmarkStart w:id="22" w:name="life-cycle-assessment"/>
      <w:r>
        <w:rPr/>
        <w:t>A screening study following ISO 14040/14044 principles (International Organization for Standardization, 2006a; 2006b), not critically reviewed: functional unit 1 MWh of net electricity at the grid connection, cradle to grave (Section 3.2.1). The screening model is scripted in Python; a Granta EduPack Eco Audit cross-check was planned but not completed.</w:t>
      </w:r>
      <w:bookmarkEnd w:id="22"/>
    </w:p>
    <w:p>
      <w:pPr>
        <w:pStyle w:val="Heading4"/>
        <w:rPr/>
      </w:pPr>
      <w:bookmarkStart w:id="23" w:name="displacement-and-schedule"/>
      <w:r>
        <w:rPr/>
        <w:t>Displacement and schedule</w:t>
      </w:r>
    </w:p>
    <w:p>
      <w:pPr>
        <w:pStyle w:val="FirstParagraph"/>
        <w:rPr/>
      </w:pPr>
      <w:r>
        <w:rPr/>
        <w:t xml:space="preserve">One unit (300 MWe net assumed; an OPG filing gives 315, within our sensitivity range)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bookmarkEnd w:id="23"/>
    </w:p>
    <w:p>
      <w:pPr>
        <w:pStyle w:val="Heading4"/>
        <w:rPr/>
      </w:pPr>
      <w:bookmarkStart w:id="24" w:name="supply-concentration"/>
      <w:r>
        <w:rPr/>
        <w:t>Supply concentration</w:t>
      </w:r>
    </w:p>
    <w:p>
      <w:pPr>
        <w:pStyle w:val="FirstParagraph"/>
        <w:rPr/>
      </w:pPr>
      <w:bookmarkStart w:id="25" w:name="supply-concentration"/>
      <w:r>
        <w:rPr/>
        <w:t>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 “without Russia” adds no capacity (Appendix B2).</w:t>
      </w:r>
      <w:bookmarkEnd w:id="25"/>
    </w:p>
    <w:p>
      <w:pPr>
        <w:pStyle w:val="Heading4"/>
        <w:rPr/>
      </w:pPr>
      <w:bookmarkStart w:id="26" w:name="multi-criteria-analysis-mcda"/>
      <w:r>
        <w:rPr/>
        <w:t>Multi-criteria analysis (MCDA)</w:t>
      </w:r>
    </w:p>
    <w:p>
      <w:pPr>
        <w:pStyle w:val="FirstParagraph"/>
        <w:rPr/>
      </w:pPr>
      <w:r>
        <w:rPr/>
        <w:t>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rPr/>
      </w:pPr>
      <w:r>
        <w:rPr/>
        <w:t>Search strategy and patent search: Appendix E.</w:t>
      </w:r>
    </w:p>
    <w:p>
      <w:pPr>
        <w:pStyle w:val="normal1"/>
        <w:rPr/>
      </w:pPr>
      <w:bookmarkStart w:id="27" w:name="data-sourcesmethodology"/>
      <w:bookmarkStart w:id="28" w:name="multi-criteria-analysis-mcda"/>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1"/>
        <w:rPr/>
      </w:pPr>
      <w:bookmarkStart w:id="29" w:name="__RefHeading___Toc52920_3211584216"/>
      <w:bookmarkEnd w:id="29"/>
      <w:r>
        <w:rPr/>
        <w:t>3 Discussion</w:t>
      </w:r>
    </w:p>
    <w:p>
      <w:pPr>
        <w:pStyle w:val="Heading2"/>
        <w:rPr/>
      </w:pPr>
      <w:bookmarkStart w:id="30" w:name="__RefHeading___Toc52922_3211584216"/>
      <w:bookmarkStart w:id="31" w:name="overview-of-smr"/>
      <w:bookmarkEnd w:id="30"/>
      <w:r>
        <w:rPr/>
        <w:t>3.1 Overview of SMR</w:t>
      </w:r>
    </w:p>
    <w:p>
      <w:pPr>
        <w:pStyle w:val="Heading3"/>
        <w:rPr/>
      </w:pPr>
      <w:bookmarkStart w:id="32" w:name="__RefHeading___Toc52924_3211584216"/>
      <w:bookmarkStart w:id="33" w:name="current-projects-and-patents"/>
      <w:bookmarkEnd w:id="32"/>
      <w:r>
        <w:rPr/>
        <w:t>3.1.1 Current Projects and Patents</w:t>
      </w:r>
    </w:p>
    <w:p>
      <w:pPr>
        <w:pStyle w:val="FirstParagraph"/>
        <w:rPr/>
      </w:pPr>
      <w:r>
        <w:rPr/>
        <w:t>No light-water SMR is yet reported operating on land; the BWRX-300 is the Western design closest to doing so, and China’s ACP100 (Linglong One) was still in commissioning, with no criticality reported, in May 2026. Table T1 rates each project on technology readiness levels (TRL): level 8 is a system “completed and qualified through test and demonstration”, level 9 one operated across its full range of conditions (US Department of Energy, 2015). The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 in OPG’s filing)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to proceed expected 2028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gas-cooled (210)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 design approved May 2025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Heading4"/>
        <w:rPr/>
      </w:pPr>
      <w:bookmarkStart w:id="34" w:name="patents"/>
      <w:r>
        <w:rPr/>
        <w:t>Patents</w:t>
      </w:r>
    </w:p>
    <w:p>
      <w:pPr>
        <w:pStyle w:val="FirstParagraph"/>
        <w:rPr/>
      </w:pPr>
      <w:r>
        <w:rPr/>
        <w:t>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rPr/>
      </w:pPr>
      <w:bookmarkStart w:id="35" w:name="current-projects-and-patents"/>
      <w:bookmarkStart w:id="36" w:name="patents"/>
      <w:r>
        <w:rPr/>
        <w:t>Australia’s earliest date is about 2040. 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matching first power at Liddell (Section 3.3).</w:t>
      </w:r>
      <w:bookmarkEnd w:id="35"/>
      <w:bookmarkEnd w:id="36"/>
    </w:p>
    <w:p>
      <w:pPr>
        <w:pStyle w:val="Heading3"/>
        <w:rPr/>
      </w:pPr>
      <w:bookmarkStart w:id="37" w:name="__RefHeading___Toc52926_3211584216"/>
      <w:bookmarkStart w:id="38" w:name="Xb1ffc1080fdf38f7feb2061406364c544a34d75"/>
      <w:bookmarkEnd w:id="37"/>
      <w:r>
        <w:rPr/>
        <w:t>3.1.2 Technical Descriptions: the BWRX-300 at Darlington</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rPr/>
      </w:pPr>
      <w:bookmarkStart w:id="39" w:name="Xb1ffc1080fdf38f7feb2061406364c544a34d75"/>
      <w:r>
        <w:rPr/>
        <w:t>The vendor’s concrete claim is hard to reconcile with Ostrołęka. 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(Section 3.1.4).</w:t>
      </w:r>
      <w:bookmarkEnd w:id="39"/>
    </w:p>
    <w:p>
      <w:pPr>
        <w:pStyle w:val="Heading3"/>
        <w:rPr/>
      </w:pPr>
      <w:bookmarkStart w:id="40" w:name="__RefHeading___Toc52928_3211584216"/>
      <w:bookmarkStart w:id="41" w:name="X282bf2c80aeb6e14a6d21bd058e6df252031dca"/>
      <w:bookmarkEnd w:id="40"/>
      <w:r>
        <w:rPr/>
        <w:t>3.1.3 Barriers to cutting emissions with small modular reactors</w:t>
      </w:r>
    </w:p>
    <w:p>
      <w:pPr>
        <w:pStyle w:val="FirstParagraph"/>
        <w:rPr/>
      </w:pPr>
      <w:r>
        <w:rPr/>
        <w:t>Eight barriers decide whether a small modular reactor (SMR) is built and cuts emissions. The initiative, C1 (Section 3.1.4), reaches one directly and is constrained by a second. At Darlington, Ontario, cost and schedule bind. At Liddell, the closed New South Wales coal plant we use as the Australian comparison, law comes first and every later barrier is still open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(OPG’s figure as reported, Ontario Power Generation, 2026b; this study); NuScale cancelled 2023 (Section 3.5.1)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 so financing sets the price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(sum of squared market shares) against 1,800 (World Nuclear Association, 2025; US Department of Justice and Federal Trade Commission, 2023)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of enrichment (Section 3.5.2)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(this study, Section 3.2)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concrete needs nuclear qualification before Units 2–4 are fixed (Section 3.6.1)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Support depends on framing; Australia has no consent route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plant would draw on scarce trades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cost, producer-funded; Australia has no disposal route (Nuclear Waste Management Organization, n.d.)</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spent fuel can be licensed without a route (Section 3.4.2)</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4"/>
        <w:rPr/>
      </w:pPr>
      <w:r>
        <w:rPr/>
        <w:t>Reading the table</w:t>
      </w:r>
    </w:p>
    <w:p>
      <w:pPr>
        <w:pStyle w:val="FirstParagraph"/>
        <w:rPr/>
      </w:pPr>
      <w:r>
        <w:rPr/>
        <w:t>C1 moves only rows 2 and 5; Section 3.3 and Section 3.6.2 test the schedule risk.</w:t>
      </w:r>
    </w:p>
    <w:p>
      <w:pPr>
        <w:pStyle w:val="normal1"/>
        <w:rPr/>
      </w:pPr>
      <w:bookmarkStart w:id="42" w:name="X282bf2c80aeb6e14a6d21bd058e6df252031dca"/>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2"/>
    </w:p>
    <w:p>
      <w:pPr>
        <w:pStyle w:val="Heading3"/>
        <w:rPr/>
      </w:pPr>
      <w:bookmarkStart w:id="43" w:name="__RefHeading___Toc52930_3211584216"/>
      <w:bookmarkStart w:id="44" w:name="X90098c7b12d1bfce5617586e418e3203c93a876"/>
      <w:bookmarkEnd w:id="43"/>
      <w:r>
        <w:rPr/>
        <w:t>3.1.4 The initiative: low-clinker concrete for the Darlington Units 2–4 infill</w:t>
      </w:r>
    </w:p>
    <w:p>
      <w:pPr>
        <w:pStyle w:val="FirstParagraph"/>
        <w:rPr/>
      </w:pPr>
      <w:r>
        <w:rPr/>
        <w:t>C1 targets a materials problem that modular construction creates, and it is worth doing only if it is schedule-neutral. 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(Section 3.3.1).</w:t>
      </w:r>
    </w:p>
    <w:p>
      <w:pPr>
        <w:pStyle w:val="Heading4"/>
        <w:rPr/>
      </w:pPr>
      <w:bookmarkStart w:id="45" w:name="the-proposal"/>
      <w:r>
        <w:rPr/>
        <w:t>The proposal</w:t>
      </w:r>
    </w:p>
    <w:p>
      <w:pPr>
        <w:pStyle w:val="FirstParagraph"/>
        <w:rPr/>
      </w:pPr>
      <w:r>
        <w:rPr/>
        <w:t>Ontario Power Generation (OPG) should pilot limestone calcined clay cement (LC³; Scrivener et al., 2018) in eligible non-safety works first, and use it in steel-composite infill only if it is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 (Unit 1’s basemat is placed)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concrete per unit; 20,000 m³ (40%) eligible (BWRX-300 Ostrołęka sp. z o.o., 2023)</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basemat, shaft-wall and forebay-shaft infill if qualified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Pillai et al., 2019); slag cement as fallback</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rPr/>
      </w:pPr>
      <w:r>
        <w:rPr/>
        <w:t>Why it is not the obvious choice. First, the infill problem is specific to modular construction: a mix that flows, stays cool in thick sections and still shields has to be developed (Section 3.8). Second, C1’s value is set by schedule, not by the concrete: under three weeks of delay to a unit cancels its saving (Section 3.3.1), so C1 is a qualification programme timed to Unit 1 mock-ups rather than a binder swap. Third, its lever is financial: the Units 2–4 equity tranche can carry the condition (Section 3.6.2).</w:t>
      </w:r>
    </w:p>
    <w:p>
      <w:pPr>
        <w:pStyle w:val="BodyText"/>
        <w:rPr/>
      </w:pPr>
      <w:r>
        <w:rPr/>
        <w:t>What C1 does not address. It leaves cost, law, fuel supply, social licence and workforce untouched (Table T2); lower-carbon steel in the same structures is the next lever (Section 3.2.3, Section 3.8).</w:t>
      </w:r>
    </w:p>
    <w:p>
      <w:pPr>
        <w:pStyle w:val="normal1"/>
        <w:rPr/>
      </w:pPr>
      <w:bookmarkStart w:id="46" w:name="X90098c7b12d1bfce5617586e418e3203c93a876"/>
      <w:bookmarkStart w:id="47" w:name="the-proposal"/>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p>
    <w:p>
      <w:pPr>
        <w:pStyle w:val="Heading3"/>
        <w:rPr/>
      </w:pPr>
      <w:bookmarkStart w:id="48" w:name="__RefHeading___Toc52932_3211584216"/>
      <w:bookmarkStart w:id="49" w:name="materials-from-extraction-to-end-of-life"/>
      <w:bookmarkEnd w:id="48"/>
      <w:r>
        <w:rPr/>
        <w:t>3.1.5 Materials from extraction to end-of-life</w:t>
      </w:r>
    </w:p>
    <w:p>
      <w:pPr>
        <w:pStyle w:val="FirstParagraph"/>
        <w:rPr/>
      </w:pPr>
      <w:r>
        <w:rPr/>
        <w:t>For C1, the binder’s carbon arises in the kiln, but its risks arise in the pour and at decommissioning. Stages follow Section 3.2’s boundary; operation, decommissioning and waste use published per-kWh values (Section 3.2.1).</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burnt in a kiln; M50 concrete 380 kg CO₂e/m³ (Pillai et al., 2019)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with half the clinker (Zunino, 2021); 270 kg CO₂e/m³</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Iron blast-furnace by-product, ground; 146.6 kg CO₂e/t (Slag Cement Association, n.d.)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Higher superplasticiser demand, lower flow in trials (Universität der Bundeswehr München, n.d.)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used in nuclear mixes (Systematic evaluation of concrete placement reliability,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so similar risk (our inference); no LC³ heat data found (Section 3.8)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in calcined clay unknown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Heading4"/>
        <w:rPr/>
      </w:pPr>
      <w:r>
        <w:rPr/>
        <w:t>Steel</w:t>
      </w:r>
    </w:p>
    <w:p>
      <w:pPr>
        <w:pStyle w:val="FirstParagraph"/>
        <w:rPr/>
      </w:pPr>
      <w:r>
        <w:rPr/>
        <w:t>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p>
      <w:pPr>
        <w:pStyle w:val="Heading4"/>
        <w:rPr/>
      </w:pPr>
      <w:bookmarkStart w:id="50" w:name="end-of-life"/>
      <w:r>
        <w:rPr/>
        <w:t>End of life</w:t>
      </w:r>
    </w:p>
    <w:p>
      <w:pPr>
        <w:pStyle w:val="FirstParagraph"/>
        <w:rPr/>
      </w:pPr>
      <w:bookmarkStart w:id="51" w:name="overview-of-smr"/>
      <w:bookmarkStart w:id="52" w:name="materials-from-extraction-to-end-of-life"/>
      <w:bookmarkStart w:id="53" w:name="end-of-life"/>
      <w:r>
        <w:rPr/>
        <w:t>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 “a few per cent” as waste (Thierfeldt, 2019). On an assumed 2.4 t/m³ and a 2–5% reading, a unit’s 50,000 m³ (120,000 t) would leave 2,400–6,000 t of waste. The europium and cobalt content of calcined clay is unknown, so qualification should measure it (Section 3.8).</w:t>
      </w:r>
      <w:bookmarkEnd w:id="51"/>
      <w:bookmarkEnd w:id="52"/>
      <w:bookmarkEnd w:id="53"/>
    </w:p>
    <w:p>
      <w:pPr>
        <w:pStyle w:val="Heading2"/>
        <w:rPr/>
      </w:pPr>
      <w:bookmarkStart w:id="54" w:name="__RefHeading___Toc52934_3211584216"/>
      <w:bookmarkStart w:id="55" w:name="lifecycle-analysis"/>
      <w:bookmarkEnd w:id="54"/>
      <w:r>
        <w:rPr/>
        <w:t>3.2 Lifecycle Analysis</w:t>
      </w:r>
    </w:p>
    <w:p>
      <w:pPr>
        <w:pStyle w:val="FirstParagraph"/>
        <w:rPr/>
      </w:pPr>
      <w:r>
        <w:rPr>
          <w:rStyle w:val="TeamNote"/>
        </w:rPr>
        <w:t>LEROY (Granta EduPack): please run the Granta EduPack Eco Audit on one BWRX-300: concrete 120,000 t (50,000 m³ × 2.4 t/m³) and steel 14,000 t (Ostrołęka PIS, Table 14), with a second run where 40% of the concrete (20,000 m³) is LC³ at 270 instead of 380 kg CO₂e/m³ (Pillai et al., 2019). Send the CO₂ footprint and energy per life stage (screenshot or export). Then confirm or update this section’s Granta sentence, Appendix A9 and Section 2. Everything else in the report is complete.</w:t>
      </w:r>
    </w:p>
    <w:p>
      <w:pPr>
        <w:pStyle w:val="BodyText"/>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bookmarkStart w:id="56" w:name="__RefHeading___Toc52936_3211584216"/>
      <w:bookmarkStart w:id="57" w:name="goal-scope-and-method"/>
      <w:bookmarkEnd w:id="56"/>
      <w:r>
        <w:rPr/>
        <w:t>3.2.1 Goal, scope and method</w:t>
      </w:r>
    </w:p>
    <w:p>
      <w:pPr>
        <w:pStyle w:val="Heading4"/>
        <w:rPr/>
      </w:pPr>
      <w:bookmarkStart w:id="58" w:name="goal"/>
      <w:r>
        <w:rPr/>
        <w:t>Goal</w:t>
      </w:r>
    </w:p>
    <w:p>
      <w:pPr>
        <w:pStyle w:val="FirstParagraph"/>
        <w:rPr/>
      </w:pPr>
      <w:r>
        <w:rPr/>
        <w:t>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pStyle w:val="BodyText"/>
        <w:rPr/>
      </w:pPr>
      <w:bookmarkStart w:id="59" w:name="goal"/>
      <w:r>
        <w:rPr/>
        <w:t>Functional unit: 1 MWh of net electricity at the grid connection (g CO₂e/kWh equals kg CO₂e/MWh); transmission is outside. One unit delivers 300 MWe × 8,760 h × 0.90 × 60 years = 1.419 × 10⁸ MWh (Appendix A2). Boundary (Figure F1): cradle to grave. Construction materials and the fuel front end (mining and milling, conversion, enrichment, fabrication) are modelled from published factors; operation and maintenance (O&amp;M), decommissioning and the back end are per-kWh values from EDF’s French-fleet study (EDF R&amp;D, 2024). Baseline (S0): the concrete OPG would pour anyway, at 380 kg CO₂e/m³ (Pillai et al., 2019, as reported; Indian M50 mixes). We have not seen OPG’s mix or any cement-type limit in the specification (GE-Hitachi Nuclear Energy, 2024). Cut-offs: fuel cladding and hardware, conversion chemicals, upstream gas, fuel-plant capital goods and recycling credits; each biases the result low (Section 3.2.5). Impact category: climate change, GWP100.</w:t>
      </w:r>
      <w:bookmarkEnd w:id="59"/>
    </w:p>
    <w:p>
      <w:pPr>
        <w:pStyle w:val="Heading4"/>
        <w:rPr/>
      </w:pPr>
      <w:bookmarkStart w:id="60" w:name="method-and-inventory"/>
      <w:r>
        <w:rPr/>
        <w:t>Method and inventory</w:t>
      </w:r>
    </w:p>
    <w:p>
      <w:pPr>
        <w:pStyle w:val="FirstParagraph"/>
        <w:rPr/>
      </w:pPr>
      <w:r>
        <w:rPr/>
        <w:t>A reproducible Python model multiplies quantities by published emission factors (Appendices A and C). Plant quantities come from the Ostrołęka project information sheet (BWRX-300 Ostrołęka sp. z o.o., 2023, as reported in the project information sheet): 50,000 m³ of concrete and 14,000 t of steel per unit.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 A Granta EduPack Eco Audit was planned but not completed; no number here comes from Granta.</w:t>
      </w:r>
    </w:p>
    <w:p>
      <w:pPr>
        <w:pStyle w:val="CaptionedFigure"/>
        <w:rPr/>
      </w:pPr>
      <w:r>
        <w:rPr/>
        <w:drawing>
          <wp:inline distT="0" distB="0" distL="0" distR="0">
            <wp:extent cx="5441315" cy="2835910"/>
            <wp:effectExtent l="0" t="0" r="0" b="0"/>
            <wp:docPr id="9"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bookmarkStart w:id="61" w:name="goal-scope-and-method"/>
      <w:bookmarkStart w:id="62" w:name="method-and-inventory"/>
      <w:r>
        <w:rPr/>
        <w:t>Figure F1. LCA system boundary for one BWRX-300 at Darlington: fuel front end, construction materials and C1-eligible concrete modelled here; operation, decommissioning and back end from the literature. | Source: this study.</w:t>
      </w:r>
      <w:bookmarkEnd w:id="61"/>
      <w:bookmarkEnd w:id="62"/>
    </w:p>
    <w:p>
      <w:pPr>
        <w:pStyle w:val="Heading3"/>
        <w:rPr/>
      </w:pPr>
      <w:bookmarkStart w:id="63" w:name="__RefHeading___Toc52938_3211584216"/>
      <w:bookmarkStart w:id="64" w:name="baseline-and-hotspots"/>
      <w:bookmarkEnd w:id="63"/>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conversion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7.2–17.8% across draws). The C1-eligible concrete is only 1.9% of the mode-case total, so C1 acts on about one-fiftieth of the footprint.</w:t>
      </w:r>
    </w:p>
    <w:p>
      <w:pPr>
        <w:pStyle w:val="BodyText"/>
        <w:rPr/>
      </w:pPr>
      <w:r>
        <w:rPr/>
        <w:t>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rPr/>
      </w:pPr>
      <w:r>
        <w:rPr/>
        <w:drawing>
          <wp:inline distT="0" distB="0" distL="0" distR="0">
            <wp:extent cx="5441315" cy="2376170"/>
            <wp:effectExtent l="0" t="0" r="0" b="0"/>
            <wp:docPr id="10"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bookmarkStart w:id="65" w:name="baseline-and-hotspots"/>
      <w:r>
        <w:rPr/>
        <w:t>Figure F2. Life-cycle emissions of one BWRX-300 by stage: expected value 4.49 g CO₂e/kWh (Monte Carlo mean), with the mode case (every input at its most likely value, total 2.86) marked. | Source: this study, Appendix C3.</w:t>
      </w:r>
      <w:bookmarkEnd w:id="65"/>
    </w:p>
    <w:p>
      <w:pPr>
        <w:pStyle w:val="Heading3"/>
        <w:rPr/>
      </w:pPr>
      <w:bookmarkStart w:id="66" w:name="__RefHeading___Toc52940_3211584216"/>
      <w:bookmarkStart w:id="67" w:name="the-initiative-against-the-baseline"/>
      <w:bookmarkEnd w:id="66"/>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and drives the result. At 20, 40 and 60% of 50,000 m³, C1 saves 1,100, 2,200 and 3,300 t per unit, or 0.18, 0.36 and 0.54% of its life cycle (Table T5). Letting eligibility, the cut and the volumes vary together gives 2,217 t (1,375–3,294) per unit.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Three findings follow, each with a consequence for the initiative. The saving is small at plant scale. It is about 0.016 g/kWh, so C1 does not change the plant’s climate case. It still exceeds the swing from the LC³ cut (1,672–2,964 t), the largest input other than eligibility. Its economic value is in Section 3.5.1. Slag is about as good as LC³, so the carbon case is for low-clinker concrete, not LC³ in particular. LC³ beats slag in only 55% of draws (median difference +54 t; 90% interval −588 to +766). If OPG’s baseline already contains slag, LC³’s gain is about −90 t, within noise. The specification should accept whichever binder qualifies first (Section 3.6.1).3. Lower-carbon steel is the larger lever but is not part of C1. Steel in the structures C1 targets saves only 566 t per unit (Appendix A7). All 14,000 t at best-practice electric-arc-furnace factors would save up to 3,915 t (1.8 times LC³), but this is an upper bound, not shown feasible for forgings and nuclear-grade plate. It is the next lever (Section 3.8). Schedule dominates. A delay of 11.6–18.5 days to one unit on Ontario’s average grid factor, or 1.7–1.8 days on the marginal factor, cancels its saving (Section 3.3.1; Appendix B5). C1 is therefore specified only if schedule-neutral (Section 3.6.2).</w:t>
      </w:r>
    </w:p>
    <w:p>
      <w:pPr>
        <w:pStyle w:val="BodyText"/>
        <w:rPr/>
      </w:pPr>
      <w:bookmarkStart w:id="68" w:name="the-initiative-against-the-baseline"/>
      <w:r>
        <w:rPr/>
        <w:t>For the triple-bottom-line evaluation (Section 3.7), C1 is environmentally positive but marginal; feasibility hinges on qualification and schedule.</w:t>
      </w:r>
      <w:bookmarkEnd w:id="68"/>
    </w:p>
    <w:p>
      <w:pPr>
        <w:pStyle w:val="Heading3"/>
        <w:rPr/>
      </w:pPr>
      <w:bookmarkStart w:id="69" w:name="__RefHeading___Toc52942_3211584216"/>
      <w:bookmarkStart w:id="70" w:name="uncertainty-tornado-and-monte-carlo"/>
      <w:bookmarkEnd w:id="69"/>
      <w:r>
        <w:rPr/>
        <w:t>3.2.4 Uncertainty: tornado and Monte Carlo</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the total by more than 0.06 g/kWh. The saving depends on four inputs: eligible share (1,100 → 3,300 t), LC³ cut (1,672 → 2,964 t), plant concrete volume (1,760 → 2,640 t) and the OPC factor (1,911 → 2,432 t).</w:t>
      </w:r>
    </w:p>
    <w:p>
      <w:pPr>
        <w:pStyle w:val="CaptionedFigure"/>
        <w:rPr/>
      </w:pPr>
      <w:r>
        <w:rPr/>
        <w:drawing>
          <wp:inline distT="0" distB="0" distL="0" distR="0">
            <wp:extent cx="5441315" cy="2725420"/>
            <wp:effectExtent l="0" t="0" r="0" b="0"/>
            <wp:docPr id="11"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The headline depends on how conversion heat is distributed: fixed at Gibon and Hahn Menacho’s (2023) central 26 kWh/kg U, the median is 3.51 g/kWh (2.80–4.39); log-uniform over 26–665, 4.11 (3.06–6.12). We quote the range of medians, 3.51–4.40. A measured conversion value would settle it. Draws are independent and many ranges are judgement (Appendix C6).</w:t>
      </w:r>
    </w:p>
    <w:p>
      <w:pPr>
        <w:pStyle w:val="CaptionedFigure"/>
        <w:rPr/>
      </w:pPr>
      <w:r>
        <w:rPr/>
        <w:drawing>
          <wp:inline distT="0" distB="0" distL="0" distR="0">
            <wp:extent cx="5441315" cy="1961515"/>
            <wp:effectExtent l="0" t="0" r="0" b="0"/>
            <wp:docPr id="12"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bookmarkStart w:id="71" w:name="uncertainty-tornado-and-monte-carlo"/>
      <w:r>
        <w:rPr/>
        <w:t>Figure F4. Monte Carlo distributions (20,000 draws) of life-cycle intensity (median 4.40, 5th–95th percentile 3.24–6.05 g CO₂e/kWh) and of C1’s saving per unit at central eligibility. | Source: this study, Appendix C4.</w:t>
      </w:r>
      <w:bookmarkEnd w:id="71"/>
    </w:p>
    <w:p>
      <w:pPr>
        <w:pStyle w:val="Heading3"/>
        <w:rPr/>
      </w:pPr>
      <w:bookmarkStart w:id="72" w:name="__RefHeading___Toc52944_3211584216"/>
      <w:bookmarkStart w:id="73" w:name="comparison-with-published-values"/>
      <w:bookmarkEnd w:id="72"/>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rPr/>
      </w:pPr>
      <w:r>
        <w:rPr/>
        <w:t>Three reasons explain most of the gap (sizes in Appendix C7): Ore grade: our mining is 1.0–1.3 g/kWh, against about 2.8 at global-average grades (Gibon and Hahn Menacho, 2023). Enrichment: centrifuges at 50 kWh per separative work unit, against about 2,500 for the diffusion plants in older study sets. Cut-offs and long life: excluded inputs and a 60-year life bias the result low; at 40 years the mode case rises from 2.86 to 3.07 g/kWh.</w:t>
      </w:r>
    </w:p>
    <w:p>
      <w:pPr>
        <w:pStyle w:val="BodyText"/>
        <w:rPr/>
      </w:pPr>
      <w:r>
        <w:rPr/>
        <w:t>Construction is now 0.41 g/kWh at the mode case (median 0.50), close to EDF’s roughly 0.59 for large reactors (16% of 3.7). The known low bias would raise the total and shrink C1’s share, so it does not weaken Section 3.2.3.</w:t>
      </w:r>
    </w:p>
    <w:p>
      <w:pPr>
        <w:pStyle w:val="CaptionedFigure"/>
        <w:rPr/>
      </w:pPr>
      <w:r>
        <w:rPr/>
        <w:drawing>
          <wp:inline distT="0" distB="0" distL="0" distR="0">
            <wp:extent cx="5441315" cy="2060575"/>
            <wp:effectExtent l="0" t="0" r="0" b="0"/>
            <wp:docPr id="13" name="Image5"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pPr>
        <w:pStyle w:val="normal1"/>
        <w:rPr/>
      </w:pPr>
      <w:bookmarkStart w:id="74" w:name="lifecycle-analysis"/>
      <w:bookmarkStart w:id="75" w:name="comparison-with-published-values"/>
      <w:r>
        <w:rPr/>
        <mc:AlternateContent>
          <mc:Choice Requires="wps">
            <w:drawing>
              <wp:inline distT="0" distB="0" distL="0" distR="0">
                <wp:extent cx="573151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p>
    <w:p>
      <w:pPr>
        <w:pStyle w:val="Heading2"/>
        <w:rPr/>
      </w:pPr>
      <w:bookmarkStart w:id="76" w:name="__RefHeading___Toc52946_3211584216"/>
      <w:bookmarkStart w:id="77" w:name="X3ddf3e033a24408f4e033b74259d967de4cad05"/>
      <w:bookmarkEnd w:id="76"/>
      <w:r>
        <w:rPr/>
        <w:t>3.3 National Strategies and Industrial Policies: Carbon Avoided in Ontario and Australia</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p>
      <w:pPr>
        <w:pStyle w:val="Heading3"/>
        <w:rPr/>
      </w:pPr>
      <w:bookmarkStart w:id="78" w:name="__RefHeading___Toc52948_3211584216"/>
      <w:bookmarkStart w:id="79" w:name="the-value-of-schedule"/>
      <w:bookmarkEnd w:id="78"/>
      <w:r>
        <w:rPr/>
        <w:t>3.3.1 The value of schedule</w:t>
      </w:r>
    </w:p>
    <w:p>
      <w:pPr>
        <w:pStyle w:val="FirstParagraph"/>
        <w:rPr/>
      </w:pPr>
      <w:r>
        <w:rPr/>
        <w:t>A unit that starts late gives up each day’s displacement (Table T6). Counted to 2050 (the “gross” view) the loss is permanent. Over the plant’s whole life (the “net” view) the lost time returns at end of life, but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bookmarkStart w:id="80" w:name="the-value-of-schedule"/>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Section 3.5.1), so no one is paid for it. Schedule neutrality is therefore the binding condition on C1. The mix must be qualified on Unit 1 mock-ups before the Units 2–4 decision expected in 2028 (Section 3.6.2).</w:t>
      </w:r>
      <w:bookmarkEnd w:id="80"/>
    </w:p>
    <w:p>
      <w:pPr>
        <w:pStyle w:val="Heading3"/>
        <w:rPr/>
      </w:pPr>
      <w:bookmarkStart w:id="81" w:name="__RefHeading___Toc52950_3211584216"/>
      <w:bookmarkStart w:id="82" w:name="Xb77cf30fc1ffb1f20fb94e7af23c490604b5f45"/>
      <w:bookmarkEnd w:id="81"/>
      <w:r>
        <w:rPr/>
        <w:t>3.3.2 What one BWRX-300 displaces: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Ontario’s marginal factor of 343 g/kWh it avoids 0.80 Mt (1.9× less) (The Atmospheric Fund, 2025).</w:t>
      </w:r>
    </w:p>
    <w:p>
      <w:pPr>
        <w:pStyle w:val="BodyText"/>
        <w:rPr/>
      </w:pPr>
      <w:r>
        <w:rPr/>
        <w:t>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rPr/>
      </w:pPr>
      <w:r>
        <w:rPr/>
        <w:t>To 2050 (Figure F6), Darlington Unit 1 avoids 1.0–6.8 Mt and Liddell 0.67–3.9 Mt. Liddell wins clearly only if the NEM stays at 640 g/kWh (16.5 Mt).</w:t>
      </w:r>
    </w:p>
    <w:p>
      <w:pPr>
        <w:pStyle w:val="BodyText"/>
        <w:rPr/>
      </w:pPr>
      <w:r>
        <w:rPr/>
        <w:t>The grid trajectory, start year and post-coal floor move these results tenfold; capacity factor, net output and our life-cycle interval move them by a few per cent (Appendix B4). An SMR at Liddell would displace the NEM mix, not Liddell’s coal (Section 1).</w:t>
      </w:r>
    </w:p>
    <w:p>
      <w:pPr>
        <w:pStyle w:val="BodyText"/>
        <w:rPr/>
      </w:pPr>
      <w:r>
        <w:rPr/>
        <w:t>An SMR’s climate value depends on when it runs and what it displaces, not on today’s coal share. In Ontario the case rests on displacing marginal gas. At Liddell it rests on the NEM decarbonising slowly.</w:t>
      </w:r>
    </w:p>
    <w:p>
      <w:pPr>
        <w:pStyle w:val="CaptionedFigure"/>
        <w:rPr/>
      </w:pPr>
      <w:r>
        <w:rPr/>
        <w:drawing>
          <wp:inline distT="0" distB="0" distL="0" distR="0">
            <wp:extent cx="4194810" cy="2862580"/>
            <wp:effectExtent l="0" t="0" r="0" b="0"/>
            <wp:docPr id="1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bookmarkStart w:id="83" w:name="Xb77cf30fc1ffb1f20fb94e7af23c490604b5f45"/>
      <w:r>
        <w:rPr/>
        <w:t>Figure F6. CO₂e avoided to 2050 by one BWRX-300: Darlington Unit 1 (from 2030) against Liddell (from 2035 or 2040), by grid case; hatched bars are upper bounds. | Source: this study, Appendix B4 (Table B17)</w:t>
      </w:r>
      <w:bookmarkEnd w:id="83"/>
    </w:p>
    <w:p>
      <w:pPr>
        <w:pStyle w:val="Heading3"/>
        <w:rPr/>
      </w:pPr>
      <w:bookmarkStart w:id="84" w:name="__RefHeading___Toc52952_3211584216"/>
      <w:bookmarkStart w:id="85" w:name="the-same-money-on-firmed-renewables"/>
      <w:bookmarkEnd w:id="84"/>
      <w:r>
        <w:rPr/>
        <w:t>3.3.3 The same money on firmed renewables</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 10.9× more CO₂e to 2050. They still avoid 5.7× more in the worst case we tested for them (SMR A$230, renewables A$153), and 4.9× with the SMR at A$198 (Appendix B6, Table B28). If A$387–641 is the 2030 range instead, the ratios become 5.0× and 19.1×. Renewables come out ahead because they are cheaper per MWh and start about a decade earlier. Two limits apply: that much new output would itself shift the grid trajectory, and integration costs rise beyond the shares GenCost models. On carbon per dollar, an SMR at Liddell loses. Its case rests on firm supply, land use, system security and a hedge against renewables or transmission falling behind, which Section 3.7 weighs.</w:t>
      </w:r>
    </w:p>
    <w:p>
      <w:pPr>
        <w:pStyle w:val="CaptionedFigure"/>
        <w:rPr/>
      </w:pPr>
      <w:r>
        <w:rPr/>
        <w:drawing>
          <wp:inline distT="0" distB="0" distL="0" distR="0">
            <wp:extent cx="4769485" cy="2578100"/>
            <wp:effectExtent l="0" t="0" r="0" b="0"/>
            <wp:docPr id="1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normal1"/>
        <w:rPr/>
      </w:pPr>
      <w:bookmarkStart w:id="86" w:name="X3ddf3e033a24408f4e033b74259d967de4cad05"/>
      <w:bookmarkStart w:id="87" w:name="the-same-money-on-firmed-renewables"/>
      <w:r>
        <w:rPr/>
        <mc:AlternateContent>
          <mc:Choice Requires="wps">
            <w:drawing>
              <wp:inline distT="0" distB="0" distL="0" distR="0">
                <wp:extent cx="573151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6"/>
      <w:bookmarkEnd w:id="87"/>
    </w:p>
    <w:p>
      <w:pPr>
        <w:pStyle w:val="Heading2"/>
        <w:rPr/>
      </w:pPr>
      <w:bookmarkStart w:id="88" w:name="__RefHeading___Toc52954_3211584216"/>
      <w:bookmarkStart w:id="89" w:name="stakeholder-analysis"/>
      <w:bookmarkEnd w:id="88"/>
      <w:r>
        <w:rPr/>
        <w:t>3.4 Stakeholder Analysis</w:t>
      </w:r>
    </w:p>
    <w:p>
      <w:pPr>
        <w:pStyle w:val="Heading3"/>
        <w:rPr/>
      </w:pPr>
      <w:bookmarkStart w:id="90" w:name="__RefHeading___Toc52956_3211584216"/>
      <w:bookmarkStart w:id="91" w:name="stakeholders-and-money-flows"/>
      <w:bookmarkEnd w:id="90"/>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and interest beside its money.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(Section 3.5.1), with taxpayers carrying the cost risk under the Coalition’s 2024 model,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 Contractors and suppliers then decide whether LC³ is deliverable.</w:t>
      </w:r>
    </w:p>
    <w:p>
      <w:pPr>
        <w:pStyle w:val="CaptionedFigure"/>
        <w:rPr/>
      </w:pPr>
      <w:r>
        <w:rPr/>
        <w:drawing>
          <wp:inline distT="0" distB="0" distL="0" distR="0">
            <wp:extent cx="5441315" cy="3894455"/>
            <wp:effectExtent l="0" t="0" r="0" b="0"/>
            <wp:docPr id="20"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and suitable response for C1</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eligible concrete scope, budgets, delivery; oversee qualification and a fallback mix</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Ontario ratepayers through Ontario Energy Board-approved rates (Ontario Power Generation, 2025b)</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compliance and safety case; evaluate material changes where applicable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and other rights holders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cultural and environmental interests; rights-respecting engagement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 lower-carbon economic development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Phase 1 loan, C$0.97 bn (4.6%) (Canada Infrastructure Bank, 2022); equity in two tranches, C$3.0 bn (14.4%), for stakes of up to 15% and 7.5% (Canada Growth Fund and Building Ontario Fund,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ready-mix and clay suppliers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 warranties, continuous quality testing</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electricity customers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transparent reporting, cost and reliability</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Workers, unions and laboratories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Occupational safety, training, testing, reliable construction procedures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jobs per SMR (Section 3.4.2)</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NWMO and waste managers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waste stewardship; funded end-of-life obligations</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Producer-funded (Section 3.4.2)</w:t>
            </w:r>
          </w:p>
        </w:tc>
      </w:tr>
    </w:tbl>
    <w:p>
      <w:pPr>
        <w:pStyle w:val="normal1"/>
        <w:rPr/>
      </w:pPr>
      <w:bookmarkStart w:id="92" w:name="stakeholders-and-money-flows"/>
      <w:r>
        <w:rPr/>
        <mc:AlternateContent>
          <mc:Choice Requires="wps">
            <w:drawing>
              <wp:inline distT="0" distB="0" distL="0" distR="0">
                <wp:extent cx="635"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2"/>
    </w:p>
    <w:p>
      <w:pPr>
        <w:pStyle w:val="Heading3"/>
        <w:rPr/>
      </w:pPr>
      <w:bookmarkStart w:id="93" w:name="__RefHeading___Toc52958_3211584216"/>
      <w:bookmarkStart w:id="94" w:name="social-licence"/>
      <w:bookmarkEnd w:id="93"/>
      <w:r>
        <w:rPr/>
        <w:t>3.4.2 Social licence</w:t>
      </w:r>
    </w:p>
    <w:p>
      <w:pPr>
        <w:pStyle w:val="FirstParagraph"/>
        <w:rPr/>
      </w:pPr>
      <w:r>
        <w:rPr/>
        <w:t>The same reactor has a social licence at Darlington and none at Liddell. Safety data do not explain the difference; consent, benefit and trust do (Table T8).</w:t>
      </w:r>
    </w:p>
    <w:p>
      <w:pPr>
        <w:pStyle w:val="Heading4"/>
        <w:rPr/>
      </w:pPr>
      <w:bookmarkStart w:id="95" w:name="perceived-and-actual-safety"/>
      <w:r>
        <w:rPr/>
        <w:t>Perceived and actual safety</w:t>
      </w:r>
    </w:p>
    <w:p>
      <w:pPr>
        <w:pStyle w:val="FirstParagraph"/>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The first is the investment, the second its credit support. Two of the seven told the CNSC in 2023–24 that their concerns had not been addressed, so ownership by participating Nations is not universal consent, nor a substitute for consulting other Indigenous groups.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bookmarkEnd w:id="95"/>
    </w:p>
    <w:p>
      <w:pPr>
        <w:pStyle w:val="Heading4"/>
        <w:rPr/>
      </w:pPr>
      <w:bookmarkStart w:id="96" w:name="translation-to-practice"/>
      <w:r>
        <w:rPr/>
        <w:t>Translation to practice</w:t>
      </w:r>
    </w:p>
    <w:p>
      <w:pPr>
        <w:pStyle w:val="FirstParagraph"/>
        <w:rPr/>
      </w:pPr>
      <w:r>
        <w:rPr/>
        <w:t>C1 changes no land use, emissions or waste at the site, so it raises no new consent issue there; its social value is indirect, as a lower-carbon build that OPG can report to its First Nations and public equity partners (our inference). Away from the site, clay sourcing, haulage and water use could create distributional impacts, and powder dust and calcination emissions are occupational matters at suppliers and batching plants. A socially sustainable pilot would disclose source locations and routes early, open supply to Indigenous and local firms where technically suitable, and report environmental data plainly. Waste stewardship is unchanged: the NWMO repository near Ignace entered regulatory assessment in January 2026 and is not operating (Nuclear Waste Management Organization, 2026), and LC³ has no proven recyclability or clearance advantage.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about zero against wind or solar (Markandya and Wilkinson, 2007)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risk factors keep acceptance low (Slovic, 1987); Appendix B8.1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duty to consult met; C$700 m loan converting to equity (Williams Treaties First Nations et al., 2026)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in our searches, itself a finding; no process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Residual dissent and litigation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Scugog Island and Curve Lake raised unmet concerns in 2023–24 (Mississaugas of Scugog Island First Nation, 2023; Curve Lake First Nation,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Kimba ballot 61.6% yes, Barngarla excluded; declaration set aside (</w:t>
            </w:r>
            <w:r>
              <w:rPr>
                <w:rFonts w:eastAsia="Aptos" w:cs="Aptos"/>
                <w:i/>
                <w:iCs/>
                <w:kern w:val="0"/>
                <w:lang w:val="en-US"/>
              </w:rPr>
              <w:t>Barngarla</w:t>
            </w:r>
            <w:r>
              <w:rPr>
                <w:rFonts w:eastAsia="Aptos" w:cs="Aptos"/>
                <w:kern w:val="0"/>
                <w:lang w:val="en-US"/>
              </w:rPr>
              <w:t xml:space="preserve"> [2023] FCA 809)</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Excluding Traditional Owners left the declaration open to challenge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 unions support (Power Workers’ Union, 2021)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scarce trades</w:t>
            </w:r>
          </w:p>
        </w:tc>
      </w:tr>
    </w:tbl>
    <w:p>
      <w:pPr>
        <w:pStyle w:val="normal1"/>
        <w:rPr/>
      </w:pPr>
      <w:bookmarkStart w:id="97" w:name="stakeholder-analysis"/>
      <w:bookmarkStart w:id="98" w:name="social-licence"/>
      <w:bookmarkStart w:id="99" w:name="translation-to-practice"/>
      <w:r>
        <w:rPr/>
        <mc:AlternateContent>
          <mc:Choice Requires="wps">
            <w:drawing>
              <wp:inline distT="0" distB="0" distL="0" distR="0">
                <wp:extent cx="635"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7"/>
      <w:bookmarkEnd w:id="98"/>
      <w:bookmarkEnd w:id="99"/>
    </w:p>
    <w:p>
      <w:pPr>
        <w:pStyle w:val="Heading2"/>
        <w:rPr/>
      </w:pPr>
      <w:bookmarkStart w:id="100" w:name="__RefHeading___Toc52960_3211584216"/>
      <w:bookmarkStart w:id="101" w:name="market-analysis-and-economic-feasibility"/>
      <w:bookmarkEnd w:id="100"/>
      <w:r>
        <w:rPr/>
        <w:t>3.5 Market Analysis and Economic Feasibility</w:t>
      </w:r>
    </w:p>
    <w:p>
      <w:pPr>
        <w:pStyle w:val="Heading3"/>
        <w:rPr/>
      </w:pPr>
      <w:bookmarkStart w:id="102" w:name="__RefHeading___Toc52962_3211584216"/>
      <w:bookmarkStart w:id="103" w:name="economics-finance-and-market-barriers"/>
      <w:bookmarkEnd w:id="102"/>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Heading4"/>
        <w:rPr/>
      </w:pPr>
      <w:bookmarkStart w:id="104" w:name="cost"/>
      <w:r>
        <w:rPr/>
        <w:t>Cost</w:t>
      </w:r>
    </w:p>
    <w:p>
      <w:pPr>
        <w:pStyle w:val="FirstParagraph"/>
        <w:rPr/>
      </w:pPr>
      <w:bookmarkStart w:id="105" w:name="cost"/>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bookmarkEnd w:id="105"/>
    </w:p>
    <w:p>
      <w:pPr>
        <w:pStyle w:val="Heading4"/>
        <w:rPr/>
      </w:pPr>
      <w:bookmarkStart w:id="106" w:name="risk-and-finance"/>
      <w:r>
        <w:rPr/>
        <w:t>Risk and finance</w:t>
      </w:r>
    </w:p>
    <w:p>
      <w:pPr>
        <w:pStyle w:val="FirstParagraph"/>
        <w:rPr/>
      </w:pPr>
      <w:bookmarkStart w:id="107" w:name="risk-and-finance"/>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 “once project milestones are met” (Canada Growth Fund and Building Ontario Fund, 2025), which is C1’s main financial lever.</w:t>
      </w:r>
      <w:bookmarkEnd w:id="107"/>
    </w:p>
    <w:p>
      <w:pPr>
        <w:pStyle w:val="Heading4"/>
        <w:rPr/>
      </w:pPr>
      <w:bookmarkStart w:id="108" w:name="barriers-to-entry"/>
      <w:r>
        <w:rPr/>
        <w:t>Barriers to entry</w:t>
      </w:r>
    </w:p>
    <w:p>
      <w:pPr>
        <w:pStyle w:val="FirstParagraph"/>
        <w:rPr/>
      </w:pPr>
      <w:bookmarkStart w:id="109" w:name="barriers-to-entry"/>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bookmarkEnd w:id="109"/>
    </w:p>
    <w:p>
      <w:pPr>
        <w:pStyle w:val="Heading4"/>
        <w:rPr/>
      </w:pPr>
      <w:bookmarkStart w:id="110" w:name="the-initiative-c1-1"/>
      <w:r>
        <w:rPr/>
        <w:t>The initiative (C1)</w:t>
      </w:r>
    </w:p>
    <w:p>
      <w:pPr>
        <w:pStyle w:val="FirstParagraph"/>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Free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OPG’s reported four-unit LCOE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C$149/MWh (2024 dollars); ours matches at 4.9% real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regulated utility’s cost of capital</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 2020 to 2023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normal1"/>
        <w:rPr/>
      </w:pPr>
      <w:bookmarkStart w:id="111" w:name="economics-finance-and-market-barriers"/>
      <w:bookmarkStart w:id="112" w:name="the-initiative-c1-1"/>
      <w:r>
        <w:rPr/>
        <mc:AlternateContent>
          <mc:Choice Requires="wps">
            <w:drawing>
              <wp:inline distT="0" distB="0" distL="0" distR="0">
                <wp:extent cx="63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p>
    <w:p>
      <w:pPr>
        <w:pStyle w:val="Heading3"/>
        <w:rPr/>
      </w:pPr>
      <w:bookmarkStart w:id="113" w:name="__RefHeading___Toc52964_3211584216"/>
      <w:bookmarkStart w:id="114" w:name="supply-concentration-and-geopolitics"/>
      <w:bookmarkEnd w:id="113"/>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Heading4"/>
        <w:rPr/>
      </w:pPr>
      <w:bookmarkStart w:id="115" w:name="sanctions-make-it-worse"/>
      <w:r>
        <w:rPr/>
        <w:t>Sanctions make it worse</w:t>
      </w:r>
    </w:p>
    <w:p>
      <w:pPr>
        <w:pStyle w:val="FirstParagraph"/>
        <w:rPr/>
      </w:pPr>
      <w:bookmarkStart w:id="116" w:name="sanctions-make-it-worse"/>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bookmarkEnd w:id="116"/>
    </w:p>
    <w:p>
      <w:pPr>
        <w:pStyle w:val="Heading4"/>
        <w:rPr/>
      </w:pPr>
      <w:bookmarkStart w:id="117" w:name="darlington-and-liddell-compared"/>
      <w:r>
        <w:rPr/>
        <w:t>Darlington and Liddell compared</w:t>
      </w:r>
    </w:p>
    <w:p>
      <w:pPr>
        <w:pStyle w:val="FirstParagraph"/>
        <w:rPr/>
      </w:pPr>
      <w:bookmarkStart w:id="118" w:name="darlington-and-liddell-compared"/>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bookmarkEnd w:id="118"/>
    </w:p>
    <w:p>
      <w:pPr>
        <w:pStyle w:val="Heading4"/>
        <w:rPr/>
      </w:pPr>
      <w:bookmarkStart w:id="119" w:name="translation-to-practice-1"/>
      <w:r>
        <w:rPr/>
        <w:t>Translation to practice</w:t>
      </w:r>
    </w:p>
    <w:p>
      <w:pPr>
        <w:pStyle w:val="FirstParagraph"/>
        <w:rPr/>
      </w:pPr>
      <w:r>
        <w:rPr/>
        <w:t>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(Section 3.6.2).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i/>
          <w:iCs/>
        </w:rPr>
        <w:t>Note: High is above 1,800 (2023) and above 2,500 (2010). Sensitivity and limits: Appendix B2.4–B2.5.</w:t>
      </w:r>
    </w:p>
    <w:p>
      <w:pPr>
        <w:pStyle w:val="normal1"/>
        <w:rPr/>
      </w:pPr>
      <w:bookmarkStart w:id="120" w:name="market-analysis-and-economic-feasibility"/>
      <w:bookmarkStart w:id="121" w:name="supply-concentration-and-geopolitics"/>
      <w:bookmarkStart w:id="122" w:name="translation-to-practice-1"/>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20"/>
      <w:bookmarkEnd w:id="121"/>
      <w:bookmarkEnd w:id="122"/>
    </w:p>
    <w:p>
      <w:pPr>
        <w:pStyle w:val="Heading2"/>
        <w:rPr/>
      </w:pPr>
      <w:bookmarkStart w:id="123" w:name="__RefHeading___Toc52966_3211584216"/>
      <w:bookmarkStart w:id="124" w:name="government-regulations-review"/>
      <w:bookmarkEnd w:id="123"/>
      <w:r>
        <w:rPr/>
        <w:t>3.6 Government Regulations Review</w:t>
      </w:r>
    </w:p>
    <w:p>
      <w:pPr>
        <w:pStyle w:val="Heading3"/>
        <w:rPr/>
      </w:pPr>
      <w:bookmarkStart w:id="125" w:name="__RefHeading___Toc52968_3211584216"/>
      <w:bookmarkStart w:id="126" w:name="law-regulation-and-licensing"/>
      <w:bookmarkEnd w:id="125"/>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Heading4"/>
        <w:rPr/>
      </w:pPr>
      <w:bookmarkStart w:id="127" w:name="australia"/>
      <w:r>
        <w:rPr/>
        <w:t>Australia</w:t>
      </w:r>
    </w:p>
    <w:p>
      <w:pPr>
        <w:pStyle w:val="FirstParagraph"/>
        <w:rPr/>
      </w:pPr>
      <w:bookmarkStart w:id="128" w:name="australia"/>
      <w:r>
        <w:rPr/>
        <w:t>Federal repeal fails in the Senate while Labor and the Greens oppose, so the Coalition’s pledge to “repeal all legislative prohibitions” (Liberal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bookmarkEnd w:id="128"/>
    </w:p>
    <w:p>
      <w:pPr>
        <w:pStyle w:val="Heading4"/>
        <w:rPr/>
      </w:pPr>
      <w:bookmarkStart w:id="129" w:name="canada"/>
      <w:r>
        <w:rPr/>
        <w:t>Canada</w:t>
      </w:r>
    </w:p>
    <w:p>
      <w:pPr>
        <w:pStyle w:val="FirstParagraph"/>
        <w:rPr/>
      </w:pPr>
      <w:bookmarkStart w:id="130" w:name="canada"/>
      <w:r>
        <w:rPr/>
        <w:t>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bookmarkEnd w:id="130"/>
    </w:p>
    <w:p>
      <w:pPr>
        <w:pStyle w:val="Heading4"/>
        <w:rPr/>
      </w:pPr>
      <w:bookmarkStart w:id="131" w:name="translation-to-practice-2"/>
      <w:r>
        <w:rPr/>
        <w:t>Translation to practice</w:t>
      </w:r>
    </w:p>
    <w:p>
      <w:pPr>
        <w:pStyle w:val="FirstParagraph"/>
        <w:rPr/>
      </w:pPr>
      <w:r>
        <w:rPr/>
        <w:t>The non-safety pilot needs no nuclear qualification. Infill qualification must start in 2027, with slag (S1) as the fallback (Section 3.6.2). At Liddell the barrier precedes any materials choice: none of these first-order barriers can be solved by changing Portland cement to LC³.</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Labor and the Greens opposed (Appendix B1.2; Parliament of Australia, 2026)</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no body licenses private power reactors, and NSW has no nuclear regulator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new federal regulator or NSW regulator (Appendix B3); the naval regulator began in November 2025 (Minister for Defence,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is established; Units 2–4 need a further authorisation (CNSC, 2026a)</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state approval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stalled in the Assembly, lapses 28 November 2026; Parliament of New South Wales, 2026) or a Commonwealth override under Constitution s 109</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there (Newcastle Herald, 2024a)</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normal1"/>
        <w:rPr/>
      </w:pPr>
      <w:bookmarkStart w:id="132" w:name="law-regulation-and-licensing"/>
      <w:bookmarkStart w:id="133" w:name="translation-to-practice-2"/>
      <w:r>
        <w:rPr/>
        <mc:AlternateContent>
          <mc:Choice Requires="wps">
            <w:drawing>
              <wp:inline distT="0" distB="0" distL="0" distR="0">
                <wp:extent cx="635"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2"/>
      <w:bookmarkEnd w:id="133"/>
    </w:p>
    <w:p>
      <w:pPr>
        <w:pStyle w:val="Heading3"/>
        <w:rPr/>
      </w:pPr>
      <w:bookmarkStart w:id="134" w:name="__RefHeading___Toc52970_3211584216"/>
      <w:bookmarkStart w:id="135" w:name="implementation-pathway"/>
      <w:bookmarkEnd w:id="134"/>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it depends on; outcome if not met</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with a cap on emissions; non-safety concrete first</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(own contracts); next procurement round (2027)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Classification and provenance: each component’s safety function defined, binder traced; if not, exclude it and revert to the approved mix</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with tranche 2 (around 2028)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verification: EPDs on a comparable product boundary, with transport modelled; if not, no quantified saving claim</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affected safety-class works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lot records and mock-ups; if not met, a further trial, rework or rejection</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Heading4"/>
        <w:rPr/>
      </w:pPr>
      <w:r>
        <w:rPr/>
        <w:t>Qualification and sequencing</w:t>
      </w:r>
    </w:p>
    <w:p>
      <w:pPr>
        <w:pStyle w:val="FirstParagraph"/>
        <w:rPr/>
      </w:pPr>
      <w:r>
        <w:rPr/>
        <w:t>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the pilot continues in non-safety concrete,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pPr>
        <w:pStyle w:val="normal1"/>
        <w:rPr/>
      </w:pPr>
      <w:bookmarkStart w:id="136" w:name="government-regulations-review"/>
      <w:bookmarkStart w:id="137" w:name="implementation-pathway"/>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bookmarkEnd w:id="137"/>
    </w:p>
    <w:p>
      <w:pPr>
        <w:pStyle w:val="Heading2"/>
        <w:rPr/>
      </w:pPr>
      <w:bookmarkStart w:id="138" w:name="__RefHeading___Toc52972_3211584216"/>
      <w:bookmarkStart w:id="139" w:name="X5539a185355627e6c3e07c8c8240218227305a6"/>
      <w:bookmarkEnd w:id="138"/>
      <w:r>
        <w:rPr/>
        <w:t>3.7 Triple-bottom-line evaluation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bookmarkStart w:id="140" w:name="__RefHeading___Toc52974_3211584216"/>
      <w:bookmarkEnd w:id="140"/>
      <w:r>
        <w:rPr/>
        <w:t>3.7.1 Triple bottom line</w:t>
      </w:r>
    </w:p>
    <w:p>
      <w:pPr>
        <w:pStyle w:val="FirstParagraph"/>
        <w:rPr/>
      </w:pPr>
      <w:r>
        <w:rPr/>
        <w:t>Table T14 applies the triple bottom line to C1 at Darlington and to the comparison at Liddell, each cell traced to its section.</w:t>
      </w:r>
    </w:p>
    <w:p>
      <w:pPr>
        <w:pStyle w:val="BodyText"/>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supply and end-of-life effects are uncertain. Unit 1 avoids 1.0–6.8 Mt to 2050.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modest beside capital and less than one day of delay (C$1.8–2.9 m); qualification, sourcing and schedule risk matter.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ownership or underwriting (our inference, Section 3.5.1).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converting to equity. C1 adds no consent issue at the site; sourcing and workplace dust need open handling.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 Enrichment and conversion would be imported.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bookmarkStart w:id="141" w:name="triple-bottom-line"/>
            <w:bookmarkEnd w:id="141"/>
          </w:p>
        </w:tc>
      </w:tr>
    </w:tbl>
    <w:p>
      <w:pPr>
        <w:pStyle w:val="Heading3"/>
        <w:rPr/>
      </w:pPr>
      <w:bookmarkStart w:id="142" w:name="__RefHeading___Toc52976_3211584216"/>
      <w:bookmarkEnd w:id="142"/>
      <w:r>
        <w:rPr/>
        <w:t>3.7.2 Multi-criteria analysis</w:t>
      </w:r>
    </w:p>
    <w:p>
      <w:pPr>
        <w:pStyle w:val="FirstParagraph"/>
        <w:rPr/>
      </w:pPr>
      <w:r>
        <w:rPr/>
        <w:t>Method in Section 2; working in Appendix B7; social-licence and legal scores from Appendix B8.3 and B3. Technology readiness level (TRL) is not scored.</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Heading4"/>
        <w:rPr/>
      </w:pPr>
      <w:bookmarkStart w:id="143" w:name="rank-reversal"/>
      <w:r>
        <w:rPr/>
        <w:t>Rank reversal</w:t>
      </w:r>
    </w:p>
    <w:p>
      <w:pPr>
        <w:pStyle w:val="FirstParagraph"/>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rPr/>
      </w:pPr>
      <w:r>
        <w:rPr/>
        <w:t>SMR + C1 and SMR are indistinguishable. 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rPr/>
      </w:pPr>
      <w:bookmarkStart w:id="144" w:name="rank-reversal"/>
      <w:r>
        <w:rPr/>
        <w:t>The status quo’s second place over the SMR is a scaling artefact. It scores full marks on cost, supply and legal feasibility because it changes nothing; on fixed global scales the SMR moves above it. Renewables stay first on both.</w:t>
      </w:r>
      <w:bookmarkEnd w:id="144"/>
    </w:p>
    <w:p>
      <w:pPr>
        <w:pStyle w:val="Heading3"/>
        <w:rPr/>
      </w:pPr>
      <w:bookmarkStart w:id="145" w:name="__RefHeading___Toc52978_3211584216"/>
      <w:bookmarkStart w:id="146" w:name="verdict-and-limits"/>
      <w:bookmarkEnd w:id="145"/>
      <w:r>
        <w:rPr/>
        <w:t>3.7.3 Verdict and limits</w:t>
      </w:r>
    </w:p>
    <w:p>
      <w:pPr>
        <w:pStyle w:val="Heading4"/>
        <w:rPr/>
      </w:pPr>
      <w:bookmarkStart w:id="147" w:name="darlington"/>
      <w:r>
        <w:rPr/>
        <w:t>Darlington</w:t>
      </w:r>
    </w:p>
    <w:p>
      <w:pPr>
        <w:pStyle w:val="FirstParagraph"/>
        <w:rPr/>
      </w:pPr>
      <w:bookmarkStart w:id="148" w:name="darlington"/>
      <w:r>
        <w:rPr/>
        <w:t>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is a safeguard against trading a carbon saving for structural or occupational risk. Qualification must start in 2027 for the 2028 Units 2–4 decision (Section 3.6.2).</w:t>
      </w:r>
      <w:bookmarkEnd w:id="148"/>
    </w:p>
    <w:p>
      <w:pPr>
        <w:pStyle w:val="Heading4"/>
        <w:rPr/>
      </w:pPr>
      <w:bookmarkStart w:id="149" w:name="australia-1"/>
      <w:r>
        <w:rPr/>
        <w:t>Australia</w:t>
      </w:r>
    </w:p>
    <w:p>
      <w:pPr>
        <w:pStyle w:val="FirstParagraph"/>
        <w:rPr/>
      </w:pPr>
      <w:bookmarkStart w:id="150" w:name="australia-1"/>
      <w:r>
        <w:rPr/>
        <w:t>An SMR at Liddell would need its cost gap closed, first power well before 2040, and the legal and consent barriers removed first (Appendix B3, route C). We would keep SMRs under review against Darlington’s outturn cost.</w:t>
      </w:r>
      <w:bookmarkEnd w:id="150"/>
    </w:p>
    <w:p>
      <w:pPr>
        <w:pStyle w:val="Heading4"/>
        <w:rPr/>
      </w:pPr>
      <w:bookmarkStart w:id="151" w:name="limits"/>
      <w:r>
        <w:rPr/>
        <w:t>Limits</w:t>
      </w:r>
    </w:p>
    <w:p>
      <w:pPr>
        <w:pStyle w:val="FirstParagraph"/>
        <w:rPr/>
      </w:pPr>
      <w:r>
        <w:rPr/>
        <w:t>The social, legal and renewables-supply scores and all four weight sets are our judgement. The status quo’s lead over the SMR depends on the scaling; only “renewables first” is robust to it. Schedule risk enters through first power (2040 at the earliest; the Coalition’s 2035 and a 2045 case change nothing). Costs are GenCost’s (Graham, Hayward and Foster, 2024); the renewables supply score uses solar PV alone (International Energy Agency, 2022).</w:t>
      </w:r>
    </w:p>
    <w:p>
      <w:pPr>
        <w:pStyle w:val="normal1"/>
        <w:rPr/>
      </w:pPr>
      <w:bookmarkStart w:id="152" w:name="X5539a185355627e6c3e07c8c8240218227305a6"/>
      <w:bookmarkStart w:id="153" w:name="verdict-and-limits"/>
      <w:bookmarkStart w:id="154" w:name="limits"/>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52"/>
      <w:bookmarkEnd w:id="153"/>
      <w:bookmarkEnd w:id="154"/>
    </w:p>
    <w:p>
      <w:pPr>
        <w:pStyle w:val="Heading2"/>
        <w:rPr/>
      </w:pPr>
      <w:bookmarkStart w:id="155" w:name="__RefHeading___Toc52980_3211584216"/>
      <w:bookmarkEnd w:id="155"/>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LC³ heat-of-hydration data found; M50 strength 56.7 against 60.0 MPa (Pillai et al., 2019)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through diaphragm holes, temperature rise and shrinkage; qualification under NEDO-33926, which reportedly rests on a modified AISC N690 (GE-Hitachi Nuclear Energy, 2024), before the approval expected in 2028 (American Nuclear Society, 2026)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in vessel steel (Canadian Nuclear Safety Commission, 2023b)</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first outside the pressure boundary (our inference)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licence application was accepted in August 2025 (Silex Systems Limited, 2025) and Cameco takes its output (Silex Systems Limited,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per unit of energy (Krall, Macfarlane and Ewing, 2022; contested); ANSTO’s Synroc ceramic, hot-pressed at 1,000 °C and 30 MPa, cuts volume against cement but is pre-commissioning (ANSTO, n.d.)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 for Australia, an export of know-how rather than a reason to build</w:t>
            </w:r>
            <w:bookmarkStart w:id="156" w:name="discussion"/>
            <w:bookmarkStart w:id="157" w:name="future-material-properties-and-processes"/>
            <w:bookmarkEnd w:id="156"/>
            <w:bookmarkEnd w:id="157"/>
          </w:p>
        </w:tc>
      </w:tr>
    </w:tbl>
    <w:p>
      <w:pPr>
        <w:pStyle w:val="Heading1"/>
        <w:rPr/>
      </w:pPr>
      <w:bookmarkStart w:id="158" w:name="__RefHeading___Toc52982_3211584216"/>
      <w:bookmarkEnd w:id="158"/>
      <w:r>
        <w:rPr/>
        <w:t>4 Conclusion</w:t>
      </w:r>
    </w:p>
    <w:p>
      <w:pPr>
        <w:pStyle w:val="FirstParagraph"/>
        <w:rPr/>
      </w:pPr>
      <w:r>
        <w:rPr/>
        <w:t>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Heading4"/>
        <w:rPr/>
      </w:pPr>
      <w:bookmarkStart w:id="159" w:name="research-questions-1"/>
      <w:r>
        <w:rPr/>
        <w:t>Research questions</w:t>
      </w:r>
    </w:p>
    <w:p>
      <w:pPr>
        <w:pStyle w:val="Compact"/>
        <w:numPr>
          <w:ilvl w:val="0"/>
          <w:numId w:val="28"/>
        </w:numPr>
        <w:rPr/>
      </w:pPr>
      <w:r>
        <w:rPr>
          <w:i/>
          <w:iCs/>
        </w:rPr>
        <w:t>Life cycle (Section 3.2).</w:t>
      </w:r>
      <w:r>
        <w:rPr/>
        <w:t xml:space="preserve"> One BWRX-300 emits about 4 g CO₂e/kWh, mostly from the fuel front end; conversion heat is the largest uncertainty.</w:t>
      </w:r>
    </w:p>
    <w:p>
      <w:pPr>
        <w:pStyle w:val="Compact"/>
        <w:numPr>
          <w:ilvl w:val="0"/>
          <w:numId w:val="29"/>
        </w:numPr>
        <w:rPr/>
      </w:pPr>
      <w:r>
        <w:rPr>
          <w:i/>
          <w:iCs/>
        </w:rPr>
        <w:t>C1 (Sections 3.2–3.3).</w:t>
      </w:r>
      <w:r>
        <w:rPr/>
        <w:t xml:space="preserve"> It saves 2,200 t per unit (1,100–3,300; Section 3.1.4), about 0.36% of the life cycle; a delay of 11.6–18.5 days cancels it (1.7–1.8 days on the marginal grid factor).</w:t>
      </w:r>
    </w:p>
    <w:p>
      <w:pPr>
        <w:pStyle w:val="Compact"/>
        <w:numPr>
          <w:ilvl w:val="0"/>
          <w:numId w:val="30"/>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31"/>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bookmarkStart w:id="160" w:name="research-questions-1"/>
      <w:r>
        <w:rPr/>
        <w:t>Ranked materials levers.. Schedule: a month’s slip to Units 2–4 costs 29–175 times C1’s carbon value (Section 3.3). Fuel front end: a measured conversion-heat value would narrow the headline most (Section 3.2). Whole-plant steel: up to 3,714 t per unit, if feasible for nuclear-grade plate (Section 3.8). Concrete (C1): real and low-risk if schedule-neutral, but it moves the life cycle by about 0.36%.</w:t>
      </w:r>
      <w:bookmarkEnd w:id="160"/>
    </w:p>
    <w:p>
      <w:pPr>
        <w:pStyle w:val="Heading4"/>
        <w:rPr/>
      </w:pPr>
      <w:bookmarkStart w:id="161" w:name="limitations"/>
      <w:bookmarkEnd w:id="161"/>
      <w:r>
        <w:rPr/>
        <w:t>Limitations</w:t>
      </w:r>
    </w:p>
    <w:p>
      <w:pPr>
        <w:pStyle w:val="FirstParagraph"/>
        <w:rPr/>
      </w:pPr>
      <w:r>
        <w:rPr/>
        <w:t>A screening LCA, not critically reviewed; MCDA scores and weights are our judgement; inputs are as described in Section 2; legislation is as compiled, without the 2025 EPBC reforms.</w:t>
      </w:r>
    </w:p>
    <w:p>
      <w:pPr>
        <w:pStyle w:val="normal1"/>
        <w:rPr/>
      </w:pPr>
      <w:r>
        <w:rPr/>
        <mc:AlternateContent>
          <mc:Choice Requires="wps">
            <w:drawing>
              <wp:inline distT="0" distB="0" distL="0" distR="0">
                <wp:extent cx="57315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1"/>
        <w:rPr/>
      </w:pPr>
      <w:r>
        <w:rPr/>
      </w:r>
      <w:bookmarkStart w:id="162" w:name="limitations"/>
      <w:bookmarkStart w:id="163" w:name="limitations"/>
      <w:bookmarkEnd w:id="163"/>
      <w:r>
        <w:br w:type="page"/>
      </w:r>
    </w:p>
    <w:p>
      <w:pPr>
        <w:pStyle w:val="Heading1"/>
        <w:spacing w:before="0" w:after="120"/>
        <w:rPr/>
      </w:pPr>
      <w:bookmarkStart w:id="164" w:name="__RefHeading___Toc52984_3211584216"/>
      <w:bookmarkStart w:id="165" w:name="references"/>
      <w:bookmarkEnd w:id="164"/>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ABC News, 2026. Coalition vows to “take a chainsaw” to climate laws and offshore wind. </w:t>
      </w:r>
      <w:r>
        <w:rPr>
          <w:i/>
          <w:iCs/>
        </w:rPr>
        <w:t>ABC News</w:t>
      </w:r>
      <w:r>
        <w:rPr/>
        <w:t>, 23 September. [online] Available at: https://www.abc.net.au/news/2026-09-23/coalition-energy-plan-scrap-renewables-climate-laws/107184376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ARPANSA, n.d. </w:t>
      </w:r>
      <w:r>
        <w:rPr>
          <w:i/>
          <w:iCs/>
        </w:rPr>
        <w:t>Who we regulate</w:t>
      </w:r>
      <w:r>
        <w:rPr/>
        <w:t>. [online] Australian Radiation Protection and Nuclear Safety Agency. Available at: https://www.arpansa.gov.au/regulation-and-licensing/regulation/about-regulatory-services/who-we-regulate [Accessed 20 October 2026].</w:t>
      </w:r>
    </w:p>
    <w:p>
      <w:pPr>
        <w:pStyle w:val="BodyText"/>
        <w:rPr/>
      </w:pPr>
      <w:r>
        <w:rPr/>
        <w:t xml:space="preserve">The Atmospheric Fund, 2021. </w:t>
      </w:r>
      <w:r>
        <w:rPr>
          <w:i/>
          <w:iCs/>
        </w:rPr>
        <w:t>A Clearer View of Ontario’s Emissions: Electricity Emissions Factors and Guidelines, 2021 Edition</w:t>
      </w:r>
      <w:r>
        <w:rPr/>
        <w:t>. [pdf] Toronto: The Atmospheric Fund. Available at: https://taf.ca/custom/uploads/2021/11/20211116_TAF_Emissions-Factors-Guidelines.pdf.</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Electoral Commission, 2019. </w:t>
      </w:r>
      <w:r>
        <w:rPr>
          <w:i/>
          <w:iCs/>
        </w:rPr>
        <w:t>District Council of Kimba community ballot on the National Radioactive Waste Management Facility: results</w:t>
      </w:r>
      <w:r>
        <w:rPr/>
        <w:t>. Canberra: Australian Electoral Commission.</w:t>
      </w:r>
    </w:p>
    <w:p>
      <w:pPr>
        <w:pStyle w:val="BodyText"/>
        <w:rPr/>
      </w:pPr>
      <w:r>
        <w:rPr/>
        <w:t xml:space="preserve">Australian Electoral Commission, 2025. </w:t>
      </w:r>
      <w:r>
        <w:rPr>
          <w:i/>
          <w:iCs/>
        </w:rPr>
        <w:t>2025 federal election report</w:t>
      </w:r>
      <w:r>
        <w:rPr/>
        <w:t>. [pdf] Canberra: Australian Electoral Commission. Available at: https://www.aec.gov.au/Elections/federal_elections/2025/2025-Federal-Election-Report.pdf [Accessed 20 October 2026].</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Market Operator, 2025. </w:t>
      </w:r>
      <w:r>
        <w:rPr>
          <w:i/>
          <w:iCs/>
        </w:rPr>
        <w:t>Carbon Dioxide Equivalent Intensity Index Procedures</w:t>
      </w:r>
      <w:r>
        <w:rPr/>
        <w:t>. [pdf] Melbourne: AEMO. Available at: https://aemo.com.au/-/media/files/electricity/nem/settlements_and_payments/settlements/2025/carbon-dioxide-equivalent-intensity-index-procedures.pdf.</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Australian Greens, 2025. </w:t>
      </w:r>
      <w:r>
        <w:rPr>
          <w:i/>
          <w:iCs/>
        </w:rPr>
        <w:t>2035: Powering Past Coal &amp; Gas</w:t>
      </w:r>
      <w:r>
        <w:rPr/>
        <w:t>. [pdf] Available at: https://cdn.greens.org.au/cdn/ff/fk0q_VgBQA5t00ZlhkPcF6i2IEZByQHBjpMq1g6YdVQ/1744244709/public/2025-04/2035%20Powering%20Past%20Coal%20&amp;%20Gas.pdf [Accessed 20 October 2026].</w:t>
      </w:r>
    </w:p>
    <w:p>
      <w:pPr>
        <w:pStyle w:val="BodyText"/>
        <w:rPr/>
      </w:pPr>
      <w:r>
        <w:rPr/>
        <w:t xml:space="preserve">Bowen, C., 2025. </w:t>
      </w:r>
      <w:r>
        <w:rPr>
          <w:i/>
          <w:iCs/>
        </w:rPr>
        <w:t>Joint media release: Experts agree: nuclear only getting more expensive, slower for Australia’s energy needs</w:t>
      </w:r>
      <w:r>
        <w:rPr/>
        <w:t>. [online] Canberra: Minister for Climate Change and Energy. Available at: https://minister.dcceew.gov.au/bowen/media-releases/joint-media-release-experts-agree-nuclear-only-getting-more-expensive-slower-australias-energy-needs [Accessed 20 October 2026].</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Energy Regulator, n.d. </w:t>
      </w:r>
      <w:r>
        <w:rPr>
          <w:i/>
          <w:iCs/>
        </w:rPr>
        <w:t>Provincial and Territorial Energy Profiles – Ontario</w:t>
      </w:r>
      <w:r>
        <w:rPr/>
        <w:t>. [online] Available at: https://www.cer-rec.gc.ca/en/data-analysis/energy-markets/provincial-territorial-energy-profiles/provincial-territorial-energy-profiles-ontario.html.</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Canberra Times, 2025. Dutton’s nuclear power plan faces legal hurdles. </w:t>
      </w:r>
      <w:r>
        <w:rPr>
          <w:i/>
          <w:iCs/>
        </w:rPr>
        <w:t>Canberra Times</w:t>
      </w:r>
      <w:r>
        <w:rPr/>
        <w:t>. [online] Available at: https://www.canberratimes.com.au/story/8851241/duttons-nuclear-power-plan-faces-legal-hurdles/ [Accessed 20 October 2026].</w:t>
      </w:r>
    </w:p>
    <w:p>
      <w:pPr>
        <w:pStyle w:val="BodyText"/>
        <w:rPr/>
      </w:pPr>
      <w:r>
        <w:rPr/>
        <w:t xml:space="preserve">Canberra Times, n.d. ‘Nightmare scenario’: states slam Dutton’s nuclear plan. </w:t>
      </w:r>
      <w:r>
        <w:rPr>
          <w:i/>
          <w:iCs/>
        </w:rPr>
        <w:t>Canberra Times</w:t>
      </w:r>
      <w:r>
        <w:rPr/>
        <w:t>. [online] Available at: https://www.canberratimes.com.au/story/8668232/nightmare-scenario-states-slam-duttons-nuclear-plan/ [Accessed 20 October 2026].</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Cement Association of Canada, 2022. </w:t>
      </w:r>
      <w:r>
        <w:rPr>
          <w:i/>
          <w:iCs/>
        </w:rPr>
        <w:t>Environmental Product Declaration: General Use (GU) and Portland-Limestone (GUL) Cements</w:t>
      </w:r>
      <w:r>
        <w:rPr/>
        <w:t>. [pdf] Available at: https://www.astm.org/v3/assets/blt5eb0a2cb04534832/blt9992df315e96e31c/697b1f51f6a61062618f5048/919.CAC_General_Use_(GU)</w:t>
      </w:r>
      <w:r>
        <w:rPr>
          <w:i/>
          <w:iCs/>
        </w:rPr>
        <w:t>and_Portland-Limestone</w:t>
      </w:r>
      <w:r>
        <w:rPr/>
        <w:t>(GUL)_Cements.pdf.</w:t>
      </w:r>
    </w:p>
    <w:p>
      <w:pPr>
        <w:pStyle w:val="BodyText"/>
        <w:rPr/>
      </w:pPr>
      <w:r>
        <w:rPr/>
        <w:t xml:space="preserve">Circular Ecology, 2019. </w:t>
      </w:r>
      <w:r>
        <w:rPr>
          <w:i/>
          <w:iCs/>
        </w:rPr>
        <w:t>Inventory of Carbon and Energy (ICE) database v3.0</w:t>
      </w:r>
      <w:r>
        <w:rPr/>
        <w:t>. Bath: Circular Ecology.</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Concrete Reinforcing Steel Institute, 2022. </w:t>
      </w:r>
      <w:r>
        <w:rPr>
          <w:i/>
          <w:iCs/>
        </w:rPr>
        <w:t>Environmental Product Declaration: Fabricated Steel Reinforcement</w:t>
      </w:r>
      <w:r>
        <w:rPr/>
        <w:t>. Schaumburg, IL: Concrete Reinforcing Steel Institute. Available at: https://www.crsi.org/sustainability/environmental-product-declaration/.</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CSA Group, 2026. </w:t>
      </w:r>
      <w:r>
        <w:rPr>
          <w:i/>
          <w:iCs/>
        </w:rPr>
        <w:t>CSA N287.2, Material requirements for concrete containment structures for nuclear power plants</w:t>
      </w:r>
      <w:r>
        <w:rPr/>
        <w:t>. [online] Standard catalogue information. Toronto: CSA Group. Available at: https://webstore.ansi.org/standards/csa/csan2872026 [Accessed 25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Department of Industry, Science, Energy and Resources, 2020. </w:t>
      </w:r>
      <w:r>
        <w:rPr>
          <w:i/>
          <w:iCs/>
        </w:rPr>
        <w:t>A new agency to manage radioactive waste</w:t>
      </w:r>
      <w:r>
        <w:rPr/>
        <w:t>. [online] Available at: https://industry.gov.au/news-media/australian-radioactive-waste-agency-news/a-new-agency-to-manage-radioactive-waste [Accessed 21 October 2026].</w:t>
      </w:r>
    </w:p>
    <w:p>
      <w:pPr>
        <w:pStyle w:val="BodyText"/>
        <w:rPr/>
      </w:pPr>
      <w:r>
        <w:rPr/>
        <w:t xml:space="preserve">Development Alternatives, n.d. </w:t>
      </w:r>
      <w:r>
        <w:rPr>
          <w:i/>
          <w:iCs/>
        </w:rPr>
        <w:t>LC3 Sustainability Assessment</w:t>
      </w:r>
      <w:r>
        <w:rPr/>
        <w:t xml:space="preserve"> (ver 1.14). Available at: https://devalt.org/images/L2_ProjectPdfs/Report%20-%20LC3%20Sustainability%20Assessment_ver1.14.pdf.</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EFNARC, 2005. </w:t>
      </w:r>
      <w:r>
        <w:rPr>
          <w:i/>
          <w:iCs/>
        </w:rPr>
        <w:t>The European Guidelines for Self-Compacting Concrete: Specification, Production and Use</w:t>
      </w:r>
      <w:r>
        <w:rPr/>
        <w:t>. Farnham: EFNARC.</w:t>
      </w:r>
    </w:p>
    <w:p>
      <w:pPr>
        <w:pStyle w:val="BodyText"/>
        <w:rPr/>
      </w:pPr>
      <w:r>
        <w:rPr/>
        <w:t xml:space="preserve">ENR, 2018. Clay and limestone cement could cut carbon emissions. </w:t>
      </w:r>
      <w:r>
        <w:rPr>
          <w:i/>
          <w:iCs/>
        </w:rPr>
        <w:t>Engineering News-Record</w:t>
      </w:r>
      <w:r>
        <w:rPr/>
        <w:t>, 7 May. Available at: https://digital.bnpmedia.com/article/Construction+Materials/3078554/494167/article.html.</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Geneski, N., McKellar, J.M. and Atkinson, K.D., n.d. Life cycle environmental impacts of small modular reactors: BWRX-300 Darlington project. </w:t>
      </w:r>
      <w:r>
        <w:rPr>
          <w:i/>
          <w:iCs/>
        </w:rPr>
        <w:t>Proceedings of the Canadian Nuclear Society</w:t>
      </w:r>
      <w:r>
        <w:rPr/>
        <w:t>. Available at: https://proceedings.cns-snc.ca/index.php/pcns/article/view/7692.</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Government of Ontario, n.d. </w:t>
      </w:r>
      <w:r>
        <w:rPr>
          <w:i/>
          <w:iCs/>
        </w:rPr>
        <w:t>Ontario energy snapshot</w:t>
      </w:r>
      <w:r>
        <w:rPr/>
        <w:t>. [online] Available at: https://www.ontario.ca/page/ontario-energy-snapshot.</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Graham, P., Hayward, J. and Foster, J., 2025. </w:t>
      </w:r>
      <w:r>
        <w:rPr>
          <w:i/>
          <w:iCs/>
        </w:rPr>
        <w:t>GenCost 2024-25: Final report</w:t>
      </w:r>
      <w:r>
        <w:rPr/>
        <w:t>. [pdf] Australia: CSIRO. Executive summary available at: https://www.csiro.au/-/media/Energy/GenCost/GenCost2024-25Final_ES.pdf.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Independent Electricity System Operator, 2024. </w:t>
      </w:r>
      <w:r>
        <w:rPr>
          <w:i/>
          <w:iCs/>
        </w:rPr>
        <w:t>Ontario’s Energy Future: Spring 2024 Update</w:t>
      </w:r>
      <w:r>
        <w:rPr/>
        <w:t>. [pdf] Toronto: Independent Electricity System Operator. Available at: https://www.ieso.ca/-/media/Files/IESO/Document-Library/Decarbonization-Hub/IESO-Ontarios-Energy-Future-Spring-2024.pdf.</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IPCC, 2006. </w:t>
      </w:r>
      <w:r>
        <w:rPr>
          <w:i/>
          <w:iCs/>
        </w:rPr>
        <w:t>2006 IPCC Guidelines for National Greenhouse Gas Inventories</w:t>
      </w:r>
      <w:r>
        <w:rPr/>
        <w:t>, Vol. 2 Energy, Ch. 2, Table 2.2. Hayama: Institute for Global Environmental Strategies.</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Kazatomprom, 2025. </w:t>
      </w:r>
      <w:r>
        <w:rPr>
          <w:i/>
          <w:iCs/>
        </w:rPr>
        <w:t>Integrated Annual Report 2024</w:t>
      </w:r>
      <w:r>
        <w:rPr/>
        <w:t>. [pdf] Astana: NAC Kazatomprom JSC. Available at: https://www.kazatomprom.kz/storage/59/kap_iar_2024_eng_0205__clean.pdf [Accessed 20 October 2026].</w:t>
      </w:r>
    </w:p>
    <w:p>
      <w:pPr>
        <w:pStyle w:val="BodyText"/>
        <w:rPr/>
      </w:pPr>
      <w:r>
        <w:rPr/>
        <w:t xml:space="preserve">Kim and Macfarlane, 2026. </w:t>
      </w:r>
      <w:r>
        <w:rPr>
          <w:i/>
          <w:iCs/>
        </w:rPr>
        <w:t>Challenges of small modular reactors: a comprehensive exploration</w:t>
      </w:r>
      <w:r>
        <w:rPr/>
        <w:t>. [pdf] Available at: https://www.nirs.org/wp-content/uploads/2025/09/SMR-Costs_Challenges-of-SMRs-cost-waste_Kim-Macfarlane_2026.pdf.</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LACCEI, 2026. Comparative life cycle assessment and structural performance analysis of eco-friendly LC3 cement for CO₂ reduction compared to Portland cement. In: </w:t>
      </w:r>
      <w:r>
        <w:rPr>
          <w:i/>
          <w:iCs/>
        </w:rPr>
        <w:t>Proceedings of the 24th LACCEI International Multi-Conference for Engineering, Education and Technology</w:t>
      </w:r>
      <w:r>
        <w:rPr/>
        <w:t>, Santiago, Chile, 15–17 July 2026. Contribution 2661. Available at: https://laccei.org/LACCEI2026-Chile/full-papers/Contribution_2661_final_a.pdf.</w:t>
      </w:r>
    </w:p>
    <w:p>
      <w:pPr>
        <w:pStyle w:val="BodyText"/>
        <w:rPr/>
      </w:pPr>
      <w:r>
        <w:rPr/>
        <w:t xml:space="preserve">LC3 Project, 2015. </w:t>
      </w:r>
      <w:r>
        <w:rPr>
          <w:i/>
          <w:iCs/>
        </w:rPr>
        <w:t>LCA of LC3: India team progress</w:t>
      </w:r>
      <w:r>
        <w:rPr/>
        <w:t xml:space="preserve"> (industry meeting, September 2015). Available at: https://lc3.ch/wp-content/uploads/2023/03/LCA-of-LC3-India-team-progress-Industry-meeting-Sep-2015.pdf.</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 xml:space="preserve">Minister for Defence, 2025. </w:t>
      </w:r>
      <w:r>
        <w:rPr>
          <w:i/>
          <w:iCs/>
        </w:rPr>
        <w:t>An AUKUS milestone – launch of the Australian Naval Nuclear Power Safety Regulator</w:t>
      </w:r>
      <w:r>
        <w:rPr/>
        <w:t>. [media release] 1 November. Available at: https://www.minister.defence.gov.au/media-releases/2025-11-01/aukus-milestone-launch-australian-naval-nuclear-power-safety-regulator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Municipality of Clarington, 2024. Letter / written submission to the CNSC on the DNNP licence to construct. Available at: https://api.cnsc-ccsn.gc.ca/dms/digital-medias/CMD24-H2-12.pdf/object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Newspoll, 2007. National survey on nuclear power, 2–4 March 2007 (n ≈ 1,200). Published in </w:t>
      </w:r>
      <w:r>
        <w:rPr>
          <w:i/>
          <w:iCs/>
        </w:rPr>
        <w:t>The Australian</w:t>
      </w:r>
      <w:r>
        <w:rPr/>
        <w:t>.</w:t>
      </w:r>
    </w:p>
    <w:p>
      <w:pPr>
        <w:pStyle w:val="BodyText"/>
        <w:rPr/>
      </w:pPr>
      <w:r>
        <w:rPr/>
        <w:t xml:space="preserve">Ng, J.H.C., Vyawahare, P., Benavides, P.T., Gan, Y., Sun, P., Boardman, R., Marcinkoski, J. and Elgowainy, A., 2025. Life-cycle greenhouse gas emissions associated with nuclear power generation in the United States. </w:t>
      </w:r>
      <w:r>
        <w:rPr>
          <w:i/>
          <w:iCs/>
        </w:rPr>
        <w:t>Journal of Industrial Ecology</w:t>
      </w:r>
      <w:r>
        <w:rPr/>
        <w:t>, 29(3), pp.719–732. Available at: https://doi.org/10.1111/jiec.70008.</w:t>
      </w:r>
    </w:p>
    <w:p>
      <w:pPr>
        <w:pStyle w:val="BodyText"/>
        <w:rPr/>
      </w:pPr>
      <w:r>
        <w:rPr/>
        <w:t xml:space="preserve">Norton Rose Fulbright, 2025. </w:t>
      </w:r>
      <w:r>
        <w:rPr>
          <w:i/>
          <w:iCs/>
        </w:rPr>
        <w:t>Key amendments to the Environment Protection Reform Act 2025 and their implications for the EPBC Act</w:t>
      </w:r>
      <w:r>
        <w:rPr/>
        <w:t>. [online] Available at: https://www.nortonrosefulbright.com/en-au/knowledge/publications/df336551/key-amendments-to-the-environment-protection-reform-act-2025-and-their-implications-for-the-epbc-act [Accessed 20 October 2026].</w:t>
      </w:r>
    </w:p>
    <w:p>
      <w:pPr>
        <w:pStyle w:val="BodyText"/>
        <w:rPr/>
      </w:pPr>
      <w:r>
        <w:rPr/>
        <w:t xml:space="preserve">NRMCA, 2021. </w:t>
      </w:r>
      <w:r>
        <w:rPr>
          <w:i/>
          <w:iCs/>
        </w:rPr>
        <w:t>Environmental Product Declaration EPD 20046: St Marys Cement, Bowmanville plant</w:t>
      </w:r>
      <w:r>
        <w:rPr/>
        <w:t>. [pdf] Available at: https://www.nrmca.org/wp-content/uploads/2021/09/NRMCA_EPD20046StMarys_EPD_BOW_Sep2021.pdf.</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2026. </w:t>
      </w:r>
      <w:r>
        <w:rPr>
          <w:i/>
          <w:iCs/>
        </w:rPr>
        <w:t>Form 10-K for the fiscal year ended 31 December 2025</w:t>
      </w:r>
      <w:r>
        <w:rPr/>
        <w:t>. Washington, DC: US Securities and Exchange Commission. Available at: https://www.sec.gov/Archives/edgar/data/1822966/000182296626000018/smr-20251231.htm.</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Power Workers’ Union, 2021. </w:t>
      </w:r>
      <w:r>
        <w:rPr>
          <w:i/>
          <w:iCs/>
        </w:rPr>
        <w:t>Written submission in support of OPG’s application to renew the Darlington power reactor operating licence</w:t>
      </w:r>
      <w:r>
        <w:rPr/>
        <w:t>, CMD 21-H4.38. Available at: https://api.cnsc-ccsn.gc.ca/dms/digital-medias/CMD21-H4-38.pdf/object [Accessed 21 October 2026].</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Reserve Bank of Australia, 2025. </w:t>
      </w:r>
      <w:r>
        <w:rPr>
          <w:i/>
          <w:iCs/>
        </w:rPr>
        <w:t>Historical Data: Exchange Rates (F11)</w:t>
      </w:r>
      <w:r>
        <w:rPr/>
        <w:t>. [online] Sydney: Reserve Bank of Australia.</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 xml:space="preserve">Senate Environment and Communications Legislation Committee, 2023. </w:t>
      </w:r>
      <w:r>
        <w:rPr>
          <w:i/>
          <w:iCs/>
        </w:rPr>
        <w:t>Environment and Other Legislation Amendment (Removing Nuclear Energy Prohibitions) Bill 2022 [Provisions]</w:t>
      </w:r>
      <w:r>
        <w:rPr/>
        <w:t>. [online] Canberra: Parliament of Australia. Available at: https://www.aph.gov.au/Parliamentary_Business/Committees/Senate/Environment_and_Communications/Nuclearprohibitions [Accessed 20 October 2026].</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1988. </w:t>
      </w:r>
      <w:r>
        <w:rPr>
          <w:i/>
          <w:iCs/>
        </w:rPr>
        <w:t>Regulatory Guide 1.99, Revision 2: Radiation embrittlement of reactor vessel materials</w:t>
      </w:r>
      <w:r>
        <w:rPr/>
        <w:t>. [pdf] Washington, DC: US Nuclear Regulatory Commission. Available at: https://www.nrc.gov/docs/ML1214/ML12145A013.pdf [Accessed 25 October 2026].</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Heading4"/>
        <w:rPr/>
      </w:pPr>
      <w:bookmarkStart w:id="166" w:name="legislation"/>
      <w:r>
        <w:rPr/>
        <w:t>Legislation</w:t>
      </w:r>
    </w:p>
    <w:p>
      <w:pPr>
        <w:pStyle w:val="FirstParagraph"/>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bookmarkEnd w:id="166"/>
    </w:p>
    <w:p>
      <w:pPr>
        <w:pStyle w:val="Heading4"/>
        <w:rPr/>
      </w:pPr>
      <w:bookmarkStart w:id="167" w:name="cases"/>
      <w:r>
        <w:rPr/>
        <w:t>Cases</w:t>
      </w:r>
    </w:p>
    <w:p>
      <w:pPr>
        <w:pStyle w:val="FirstParagraph"/>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bookmarkEnd w:id="165"/>
      <w:bookmarkEnd w:id="167"/>
    </w:p>
    <w:p>
      <w:pPr>
        <w:pStyle w:val="Heading1"/>
        <w:rPr/>
      </w:pPr>
      <w:bookmarkStart w:id="168" w:name="__RefHeading___Toc52986_3211584216"/>
      <w:bookmarkStart w:id="169" w:name="declaration-of-generative-ai-use"/>
      <w:bookmarkEnd w:id="168"/>
      <w:bookmarkEnd w:id="169"/>
      <w:r>
        <w:rPr/>
        <w:t>Declaration of generative AI use</w:t>
      </w:r>
    </w:p>
    <w:p>
      <w:pPr>
        <w:pStyle w:val="FirstParagraph"/>
        <w:rPr/>
      </w:pPr>
      <w:r>
        <w:rPr>
          <w:rStyle w:val="TeamNote"/>
        </w:rPr>
        <w:t>TEAM: agree the AI-use declaration wording and add it here.</w:t>
      </w:r>
    </w:p>
    <w:p>
      <w:pPr>
        <w:pStyle w:val="normal1"/>
        <w:rPr/>
      </w:pPr>
      <w:r>
        <w:rPr/>
      </w:r>
      <w:bookmarkStart w:id="170" w:name="declaration-of-generative-ai-use"/>
      <w:bookmarkStart w:id="171" w:name="declaration-of-generative-ai-use"/>
      <w:bookmarkEnd w:id="171"/>
      <w:r>
        <w:br w:type="page"/>
      </w:r>
    </w:p>
    <w:p>
      <w:pPr>
        <w:pStyle w:val="Heading1"/>
        <w:spacing w:before="0" w:after="120"/>
        <w:rPr/>
      </w:pPr>
      <w:bookmarkStart w:id="172" w:name="__RefHeading___Toc52988_3211584216"/>
      <w:bookmarkStart w:id="173" w:name="appendices"/>
      <w:bookmarkEnd w:id="172"/>
      <w:r>
        <w:rPr/>
        <w:t>Appendices</w:t>
      </w:r>
    </w:p>
    <w:p>
      <w:pPr>
        <w:pStyle w:val="Heading2"/>
        <w:rPr/>
      </w:pPr>
      <w:bookmarkStart w:id="174" w:name="__RefHeading___Toc52990_3211584216"/>
      <w:bookmarkStart w:id="175" w:name="Xddcc31d2d3503f687b8b233cd4a745104a63a5c"/>
      <w:bookmarkEnd w:id="174"/>
      <w:r>
        <w:rPr/>
        <w:t>Appendix A. LCA inventory and calculations</w:t>
      </w:r>
    </w:p>
    <w:p>
      <w:pPr>
        <w:pStyle w:val="FirstParagraph"/>
        <w:rPr/>
      </w:pPr>
      <w:r>
        <w:rPr>
          <w:rStyle w:val="TeamNote"/>
        </w:rPr>
        <w:t>LEROY: your Granta EduPack results go in A9 (currently ‘planned but not completed’).</w:t>
      </w:r>
    </w:p>
    <w:p>
      <w:pPr>
        <w:pStyle w:val="BodyText"/>
        <w:rPr/>
      </w:pPr>
      <w:r>
        <w:rPr/>
        <w:t>This appendix gives the full working behind Section 3.2.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p>
      <w:pPr>
        <w:pStyle w:val="Heading4"/>
        <w:rPr/>
      </w:pPr>
      <w:bookmarkStart w:id="176" w:name="a1.-reproducing-the-results"/>
      <w:r>
        <w:rPr/>
        <w:t>A1. Reproducing the results</w:t>
      </w:r>
    </w:p>
    <w:p>
      <w:pPr>
        <w:pStyle w:val="FirstParagraph"/>
        <w:rPr/>
      </w:pPr>
      <w:r>
        <w:rPr/>
        <w:t xml:space="preserve">Every table and figure in Section 3.2 and Appendices A and C regenerates in about five seconds from one parameter file. To change a value, edit </w:t>
      </w:r>
      <w:r>
        <w:rPr>
          <w:rStyle w:val="VerbatimChar"/>
        </w:rPr>
        <w:t>parameters_lca.yaml</w:t>
      </w:r>
      <w:r>
        <w:rPr/>
        <w:t xml:space="preserve"> and re-run the three scripts.</w:t>
      </w:r>
    </w:p>
    <w:p>
      <w:pPr>
        <w:pStyle w:val="BodyText"/>
        <w:rPr/>
      </w:pPr>
      <w:r>
        <w:rPr>
          <w:i/>
          <w:iCs/>
        </w:rPr>
        <w:t>Table A1. Scripts, inputs and outputs.</w:t>
      </w:r>
      <w:r>
        <w:rPr/>
        <w:t xml:space="preserve"> </w:t>
      </w:r>
      <w:r>
        <w:rPr>
          <w:i/>
          <w:iCs/>
        </w:rPr>
        <w:t xml:space="preserve">Source: </w:t>
      </w:r>
      <w:r>
        <w:rPr>
          <w:rStyle w:val="VerbatimChar"/>
          <w:i/>
          <w:iCs/>
        </w:rPr>
        <w:t>03_LCA_Calculations/</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Step</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Command (from the repository root)</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inventory, fuel mass balance, stage totals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03_LCA_Calculations/scripts/lca_baseline.py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results/lca_baseline.md</w:t>
            </w:r>
            <w:r>
              <w:rPr>
                <w:rFonts w:eastAsia="Aptos" w:cs="Aptos"/>
                <w:kern w:val="0"/>
                <w:lang w:val="en-US"/>
              </w:rPr>
              <w:t xml:space="preserve">, </w:t>
            </w:r>
            <w:r>
              <w:rPr>
                <w:rStyle w:val="VerbatimChar"/>
                <w:rFonts w:eastAsia="Aptos" w:cs="Aptos"/>
                <w:kern w:val="0"/>
                <w:lang w:val="en-US"/>
              </w:rPr>
              <w:t>lca_inventory.csv</w:t>
            </w:r>
            <w:r>
              <w:rPr>
                <w:rFonts w:eastAsia="Aptos" w:cs="Aptos"/>
                <w:kern w:val="0"/>
                <w:lang w:val="en-US"/>
              </w:rPr>
              <w:t xml:space="preserve">, </w:t>
            </w:r>
            <w:r>
              <w:rPr>
                <w:rStyle w:val="VerbatimChar"/>
                <w:rFonts w:eastAsia="Aptos" w:cs="Aptos"/>
                <w:kern w:val="0"/>
                <w:lang w:val="en-US"/>
              </w:rPr>
              <w:t>lca_stages.csv</w:t>
            </w:r>
            <w:r>
              <w:rPr>
                <w:rFonts w:eastAsia="Aptos" w:cs="Aptos"/>
                <w:kern w:val="0"/>
                <w:lang w:val="en-US"/>
              </w:rPr>
              <w:t xml:space="preserve">, </w:t>
            </w:r>
            <w:r>
              <w:rPr>
                <w:rStyle w:val="VerbatimChar"/>
                <w:rFonts w:eastAsia="Aptos" w:cs="Aptos"/>
                <w:kern w:val="0"/>
                <w:lang w:val="en-US"/>
              </w:rPr>
              <w:t>lca_fuel.csv</w:t>
            </w:r>
            <w:r>
              <w:rPr>
                <w:rFonts w:eastAsia="Aptos" w:cs="Aptos"/>
                <w:kern w:val="0"/>
                <w:lang w:val="en-US"/>
              </w:rPr>
              <w:t>, Figure F1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Initiative scenarios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03_LCA_Calculations/scripts/lca_scenarios.py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results/lca_scenarios.md</w:t>
            </w:r>
            <w:r>
              <w:rPr>
                <w:rFonts w:eastAsia="Aptos" w:cs="Aptos"/>
                <w:kern w:val="0"/>
                <w:lang w:val="en-US"/>
              </w:rPr>
              <w:t xml:space="preserve">, </w:t>
            </w:r>
            <w:r>
              <w:rPr>
                <w:rStyle w:val="VerbatimChar"/>
                <w:rFonts w:eastAsia="Aptos" w:cs="Aptos"/>
                <w:kern w:val="0"/>
                <w:lang w:val="en-US"/>
              </w:rPr>
              <w:t>lca_scenarios.csv</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Tornado and Monte Carlo (Appendix C)</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03_LCA_Calculations/scripts/lca_uncertainty.py</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results/lca_uncertainty.md</w:t>
            </w:r>
            <w:r>
              <w:rPr>
                <w:rFonts w:eastAsia="Aptos" w:cs="Aptos"/>
                <w:kern w:val="0"/>
                <w:lang w:val="en-US"/>
              </w:rPr>
              <w:t xml:space="preserve">, </w:t>
            </w:r>
            <w:r>
              <w:rPr>
                <w:rStyle w:val="VerbatimChar"/>
                <w:rFonts w:eastAsia="Aptos" w:cs="Aptos"/>
                <w:kern w:val="0"/>
                <w:lang w:val="en-US"/>
              </w:rPr>
              <w:t>lca_tornado.csv</w:t>
            </w:r>
            <w:r>
              <w:rPr>
                <w:rFonts w:eastAsia="Aptos" w:cs="Aptos"/>
                <w:kern w:val="0"/>
                <w:lang w:val="en-US"/>
              </w:rPr>
              <w:t xml:space="preserve">, </w:t>
            </w:r>
            <w:r>
              <w:rPr>
                <w:rStyle w:val="VerbatimChar"/>
                <w:rFonts w:eastAsia="Aptos" w:cs="Aptos"/>
                <w:kern w:val="0"/>
                <w:lang w:val="en-US"/>
              </w:rPr>
              <w:t>lca_montecarlo_summary.csv</w:t>
            </w:r>
            <w:r>
              <w:rPr>
                <w:rFonts w:eastAsia="Aptos" w:cs="Aptos"/>
                <w:kern w:val="0"/>
                <w:lang w:val="en-US"/>
              </w:rPr>
              <w:t xml:space="preserve">, </w:t>
            </w:r>
            <w:r>
              <w:rPr>
                <w:rStyle w:val="VerbatimChar"/>
                <w:rFonts w:eastAsia="Aptos" w:cs="Aptos"/>
                <w:kern w:val="0"/>
                <w:lang w:val="en-US"/>
              </w:rPr>
              <w:t>lca_stages_expected.csv</w:t>
            </w:r>
            <w:r>
              <w:rPr>
                <w:rFonts w:eastAsia="Aptos" w:cs="Aptos"/>
                <w:kern w:val="0"/>
                <w:lang w:val="en-US"/>
              </w:rPr>
              <w:t>, Figures F2–F5</w:t>
            </w:r>
          </w:p>
        </w:tc>
      </w:tr>
    </w:tbl>
    <w:p>
      <w:pPr>
        <w:pStyle w:val="BodyText"/>
        <w:rPr/>
      </w:pPr>
      <w:r>
        <w:rPr/>
        <w:t xml:space="preserve">All three scripts read only </w:t>
      </w:r>
      <w:r>
        <w:rPr>
          <w:rStyle w:val="VerbatimChar"/>
        </w:rPr>
        <w:t>03_LCA_Calculations/parameters_lca.yaml</w:t>
      </w:r>
      <w:r>
        <w:rPr/>
        <w:t xml:space="preserve"> (68 parameters, each with a value, range, distribution, source key and status).</w:t>
      </w:r>
      <w:bookmarkEnd w:id="176"/>
    </w:p>
    <w:p>
      <w:pPr>
        <w:pStyle w:val="Heading4"/>
        <w:rPr/>
      </w:pPr>
      <w:r>
        <w:rPr/>
        <w:t>A2. Functional unit, lifetime output and key assumptions</w:t>
      </w:r>
    </w:p>
    <w:p>
      <w:pPr>
        <w:pStyle w:val="FirstParagraph"/>
        <w:rPr/>
      </w:pPr>
      <w:r>
        <w:rPr>
          <w:b/>
          <w:bCs/>
        </w:rPr>
        <w:t>Result.</w:t>
      </w:r>
      <w:r>
        <w:rPr/>
        <w:t xml:space="preserve"> One unit delivers 1.419 × 10⁸ MWh over its life, the denominator for every per-MWh value in Section 3.2 and Section 3.3.</w:t>
      </w:r>
    </w:p>
    <w:p>
      <w:pPr>
        <w:pStyle w:val="Compact"/>
        <w:numPr>
          <w:ilvl w:val="0"/>
          <w:numId w:val="32"/>
        </w:numPr>
        <w:rPr/>
      </w:pPr>
      <w:r>
        <w:rPr/>
        <w:t>Annual output = P_net × 8,760 h × CF = 300 MWe × 8,760 × 0.90 = 2,365,200 MWh/yr.</w:t>
      </w:r>
    </w:p>
    <w:p>
      <w:pPr>
        <w:pStyle w:val="Compact"/>
        <w:numPr>
          <w:ilvl w:val="0"/>
          <w:numId w:val="33"/>
        </w:numPr>
        <w:rPr/>
      </w:pPr>
      <w:r>
        <w:rPr/>
        <w:t xml:space="preserve">Lifetime output E = 2,365,200 × 60 = </w:t>
      </w:r>
      <w:r>
        <w:rPr>
          <w:b/>
          <w:bCs/>
        </w:rPr>
        <w:t>1.419 × 10⁸ MWh</w:t>
      </w:r>
      <w:r>
        <w:rPr/>
        <w:t>.</w:t>
      </w:r>
    </w:p>
    <w:p>
      <w:pPr>
        <w:pStyle w:val="Compact"/>
        <w:numPr>
          <w:ilvl w:val="0"/>
          <w:numId w:val="34"/>
        </w:numPr>
        <w:rPr/>
      </w:pPr>
      <w:r>
        <w:rPr/>
        <w:t xml:space="preserve">Net efficiency η = P_net / P_th = 300 / 870 = </w:t>
      </w:r>
      <w:r>
        <w:rPr>
          <w:b/>
          <w:bCs/>
        </w:rPr>
        <w:t>0.345</w:t>
      </w:r>
      <w:r>
        <w:rPr/>
        <w:t xml:space="preserve"> (870 MWt from Sun and Kurosaki, 2025, an unrefereed preprint).</w:t>
      </w:r>
    </w:p>
    <w:p>
      <w:pPr>
        <w:pStyle w:val="Compact"/>
        <w:numPr>
          <w:ilvl w:val="0"/>
          <w:numId w:val="35"/>
        </w:numPr>
        <w:rPr/>
      </w:pPr>
      <w:r>
        <w:rPr/>
        <w:t>Conversion to the functional unit: 1 t CO₂e spread over E is 7.05 × 10⁻⁶ g/kWh.</w:t>
      </w:r>
    </w:p>
    <w:p>
      <w:pPr>
        <w:pStyle w:val="FirstParagraph"/>
        <w:rPr/>
      </w:pPr>
      <w:r>
        <w:rPr/>
        <w:t>Inputs: P_net 300 MWe (GE Vernova Hitachi Nuclear Energy, n.d.), with 315 MWe net in OPG’s filing to the Ontario Energy Board (Ontario Power Generation, 2025b) as the upper bound; CF 0.90, a placeholder shared with Section 3.3; L 60 years (Canadian Nuclear Safety Commission, 2024; 65 years is reported elsewhere).</w:t>
      </w:r>
    </w:p>
    <w:p>
      <w:pPr>
        <w:pStyle w:val="BodyText"/>
        <w:rPr/>
      </w:pPr>
      <w:r>
        <w:rPr>
          <w:i/>
          <w:iCs/>
        </w:rPr>
        <w:t>Table A2a. Plant quantities and results per unit: main case and cross-check.</w:t>
      </w:r>
      <w:r>
        <w:rPr/>
        <w:t xml:space="preserve"> </w:t>
      </w:r>
      <w:r>
        <w:rPr>
          <w:i/>
          <w:iCs/>
        </w:rPr>
        <w:t>Source: this study; BWRX-300 Ostrołęka sp. z o.o. (2023), as reported in the project information sheet; Peterson, Zhao and Petroski (2005).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Main case (Ostrołęka)</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Cross-check (bottom-up)</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per unit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(input range 40,000–60,000)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20,700 m³ (69 m³/MWe × 300 MWe)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per MWe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167 m³</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69 m³</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per unit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14,000 t (11,200–16,800)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 t (33 t/MWe × 300 MWe)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plate, structural and equipment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6,500 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3,105 t; 6,795 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20,000 m³ (40%; 10,000–30,000)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13,081 m³ (infill and forebay shaft)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mode case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57,600 t CO₂e (0.41 g/kWh)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34,381 t (0.24 g/kWh)</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mode case; Monte Carlo median (90% interval)</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 4.40 (3.24–6.05) g/kWh</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4.20 (3.05–5.86) g/kWh</w:t>
            </w:r>
          </w:p>
        </w:tc>
      </w:tr>
    </w:tbl>
    <w:p>
      <w:pPr>
        <w:pStyle w:val="BodyText"/>
        <w:rPr/>
      </w:pPr>
      <w:r>
        <w:rPr>
          <w:i/>
          <w:iCs/>
        </w:rPr>
        <w:t>Table A2b. Key assumptions for one BWRX-300 at Darlington (all 45 ranged inputs in Appendix C, Table C2).</w:t>
      </w:r>
      <w:r>
        <w:rPr/>
        <w:t xml:space="preserve"> </w:t>
      </w:r>
      <w:r>
        <w:rPr>
          <w:i/>
          <w:iCs/>
        </w:rPr>
        <w:t xml:space="preserve">Source: </w:t>
      </w:r>
      <w:r>
        <w:rPr>
          <w:rStyle w:val="VerbatimChar"/>
          <w:i/>
          <w:iCs/>
        </w:rPr>
        <w:t>parameters_lca.yaml</w:t>
      </w:r>
      <w:r>
        <w:rPr>
          <w:i/>
          <w:iCs/>
        </w:rPr>
        <w:t>; references as listed. Ranges are model input bounds, not result intervals.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(input range)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 capacity factor; design life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MWe (300–315); 0.90 (0.80–0.95); 60 years (40–80)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Nuclear Energy (n.d.); Ontario Power Generation (2025b); placeholder; Canadian Nuclear Safety Commission (2024)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(40,000–60,000); 14,000 t (11,200–16,800)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is our 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 factor (S0)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 (330–420)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 Ontario values (334 and 417)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 factor; cut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28.9% (22–39%)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is our 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Eligible share for LC³</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(20–60%)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non-safety works first; DPSC infill only if qualified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plate and equipment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1.73 (1.22–2.50) t CO₂e/t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a 2022 declaration supersedes it); American Institute of Steel Construction (2022), Buy Clean California limits as proxies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bulk materials (25–150%)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kg CO₂e/kg U₃O₈ (24–81)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centrifuge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(26–665); 50 kWh/SWU (40–100)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burnup</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 U-235 (3.4–4.95); 45 GWd/t (35–55)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Sun and Kurosaki (2025), unrefereed preprint; assumption (both placeholders)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 (×0.5 to ×2; decommissioning ×3)</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stage shares as reported by secondary sources; back end by difference</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and slag inputs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GU cement 854 kg CO₂e/t (796–898); slag cement 146.6 (93.4–146.6); binder 350 kg/m³</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Association of Canada (2022); Slag Cement Association (n.d.); assumption</w:t>
            </w:r>
            <w:bookmarkStart w:id="177" w:name="Xa2e77a4399fb77857bb3994dd1c371f451280a3"/>
            <w:bookmarkEnd w:id="177"/>
          </w:p>
        </w:tc>
      </w:tr>
    </w:tbl>
    <w:p>
      <w:pPr>
        <w:pStyle w:val="Heading4"/>
        <w:rPr/>
      </w:pPr>
      <w:r>
        <w:rPr/>
        <w:t>A3. Material quantities per unit</w:t>
      </w:r>
    </w:p>
    <w:p>
      <w:pPr>
        <w:pStyle w:val="FirstParagraph"/>
        <w:rPr/>
      </w:pPr>
      <w:r>
        <w:rPr>
          <w:b/>
          <w:bCs/>
        </w:rPr>
        <w:t>Result.</w:t>
      </w:r>
      <w:r>
        <w:rPr/>
        <w:t xml:space="preserve"> The main case is 50,000 m³ of concrete and 14,000 t of steel per unit, with 20,000 m³ (40%) eligible for C1. </w:t>
      </w:r>
      <w:r>
        <w:rPr>
          <w:b/>
          <w:bCs/>
        </w:rPr>
        <w:t>These come from a Polish design (Ostrołęka) and are a proxy, not measured Darlington quantities.</w:t>
      </w:r>
      <w:r>
        <w:rPr/>
        <w:t xml:space="preserve"> 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pStyle w:val="Compact"/>
        <w:numPr>
          <w:ilvl w:val="0"/>
          <w:numId w:val="36"/>
        </w:numPr>
        <w:rPr/>
      </w:pPr>
      <w:r>
        <w:rPr/>
        <w:t xml:space="preserve">Rebar = ρ × plant concrete = 0.15 t/m³ × 50,000 = </w:t>
      </w:r>
      <w:r>
        <w:rPr>
          <w:b/>
          <w:bCs/>
        </w:rPr>
        <w:t>7,500 t</w:t>
      </w:r>
      <w:r>
        <w:rPr/>
        <w:t xml:space="preserve"> (assumption; range 0.10–0.25, the high value being the forebay’s observed 0.25). Plate, structural and equipment steel = 14,000 − 7,500 = </w:t>
      </w:r>
      <w:r>
        <w:rPr>
          <w:b/>
          <w:bCs/>
        </w:rPr>
        <w:t>6,500 t</w:t>
      </w:r>
      <w:r>
        <w:rPr/>
        <w:t>. Rebar is capped at total steel, so plate never goes negative.</w:t>
      </w:r>
    </w:p>
    <w:p>
      <w:pPr>
        <w:pStyle w:val="Compact"/>
        <w:numPr>
          <w:ilvl w:val="0"/>
          <w:numId w:val="37"/>
        </w:numPr>
        <w:rPr/>
      </w:pPr>
      <w:r>
        <w:rPr/>
        <w:t xml:space="preserve">C1-eligible concrete = eligible share × plant concrete = 0.40 × 50,000 = </w:t>
      </w:r>
      <w:r>
        <w:rPr>
          <w:b/>
          <w:bCs/>
        </w:rPr>
        <w:t>20,000 m³</w:t>
      </w:r>
      <w:r>
        <w:rPr/>
        <w:t>; 10,000 and 30,000 m³ at 20% and 60%. The eligible share is a scenario, not data.</w:t>
      </w:r>
    </w:p>
    <w:p>
      <w:pPr>
        <w:pStyle w:val="Compact"/>
        <w:numPr>
          <w:ilvl w:val="0"/>
          <w:numId w:val="38"/>
        </w:numPr>
        <w:rPr/>
      </w:pPr>
      <w:r>
        <w:rPr/>
        <w:t>The Monte Carlo 90% interval for plant concrete is 43,224–56,772 m³ (the input is triangular, 40,000–50,000–60,000 m³).</w:t>
      </w:r>
    </w:p>
    <w:p>
      <w:pPr>
        <w:pStyle w:val="FirstParagraph"/>
        <w:rPr/>
      </w:pPr>
      <w:r>
        <w:rPr>
          <w:b/>
          <w:bCs/>
        </w:rPr>
        <w:t>Cross-check (bottom-up).</w:t>
      </w:r>
      <w:r>
        <w:rPr/>
        <w:t xml:space="preserve"> 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p>
      <w:pPr>
        <w:pStyle w:val="Heading4"/>
        <w:rPr/>
      </w:pPr>
      <w:bookmarkStart w:id="178" w:name="X19344571a4b16ef4e61846afd028c6c0d6b769c"/>
      <w:r>
        <w:rPr/>
        <w:t>A4. Construction inventory and corrections to the team spreadsheet</w:t>
      </w:r>
    </w:p>
    <w:p>
      <w:pPr>
        <w:pStyle w:val="FirstParagraph"/>
        <w:rPr/>
      </w:pPr>
      <w:r>
        <w:rPr>
          <w:b/>
          <w:bCs/>
        </w:rPr>
        <w:t>Result.</w:t>
      </w:r>
      <w:r>
        <w:rPr/>
        <w:t xml:space="preserve"> Construction emits 57,600 t CO₂e per unit at the mode case (0.41 g/kWh); concrete and steel are about equal.</w:t>
      </w:r>
    </w:p>
    <w:p>
      <w:pPr>
        <w:pStyle w:val="BodyText"/>
        <w:rPr/>
      </w:pPr>
      <w:r>
        <w:rPr>
          <w:i/>
          <w:iCs/>
        </w:rPr>
        <w:t>Table A4. Construction inventory per unit (S0, mode case; production-stage factors).</w:t>
      </w:r>
      <w:r>
        <w:rPr/>
        <w:t xml:space="preserve"> </w:t>
      </w:r>
      <w:r>
        <w:rPr>
          <w:i/>
          <w:iCs/>
        </w:rPr>
        <w:t xml:space="preserve">Source: </w:t>
      </w:r>
      <w:r>
        <w:rPr>
          <w:rStyle w:val="VerbatimChar"/>
          <w:i/>
          <w:iCs/>
        </w:rPr>
        <w:t>results/lca_baseline.md</w:t>
      </w:r>
      <w:r>
        <w:rPr>
          <w:i/>
          <w:iCs/>
        </w:rPr>
        <w:t>; factors as in A5.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 (40%)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20,000 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7,600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plant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30,000 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11,400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t CO₂e/t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structural and equipment steel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t CO₂e/t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 to site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15 km, steel 500 km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 kg CO₂e/t-km</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the above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Construction total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57,600</w:t>
            </w:r>
          </w:p>
        </w:tc>
      </w:tr>
    </w:tbl>
    <w:p>
      <w:pPr>
        <w:pStyle w:val="BodyText"/>
        <w:rPr/>
      </w:pPr>
      <w:r>
        <w:rPr/>
        <w:t xml:space="preserve">Corrections made to the team spreadsheet (kept as </w:t>
      </w:r>
      <w:r>
        <w:rPr>
          <w:rStyle w:val="VerbatimChar"/>
        </w:rPr>
        <w:t>Accounting_corrected.csv</w:t>
      </w:r>
      <w:r>
        <w:rPr/>
        <w:t xml:space="preserve">; the originals are untouched): 1. </w:t>
      </w:r>
      <w:r>
        <w:rPr>
          <w:b/>
          <w:bCs/>
        </w:rPr>
        <w:t>Site.</w:t>
      </w:r>
      <w:r>
        <w:rPr/>
        <w:t xml:space="preserve"> The Darlington New Nuclear Project is in Clarington, Ontario, not Ottawa. 2. </w:t>
      </w:r>
      <w:r>
        <w:rPr>
          <w:b/>
          <w:bCs/>
        </w:rPr>
        <w:t>Tunnel boring.</w:t>
      </w:r>
      <w:r>
        <w:rPr/>
        <w:t xml:space="preserve"> The 4,127.29 m³ in the assumptions file is the forebay concrete (4,000 m³) plus its rebar (127.39 m³), not a bored volume. Tunnel-boring energy sits in the construction uplift until data exist. 3. </w:t>
      </w:r>
      <w:r>
        <w:rPr>
          <w:b/>
          <w:bCs/>
        </w:rPr>
        <w:t>Scope.</w:t>
      </w:r>
      <w:r>
        <w:rPr/>
        <w:t xml:space="preserve"> The forebay and basemat-module rows describe one milestone of one Unit 1 structure and are labelled partial; the whole-unit rows replace them. 4. </w:t>
      </w:r>
      <w:r>
        <w:rPr>
          <w:b/>
          <w:bCs/>
        </w:rPr>
        <w:t>Rebar</w:t>
      </w:r>
      <w:r>
        <w:rPr/>
        <w:t xml:space="preserve"> uses a recycled-content (electric-arc furnace) factor, not virgin steel, and construction electricity is not assumed renewable.</w:t>
      </w:r>
      <w:bookmarkEnd w:id="178"/>
    </w:p>
    <w:p>
      <w:pPr>
        <w:pStyle w:val="Heading4"/>
        <w:rPr/>
      </w:pPr>
      <w:bookmarkStart w:id="179" w:name="a5.-emission-factors"/>
      <w:r>
        <w:rPr/>
        <w:t>A5. Emission factors</w:t>
      </w:r>
    </w:p>
    <w:p>
      <w:pPr>
        <w:pStyle w:val="FirstParagraph"/>
        <w:rPr/>
      </w:pPr>
      <w:r>
        <w:rPr>
          <w:b/>
          <w:bCs/>
        </w:rPr>
        <w:t>Result.</w:t>
      </w:r>
      <w:r>
        <w:rPr/>
        <w:t xml:space="preserve"> 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rPr/>
      </w:pPr>
      <w:r>
        <w:rPr>
          <w:i/>
          <w:iCs/>
        </w:rPr>
        <w:t>Table A5. Emission and energy factors used.</w:t>
      </w:r>
      <w:r>
        <w:rPr/>
        <w:t xml:space="preserve"> </w:t>
      </w:r>
      <w:r>
        <w:rPr>
          <w:i/>
          <w:iCs/>
        </w:rPr>
        <w:t xml:space="preserve">Source: </w:t>
      </w:r>
      <w:r>
        <w:rPr>
          <w:rStyle w:val="VerbatimChar"/>
          <w:i/>
          <w:iCs/>
        </w:rPr>
        <w:t>parameters_lca.yaml</w:t>
      </w:r>
      <w:r>
        <w:rPr>
          <w:i/>
          <w:iCs/>
        </w:rPr>
        <w:t>; references as listed.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Range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 (OPC, M50)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330–420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cut 28.9% (22–39%)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assumed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(electric-arc furnace, fabricated)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0.89–1.99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low = American Institute of Steel Construction (2022) limit; high = world average (Circular Ecology, 2019, read via a secondary)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structural and equipment steel</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1.22–2.50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 a Buy Clean California limit (a policy ceiling, not an industry average), used as a proxy; high assumed for forged equipment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Heavy truck</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0.06–0.15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CO₂e/t-km</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24–81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CO₂e/kg U₃O₈</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 Saskatchewan, production-weighted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electricity; heat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11.8; 26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10.3–16.9; 26–665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kWh/kg 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enrichment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40–100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kWh/SWU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kWh/kg 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conversion (Ontario)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0.035–0.343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low = Canada Energy Regulator (n.d.)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enrichment and fabrication (USA)</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0.373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0.05–0.637 (enrichment); 0.20–0.637 (fabrication)</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lows assumed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Natural-gas heat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IPCC (2006): 56,100 kg/TJ × 3.6 × 10⁻⁶ TJ/kWh; combustion only, upstream gas cut off</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0.17–0.67; 0.06–0.33; 0.28–1.11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 CO₂e/kWh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9%, 3% and 15% of 3.7 g/kWh, shares as reported by secondary sources, back end by difference; ranges assumed for transfer to one BWRX-300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and slag only:</w:t>
            </w:r>
            <w:r>
              <w:rPr>
                <w:rFonts w:eastAsia="Aptos" w:cs="Aptos"/>
                <w:kern w:val="0"/>
                <w:lang w:val="en-US"/>
              </w:rPr>
              <w:t xml:space="preserve"> GU 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854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796–898 (regional spread)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Association of Canada (2022), Central region; St Marys Bowmanville declaration (NRMCA, 2021) to replace it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and slag only:</w:t>
            </w:r>
            <w:r>
              <w:rPr>
                <w:rFonts w:eastAsia="Aptos" w:cs="Aptos"/>
                <w:kern w:val="0"/>
                <w:lang w:val="en-US"/>
              </w:rPr>
              <w:t xml:space="preserve"> slag 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146.6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93.4–146.6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Cement Association (n.d.)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only:</w:t>
            </w:r>
            <w:r>
              <w:rPr>
                <w:rFonts w:eastAsia="Aptos" w:cs="Aptos"/>
                <w:kern w:val="0"/>
                <w:lang w:val="en-US"/>
              </w:rPr>
              <w:t xml:space="preserve"> binder content (infill; other)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450; 350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400–550; 300–420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EFNARC (2005) for the SCC range; central and high assumed</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only:</w:t>
            </w:r>
            <w:r>
              <w:rPr>
                <w:rFonts w:eastAsia="Aptos" w:cs="Aptos"/>
                <w:kern w:val="0"/>
                <w:lang w:val="en-US"/>
              </w:rPr>
              <w:t xml:space="preserve"> clinker factor GU; LC³</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0.92; 0.50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0.90–0.95; 0.50–0.55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t/t binder</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Scrivener et al. (2018)</w:t>
            </w:r>
          </w:p>
        </w:tc>
      </w:tr>
    </w:tbl>
    <w:p>
      <w:pPr>
        <w:pStyle w:val="BodyText"/>
        <w:rPr/>
      </w:pPr>
      <w:r>
        <w:rPr>
          <w:b/>
          <w:bCs/>
        </w:rPr>
        <w:t>The LC³ cut.</w:t>
      </w:r>
      <w:r>
        <w:rPr/>
        <w:t xml:space="preserve"> 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rPr/>
      </w:pPr>
      <w:r>
        <w:rPr>
          <w:b/>
          <w:bCs/>
        </w:rPr>
        <w:t>Check on the baseline factor.</w:t>
      </w:r>
      <w:r>
        <w:rPr/>
        <w:t xml:space="preserve"> 380 kg CO₂e/m³ lies between the cross-check’s binder-level mixes (329 and 414) and between the Ontario industry baseline of 334 and the 417 benchmark mix (Canadian Ready-Mixed Concrete Association, 2022).</w:t>
      </w:r>
      <w:bookmarkEnd w:id="179"/>
    </w:p>
    <w:p>
      <w:pPr>
        <w:pStyle w:val="Heading4"/>
        <w:rPr/>
      </w:pPr>
      <w:bookmarkStart w:id="180" w:name="a6.-concrete-and-the-c1-scenarios"/>
      <w:r>
        <w:rPr/>
        <w:t>A6. Concrete and the C1 scenarios</w:t>
      </w:r>
    </w:p>
    <w:p>
      <w:pPr>
        <w:pStyle w:val="FirstParagraph"/>
        <w:rPr/>
      </w:pPr>
      <w:r>
        <w:rPr>
          <w:b/>
          <w:bCs/>
        </w:rPr>
        <w:t>Result.</w:t>
      </w:r>
      <w:r>
        <w:rPr/>
        <w:t xml:space="preserve"> LC³ on 40% of plant concrete saves 2,200 t CO₂e per unit (28.9% of that concrete’s emissions) and avoids about 2,940 t of clinker; a slag blend saves 2,288 t.</w:t>
      </w:r>
    </w:p>
    <w:p>
      <w:pPr>
        <w:pStyle w:val="BodyText"/>
        <w:rPr/>
      </w:pPr>
      <w:r>
        <w:rPr>
          <w:b/>
          <w:bCs/>
        </w:rPr>
        <w:t>Baseline S0</w:t>
      </w:r>
      <w:r>
        <w:rPr/>
        <w:t xml:space="preserve"> 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pStyle w:val="Compact"/>
        <w:numPr>
          <w:ilvl w:val="0"/>
          <w:numId w:val="39"/>
        </w:numPr>
        <w:rPr/>
      </w:pPr>
      <w:r>
        <w:rPr>
          <w:b/>
          <w:bCs/>
        </w:rPr>
        <w:t>LC³ (C1):</w:t>
      </w:r>
      <w:r>
        <w:rPr/>
        <w:t xml:space="preserve"> saving = V_eligible × (380 − 270) / 1,000 = 20,000 × 0.110 = </w:t>
      </w:r>
      <w:r>
        <w:rPr>
          <w:b/>
          <w:bCs/>
        </w:rPr>
        <w:t>2,200 t</w:t>
      </w:r>
      <w:r>
        <w:rPr/>
        <w:t>; 10,000 m³ gives 1,100 t and 30,000 m³ gives 3,300 t. Share of the mode-case life cycle: 2,200 / 406,462 = 0.54%; the Monte Carlo median is lower (0.36%) because the total grows with the skewed inputs while the saving barely moves (Section 3.2.4).</w:t>
      </w:r>
    </w:p>
    <w:p>
      <w:pPr>
        <w:pStyle w:val="Compact"/>
        <w:numPr>
          <w:ilvl w:val="0"/>
          <w:numId w:val="40"/>
        </w:numPr>
        <w:rPr/>
      </w:pPr>
      <w:r>
        <w:rPr>
          <w:b/>
          <w:bCs/>
        </w:rPr>
        <w:t>Slag (S1, fallback):</w:t>
      </w:r>
      <w:r>
        <w:rPr/>
        <w:t xml:space="preserve"> the model’s binder-level cut for 40% slag is 0.4 × (1 − 146.6/854) = 33.1% of binder emissions, which is 30.1% of the concrete’s (binder is 91% of a 350 kg/m³ mix’s emissions), applied to 380 kg/m³: 20,000 × 0.114 = </w:t>
      </w:r>
      <w:r>
        <w:rPr>
          <w:b/>
          <w:bCs/>
        </w:rPr>
        <w:t>2,288 t</w:t>
      </w:r>
      <w:r>
        <w:rPr/>
        <w:t>.</w:t>
      </w:r>
    </w:p>
    <w:p>
      <w:pPr>
        <w:pStyle w:val="Compact"/>
        <w:numPr>
          <w:ilvl w:val="0"/>
          <w:numId w:val="41"/>
        </w:numPr>
        <w:rPr/>
      </w:pPr>
      <w:r>
        <w:rPr>
          <w:b/>
          <w:bCs/>
        </w:rPr>
        <w:t>Clinker (indicative):</w:t>
      </w:r>
      <w:r>
        <w:rPr/>
        <w:t xml:space="preserve"> clinker avoided = V × b × (0.92 − 0.50) / 1,000 with b = 350 kg/m³: 20,000 × 0.147 = </w:t>
      </w:r>
      <w:r>
        <w:rPr>
          <w:b/>
          <w:bCs/>
        </w:rPr>
        <w:t>2,940 t</w:t>
      </w:r>
      <w:r>
        <w:rPr/>
        <w:t>. Pillai’s binder content is not known to us, so this is indicative.</w:t>
      </w:r>
    </w:p>
    <w:p>
      <w:pPr>
        <w:pStyle w:val="Compact"/>
        <w:numPr>
          <w:ilvl w:val="0"/>
          <w:numId w:val="42"/>
        </w:numPr>
        <w:rPr/>
      </w:pPr>
      <w:r>
        <w:rPr>
          <w:b/>
          <w:bCs/>
        </w:rPr>
        <w:t>Units 2–4</w:t>
      </w:r>
      <w:r>
        <w:rPr/>
        <w:t xml:space="preserve"> = 3 × per unit, because Unit 1’s basemat is placed. Whether Unit 1’s shaft-wall infill could still use LC³ is unknown.</w:t>
      </w:r>
    </w:p>
    <w:p>
      <w:pPr>
        <w:pStyle w:val="FirstParagraph"/>
        <w:rPr/>
      </w:pPr>
      <w:r>
        <w:rPr>
          <w:i/>
          <w:iCs/>
        </w:rPr>
        <w:t>Table A6. C1 scenario totals, mode case. Shares divide by the mode-case life-cycle total of the row’s own basis (main 406,462 t; cross-check 383,243 t).</w:t>
      </w:r>
      <w:r>
        <w:rPr/>
        <w:t xml:space="preserve"> </w:t>
      </w:r>
      <w:r>
        <w:rPr>
          <w:i/>
          <w:iCs/>
        </w:rPr>
        <w:t xml:space="preserve">Source: </w:t>
      </w:r>
      <w:r>
        <w:rPr>
          <w:rStyle w:val="VerbatimChar"/>
          <w:i/>
          <w:iCs/>
        </w:rPr>
        <w:t>results/lca_scenarios.md</w:t>
      </w:r>
      <w:r>
        <w:rPr>
          <w:i/>
          <w:iCs/>
        </w:rPr>
        <w:t>.</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Saving t CO₂e/unit</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Units 2–4 t</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Clinker avoided t/unit (Units 2–4)</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 of target concrete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 of unit life cycle</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g/kWh saved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1,470 (4,410)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0.0078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2,200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6,600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2,940 (8,820)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0.541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0.0155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 of plant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4,410 (13,230)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0.812</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0.0233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2,576 (7,728)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0.563</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0.0161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w:t>
            </w:r>
            <w:r>
              <w:rPr>
                <w:rFonts w:eastAsia="Aptos" w:cs="Aptos"/>
                <w:kern w:val="0"/>
                <w:lang w:val="en-US"/>
              </w:rPr>
              <w:t xml:space="preserve"> slag in infill and forebay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4,657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2,019 (6,057)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0.405</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0.0109</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w:t>
            </w:r>
            <w:r>
              <w:rPr>
                <w:rFonts w:eastAsia="Aptos" w:cs="Aptos"/>
                <w:kern w:val="0"/>
                <w:lang w:val="en-US"/>
              </w:rPr>
              <w:t xml:space="preserve"> LC³ in infill and forebay</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1,734</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5,201</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2,304 (6,913)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34.1</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0.452</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0.0122</w:t>
            </w:r>
          </w:p>
        </w:tc>
      </w:tr>
    </w:tbl>
    <w:p>
      <w:pPr>
        <w:pStyle w:val="BodyText"/>
        <w:rPr/>
      </w:pPr>
      <w:r>
        <w:rPr/>
        <w:t>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rPr/>
      </w:pPr>
      <w:r>
        <w:rPr>
          <w:b/>
          <w:bCs/>
        </w:rPr>
        <w:t>Resource use per unit of output.</w:t>
      </w:r>
      <w:r>
        <w:rPr/>
        <w:t xml:space="preserve"> Clinker avoided = 2,940 t / 1.419 × 10⁸ MWh = 0.021 kg/MWh (9.8 t per MWe). Concrete: 50,000 m³ × 2.4 t/m³ / 1.419 × 10⁸ MWh = 0.85 kg/MWh. Steel: 14,000 t / 1.419 × 10⁸ MWh = 0.099 kg/MWh.</w:t>
      </w:r>
      <w:bookmarkEnd w:id="180"/>
    </w:p>
    <w:p>
      <w:pPr>
        <w:pStyle w:val="Heading4"/>
        <w:rPr/>
      </w:pPr>
      <w:bookmarkStart w:id="181" w:name="X62dd5352b338ee668e2c8600a16d3b918435b38"/>
      <w:r>
        <w:rPr/>
        <w:t>A7. Steel, transport and construction total</w:t>
      </w:r>
    </w:p>
    <w:p>
      <w:pPr>
        <w:pStyle w:val="FirstParagraph"/>
        <w:rPr/>
      </w:pPr>
      <w:r>
        <w:rPr>
          <w:b/>
          <w:bCs/>
        </w:rPr>
        <w:t>Result.</w:t>
      </w:r>
      <w:r>
        <w:rPr/>
        <w:t xml:space="preserve"> Construction emits 57,600 t CO₂e per unit (0.406 g/kWh, mode case); concrete (19,000 t) and steel (18,520 t) are about equal.</w:t>
      </w:r>
    </w:p>
    <w:p>
      <w:pPr>
        <w:pStyle w:val="Compact"/>
        <w:numPr>
          <w:ilvl w:val="0"/>
          <w:numId w:val="43"/>
        </w:numPr>
        <w:rPr/>
      </w:pPr>
      <w:r>
        <w:rPr/>
        <w:t xml:space="preserve">Concrete: 50,000 m³ × 380 = </w:t>
      </w:r>
      <w:r>
        <w:rPr>
          <w:b/>
          <w:bCs/>
        </w:rPr>
        <w:t>19,000 t</w:t>
      </w:r>
      <w:r>
        <w:rPr/>
        <w:t xml:space="preserve">. Steel: 7,500 × 0.97 + 6,500 × 1.73 = 7,275 + 11,245 = </w:t>
      </w:r>
      <w:r>
        <w:rPr>
          <w:b/>
          <w:bCs/>
        </w:rPr>
        <w:t>18,520 t</w:t>
      </w:r>
      <w:r>
        <w:rPr/>
        <w:t>.</w:t>
      </w:r>
    </w:p>
    <w:p>
      <w:pPr>
        <w:pStyle w:val="Compact"/>
        <w:numPr>
          <w:ilvl w:val="0"/>
          <w:numId w:val="44"/>
        </w:numPr>
        <w:rPr/>
      </w:pPr>
      <w:r>
        <w:rPr/>
        <w:t xml:space="preserve">Transport to site (production-stage module A4): concrete 50,000 m³ × 2.4 t/m³ × 15 km × 0.10 kg/t-km = 180 t; steel 14,000 t × 500 km × 0.10 kg/t-km = 700 t; total </w:t>
      </w:r>
      <w:r>
        <w:rPr>
          <w:b/>
          <w:bCs/>
        </w:rPr>
        <w:t>880 t</w:t>
      </w:r>
      <w:r>
        <w:rPr/>
        <w:t xml:space="preserve"> (distances assumed).</w:t>
      </w:r>
    </w:p>
    <w:p>
      <w:pPr>
        <w:pStyle w:val="Compact"/>
        <w:numPr>
          <w:ilvl w:val="0"/>
          <w:numId w:val="45"/>
        </w:numPr>
        <w:rPr/>
      </w:pPr>
      <w:r>
        <w:rPr/>
        <w:t xml:space="preserve">Other materials and site energy (copper, cabling, insulation, site diesel and electricity, equipment beyond steel production, tunnel boring): 50% (assumption; range 25–150%) of concrete + steel + transport: 0.5 × 38,400 = </w:t>
      </w:r>
      <w:r>
        <w:rPr>
          <w:b/>
          <w:bCs/>
        </w:rPr>
        <w:t>19,200 t</w:t>
      </w:r>
      <w:r>
        <w:rPr/>
        <w:t>.</w:t>
      </w:r>
    </w:p>
    <w:p>
      <w:pPr>
        <w:pStyle w:val="Compact"/>
        <w:numPr>
          <w:ilvl w:val="0"/>
          <w:numId w:val="46"/>
        </w:numPr>
        <w:rPr/>
      </w:pPr>
      <w:r>
        <w:rPr>
          <w:b/>
          <w:bCs/>
        </w:rPr>
        <w:t>Construction total</w:t>
      </w:r>
      <w:r>
        <w:rPr/>
        <w:t xml:space="preserve"> = 19,000 + 18,520 + 880 + 19,200 = </w:t>
      </w:r>
      <w:r>
        <w:rPr>
          <w:b/>
          <w:bCs/>
        </w:rPr>
        <w:t>57,600 t</w:t>
      </w:r>
      <w:r>
        <w:rPr/>
        <w:t xml:space="preserve">, or 57,600 / 1.419 × 10⁸ MWh = </w:t>
      </w:r>
      <w:r>
        <w:rPr>
          <w:b/>
          <w:bCs/>
        </w:rPr>
        <w:t>0.406 g/kWh</w:t>
      </w:r>
      <w:r>
        <w:rPr/>
        <w:t>.</w:t>
      </w:r>
    </w:p>
    <w:p>
      <w:pPr>
        <w:pStyle w:val="FirstParagraph"/>
        <w:rPr/>
      </w:pPr>
      <w:r>
        <w:rPr>
          <w:b/>
          <w:bCs/>
        </w:rPr>
        <w:t>Steel scenarios.</w:t>
      </w:r>
      <w:r>
        <w:rPr/>
        <w:t xml:space="preserve"> S3 is a sensitivity on the baseline steel, not part of C1; only the like-for-like row compares with C1’s saving. - </w:t>
      </w:r>
      <w:r>
        <w:rPr>
          <w:b/>
          <w:bCs/>
        </w:rPr>
        <w:t>Like-for-like (target-structure steel only):</w:t>
      </w:r>
      <w:r>
        <w:rPr/>
        <w:t xml:space="preserve"> 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 </w:t>
      </w:r>
      <w:r>
        <w:rPr>
          <w:b/>
          <w:bCs/>
        </w:rPr>
        <w:t>566 t per unit</w:t>
      </w:r>
      <w:r>
        <w:rPr/>
        <w:t xml:space="preserve">. Shaft-wall module steel is unknown and excluded, so this is a floor. - </w:t>
      </w:r>
      <w:r>
        <w:rPr>
          <w:b/>
          <w:bCs/>
        </w:rPr>
        <w:t>Whole-plant upper bound:</w:t>
      </w:r>
      <w:r>
        <w:rPr/>
        <w:t xml:space="preserve"> all 14,000 t at the same low factors: 7,500 × 0.08 + 6,500 × 0.51 = 600 + 3,315 = </w:t>
      </w:r>
      <w:r>
        <w:rPr>
          <w:b/>
          <w:bCs/>
        </w:rPr>
        <w:t>3,915 t</w:t>
      </w:r>
      <w:r>
        <w:rPr/>
        <w:t xml:space="preserve">. It is an upper bound because it applies a hot-rolled-sections factor to forgings and nuclear-grade plate, for which that factor is not shown to be feasible. - </w:t>
      </w:r>
      <w:r>
        <w:rPr>
          <w:b/>
          <w:bCs/>
        </w:rPr>
        <w:t>World average:</w:t>
      </w:r>
      <w:r>
        <w:rPr/>
        <w:t xml:space="preserve"> all steel at the high-range factors (rebar 1.99, plate 2.50): </w:t>
      </w:r>
      <w:r>
        <w:rPr>
          <w:b/>
          <w:bCs/>
        </w:rPr>
        <w:t>−12,655 t</w:t>
      </w:r>
      <w:r>
        <w:rPr/>
        <w:t>; world-average steel would add emissions.</w:t>
      </w:r>
    </w:p>
    <w:p>
      <w:pPr>
        <w:pStyle w:val="BodyText"/>
        <w:rPr/>
      </w:pPr>
      <w:r>
        <w:rPr>
          <w:i/>
          <w:iCs/>
        </w:rPr>
        <w:t>Table A7b. Further scenarios: slag elsewhere and steel (S2b, S3), mode case and Monte Carlo (median, 5th–95th percentile).</w:t>
      </w:r>
      <w:r>
        <w:rPr/>
        <w:t xml:space="preserve"> </w:t>
      </w:r>
      <w:r>
        <w:rPr>
          <w:i/>
          <w:iCs/>
        </w:rPr>
        <w:t xml:space="preserve">Source: </w:t>
      </w:r>
      <w:r>
        <w:rPr>
          <w:rStyle w:val="VerbatimChar"/>
          <w:i/>
          <w:iCs/>
        </w:rPr>
        <w:t>results/lca_scenarios.md</w:t>
      </w:r>
      <w:r>
        <w:rPr>
          <w:i/>
          <w:iCs/>
        </w:rPr>
        <w:t xml:space="preserve"> and </w:t>
      </w:r>
      <w:r>
        <w:rPr>
          <w:rStyle w:val="VerbatimChar"/>
          <w:i/>
          <w:iCs/>
        </w:rPr>
        <w:t>lca_uncertainty.md</w:t>
      </w:r>
      <w:r>
        <w:rPr>
          <w:i/>
          <w:iCs/>
        </w:rPr>
        <w:t>. S3 rows are steel sensitivities, not part of C1; negative means more emissions than the baseline.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Saving t CO₂e/unit: mode case; Monte Carlo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 mode case; Monte Carlo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S2b: LC³ on 40% plus slag in all other concrete (upper bound)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5,633; 5,517 (4,346–6,841)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16,898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1.39%; 0.89% (0.57–1.36)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like-for-like: target-structure steel only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566; 940 (415–1,580)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1,698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0.14%; 0.15% (0.06–0.28)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upper bound: all steel, best-practice sections factors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3,915; 6,428 (2,521–11,486)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11,745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0.96%; 1.03% (0.38–2.04)</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world-average steel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12,655; −9,914 (−14,037 to −4,904)</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37,965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3.11%; −1.56% (−2.70 to −0.72)</w:t>
            </w:r>
          </w:p>
        </w:tc>
      </w:tr>
    </w:tbl>
    <w:p>
      <w:pPr>
        <w:pStyle w:val="BodyText"/>
        <w:rPr/>
      </w:pPr>
      <w:bookmarkStart w:id="182" w:name="X62dd5352b338ee668e2c8600a16d3b918435b38"/>
      <w:r>
        <w:rPr/>
        <w:t>At the mode case LC³’s 2,200 t is 3.9 times the like-for-like steel saving (2.4 times at the Monte Carlo median) and 0.6 times the whole-plant upper bound (0.3 at the median). Within the structures C1 targets, concrete is the bigger lever; across the plant, steel is.</w:t>
      </w:r>
      <w:bookmarkEnd w:id="182"/>
    </w:p>
    <w:p>
      <w:pPr>
        <w:pStyle w:val="Heading4"/>
        <w:rPr/>
      </w:pPr>
      <w:bookmarkStart w:id="183" w:name="a8.-fuel-cycle-and-life-cycle-total"/>
      <w:r>
        <w:rPr/>
        <w:t>A8. Fuel cycle and life-cycle total</w:t>
      </w:r>
    </w:p>
    <w:p>
      <w:pPr>
        <w:pStyle w:val="FirstParagraph"/>
        <w:rPr/>
      </w:pPr>
      <w:r>
        <w:rPr>
          <w:b/>
          <w:bCs/>
        </w:rPr>
        <w:t>Result.</w:t>
      </w:r>
      <w:r>
        <w:rPr/>
        <w:t xml:space="preserve"> The fuel front end emits 1.46 g/kWh in the mode case (51%) and 2.76 g/kWh on the expected basis (62%, Appendix C3). Four units need about 196 t of natural uranium and 138 tSWU a year.</w:t>
      </w:r>
    </w:p>
    <w:p>
      <w:pPr>
        <w:pStyle w:val="BodyText"/>
        <w:rPr/>
      </w:pPr>
      <w:r>
        <w:rPr/>
        <w:t xml:space="preserve">Mass balance (inputs: burnup B = 45 GWd/t, a placeholder; product assay x_p = 3.8% U-235, a placeholder from Sun and Kurosaki, 2025; feed x_f = 0.711%; tails x_t = 0.25%, an assumption): - Electricity per kg of enriched uranium = B × 24,000 kWh_th per kg per (GWd/t) × η = 45 × 24,000 × 0.345 = 372,414 kWh, so </w:t>
      </w:r>
      <w:r>
        <w:rPr>
          <w:b/>
          <w:bCs/>
        </w:rPr>
        <w:t>2.685 g enriched U per MWh</w:t>
      </w:r>
      <w:r>
        <w:rPr/>
        <w:t xml:space="preserve">. - Feed factor F = (x_p − x_t) / (x_f − x_t) = (3.8 − 0.25) / (0.711 − 0.25) = </w:t>
      </w:r>
      <w:r>
        <w:rPr>
          <w:b/>
          <w:bCs/>
        </w:rPr>
        <w:t>7.70</w:t>
      </w:r>
      <w:r>
        <w:rPr/>
        <w:t xml:space="preserve">, so </w:t>
      </w:r>
      <w:r>
        <w:rPr>
          <w:b/>
          <w:bCs/>
        </w:rPr>
        <w:t>20.68 g natural U per MWh</w:t>
      </w:r>
      <w:r>
        <w:rPr/>
        <w:t xml:space="preserve">. - Separative work per kg of product = V(x_p) + (F − 1) V(x_t) − F V(x_f), with V(x) = (2x − 1) ln[x / (1 − x)]: 2.986 + 6.70 × 5.959 − 7.70 × 4.869 = </w:t>
      </w:r>
      <w:r>
        <w:rPr>
          <w:b/>
          <w:bCs/>
        </w:rPr>
        <w:t>5.42 SWU/kg</w:t>
      </w:r>
      <w:r>
        <w:rPr/>
        <w:t xml:space="preserve">, so </w:t>
      </w:r>
      <w:r>
        <w:rPr>
          <w:b/>
          <w:bCs/>
        </w:rPr>
        <w:t>0.0146 SWU per MWh</w:t>
      </w:r>
      <w:r>
        <w:rPr/>
        <w:t>. - U₃O₈ to uranium: 3 × 238.03 / (3 × 238.03 + 8 × 16.00) = 0.848 kg U per kg U₃O₈.</w:t>
      </w:r>
    </w:p>
    <w:p>
      <w:pPr>
        <w:pStyle w:val="BodyText"/>
        <w:rPr/>
      </w:pPr>
      <w:r>
        <w:rPr/>
        <w:t xml:space="preserve">Stage emissions, kg CO₂e per MWh (= g/kWh), mode case: - Mining and milling = 0.02068 kg U/MWh × 42 / 0.848 = 0.02068 × 49.5 = </w:t>
      </w:r>
      <w:r>
        <w:rPr>
          <w:b/>
          <w:bCs/>
        </w:rPr>
        <w:t>1.024</w:t>
      </w:r>
      <w:r>
        <w:rPr/>
        <w:t xml:space="preserve">. - Conversion = 0.02068 × (11.8 kWh × 0.0738 + 26 kWh × 0.202) = 0.02068 × 6.12 = </w:t>
      </w:r>
      <w:r>
        <w:rPr>
          <w:b/>
          <w:bCs/>
        </w:rPr>
        <w:t>0.127</w:t>
      </w:r>
      <w:r>
        <w:rPr/>
        <w:t xml:space="preserve">. - Enrichment = 0.002685 × 5.42 × 50 kWh/SWU × 0.373 = </w:t>
      </w:r>
      <w:r>
        <w:rPr>
          <w:b/>
          <w:bCs/>
        </w:rPr>
        <w:t>0.272</w:t>
      </w:r>
      <w:r>
        <w:rPr/>
        <w:t xml:space="preserve">. - Fabrication = 0.002685 × 36 kWh × 0.373 = </w:t>
      </w:r>
      <w:r>
        <w:rPr>
          <w:b/>
          <w:bCs/>
        </w:rPr>
        <w:t>0.036</w:t>
      </w:r>
      <w:r>
        <w:rPr/>
        <w:t>.</w:t>
      </w:r>
    </w:p>
    <w:p>
      <w:pPr>
        <w:pStyle w:val="BodyText"/>
        <w:rPr/>
      </w:pPr>
      <w:r>
        <w:rPr>
          <w:i/>
          <w:iCs/>
        </w:rPr>
        <w:t>Table A8a. Fuel demand.</w:t>
      </w:r>
      <w:r>
        <w:rPr/>
        <w:t xml:space="preserve"> </w:t>
      </w:r>
      <w:r>
        <w:rPr>
          <w:i/>
          <w:iCs/>
        </w:rPr>
        <w:t xml:space="preserve">Source: </w:t>
      </w:r>
      <w:r>
        <w:rPr>
          <w:rStyle w:val="VerbatimChar"/>
          <w:i/>
          <w:iCs/>
        </w:rPr>
        <w:t>results/lca_baseline.md</w:t>
      </w:r>
      <w:r>
        <w:rPr>
          <w:i/>
          <w:iCs/>
        </w:rPr>
        <w:t>. Inputs are placeholders until BWRX-300 fuel data are available.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Per MWh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One unit per year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Four units per year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Enriched uranium</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2.685 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6.35 t U</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 t U</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Natural uranium</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20.68 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48.9 t U</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195.6 t U</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Separative work</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0.0146 SWU</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34.4 tSWU</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137.7 tSWU</w:t>
            </w:r>
          </w:p>
        </w:tc>
      </w:tr>
    </w:tbl>
    <w:p>
      <w:pPr>
        <w:pStyle w:val="BodyText"/>
        <w:rPr/>
      </w:pPr>
      <w:r>
        <w:rPr>
          <w:i/>
          <w:iCs/>
        </w:rPr>
        <w:t>Table A8b. Life-cycle emissions by stage, mode case (every input at its central value).</w:t>
      </w:r>
      <w:r>
        <w:rPr/>
        <w:t xml:space="preserve"> </w:t>
      </w:r>
      <w:r>
        <w:rPr>
          <w:i/>
          <w:iCs/>
        </w:rPr>
        <w:t xml:space="preserve">Source: </w:t>
      </w:r>
      <w:r>
        <w:rPr>
          <w:rStyle w:val="VerbatimChar"/>
          <w:i/>
          <w:iCs/>
        </w:rPr>
        <w:t>results/lca_baseline.md</w:t>
      </w:r>
      <w:r>
        <w:rPr>
          <w:i/>
          <w:iCs/>
        </w:rPr>
        <w:t>. The expected-value breakdown quoted in Section 3.2 is in Appendix C3.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 per unit (life)</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mining and milling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145,336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spent fuel and disposal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79,471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46,831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enrichment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38,530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other materials and site energy</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concrete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conversion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17,967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15,610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plate, structural and equipment steel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0.079</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rebar</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0.051</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5,117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transport to site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0.006</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406,462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Of which C1-eligible concrete (40% of plant)</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0.054</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7,600</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1.9%</w:t>
            </w:r>
          </w:p>
        </w:tc>
      </w:tr>
    </w:tbl>
    <w:p>
      <w:pPr>
        <w:pStyle w:val="BodyText"/>
        <w:rPr/>
      </w:pPr>
      <w:bookmarkStart w:id="184" w:name="a8.-fuel-cycle-and-life-cycle-total"/>
      <w:r>
        <w:rPr/>
        <w:t>Grouped (mode case): fuel front end 1.458 g/kWh (50.9%); back end and decommissioning 0.670 (23.4%); O&amp;M 0.330 (11.5%); construction 0.406 (14.2%).</w:t>
      </w:r>
      <w:bookmarkEnd w:id="184"/>
    </w:p>
    <w:p>
      <w:pPr>
        <w:pStyle w:val="Heading4"/>
        <w:rPr/>
      </w:pPr>
      <w:bookmarkStart w:id="185" w:name="a9.-granta-edupack-eco-audit"/>
      <w:r>
        <w:rPr/>
        <w:t>A9. Granta EduPack Eco Audit</w:t>
      </w:r>
    </w:p>
    <w:p>
      <w:pPr>
        <w:pStyle w:val="FirstParagraph"/>
        <w:rPr/>
      </w:pPr>
      <w:r>
        <w:rPr/>
        <w:t>A Granta EduPack Eco Audit cross-check was planned but not completed; the screening model in Appendix A is the basis of all results.</w:t>
      </w:r>
    </w:p>
    <w:p>
      <w:pPr>
        <w:pStyle w:val="normal1"/>
        <w:rPr/>
      </w:pPr>
      <w:bookmarkStart w:id="186" w:name="Xddcc31d2d3503f687b8b233cd4a745104a63a5c"/>
      <w:bookmarkStart w:id="187" w:name="a9.-granta-edupack-eco-audit"/>
      <w:r>
        <w:rPr/>
        <mc:AlternateContent>
          <mc:Choice Requires="wps">
            <w:drawing>
              <wp:inline distT="0" distB="0" distL="0" distR="0">
                <wp:extent cx="57315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6"/>
      <w:bookmarkEnd w:id="187"/>
    </w:p>
    <w:p>
      <w:pPr>
        <w:pStyle w:val="Heading2"/>
        <w:rPr/>
      </w:pPr>
      <w:bookmarkStart w:id="188" w:name="__RefHeading___Toc52992_3211584216"/>
      <w:bookmarkStart w:id="189" w:name="X7e33b522909f8daae3037d2691d3cd94d9b7c55"/>
      <w:bookmarkEnd w:id="188"/>
      <w:r>
        <w:rPr/>
        <w:t>Appendix B. Working for the policy and supply-chain analysis</w:t>
      </w:r>
    </w:p>
    <w:p>
      <w:pPr>
        <w:pStyle w:val="FirstParagraph"/>
        <w:rPr/>
      </w:pPr>
      <w:r>
        <w:rPr/>
        <w:t xml:space="preserve">This appendix gives the full working behind Section 3.6.1 (law and licensing), Section 3.5.2 (fuel-supply concentration), Sections 3.4–3.6 (social licence and stakeholders, B8), Section 3.3 (displacement, the value of schedule and the same money) and Section 3.7 (the multi-criteria analysis). Every number is produced by a script in </w:t>
      </w:r>
      <w:r>
        <w:rPr>
          <w:rStyle w:val="VerbatimChar"/>
        </w:rPr>
        <w:t>03_LCA_Calculations/scripts/</w:t>
      </w:r>
      <w:r>
        <w:rPr/>
        <w:t xml:space="preserve"> from a parameter file, so it can be re-run. Inputs are taken from the documents cited or, where marked “as reported”, from the secondary source named; assumptions and our own inferences are labelled as such.</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Subsection</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Script (run from the repository root)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B1 Legal and political pathway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03_LCA_Calculations/scripts/law_timelines.py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03_LCA_Calculations/parameters_run2.yaml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03_LCA_Calculations/results/law_timelines.csv</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B2 Supply concentration (HHI)</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03_LCA_Calculations/scripts/hhi.py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03_LCA_Calculations/parameters_run3.yaml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03_LCA_Calculations/results/hhi.md</w:t>
            </w:r>
            <w:r>
              <w:rPr>
                <w:rFonts w:eastAsia="Aptos" w:cs="Aptos"/>
                <w:kern w:val="0"/>
                <w:lang w:val="en-US"/>
              </w:rPr>
              <w:t xml:space="preserve">, </w:t>
            </w:r>
            <w:r>
              <w:rPr>
                <w:rStyle w:val="VerbatimChar"/>
                <w:rFonts w:eastAsia="Aptos" w:cs="Aptos"/>
                <w:kern w:val="0"/>
                <w:lang w:val="en-US"/>
              </w:rPr>
              <w:t>hhi_summary.csv</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B3 Routes to a licensable SMR in Australia</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hand calculation (qualitative scoring)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Table B13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This appendix</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B4 Displacement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03_LCA_Calculations/scripts/displacement.py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03_LCA_Calculations/parameters_run1.yaml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03_LCA_Calculations/results/displacement.md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B5 Value of schedule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03_LCA_Calculations/scripts/schedule_value.py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parameters_run1.yaml</w:t>
            </w:r>
            <w:r>
              <w:rPr>
                <w:rFonts w:eastAsia="Aptos" w:cs="Aptos"/>
                <w:kern w:val="0"/>
                <w:lang w:val="en-US"/>
              </w:rPr>
              <w:t xml:space="preserve"> (</w:t>
            </w:r>
            <w:r>
              <w:rPr>
                <w:rStyle w:val="VerbatimChar"/>
                <w:rFonts w:eastAsia="Aptos" w:cs="Aptos"/>
                <w:kern w:val="0"/>
                <w:lang w:val="en-US"/>
              </w:rPr>
              <w:t>c1_deck_*</w:t>
            </w:r>
            <w:r>
              <w:rPr>
                <w:rFonts w:eastAsia="Aptos" w:cs="Aptos"/>
                <w:kern w:val="0"/>
                <w:lang w:val="en-US"/>
              </w:rPr>
              <w:t xml:space="preserve"> keys; cost inputs read from </w:t>
            </w:r>
            <w:r>
              <w:rPr>
                <w:rStyle w:val="VerbatimChar"/>
                <w:rFonts w:eastAsia="Aptos" w:cs="Aptos"/>
                <w:kern w:val="0"/>
                <w:lang w:val="en-US"/>
              </w:rPr>
              <w:t>parameters_run5.yaml</w:t>
            </w: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results/schedule_value.md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B6 Same money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03_LCA_Calculations/scripts/same_money.py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parameters_run1.yaml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results/same_money.md</w:t>
            </w:r>
            <w:r>
              <w:rPr>
                <w:rFonts w:eastAsia="Aptos" w:cs="Aptos"/>
                <w:kern w:val="0"/>
                <w:lang w:val="en-US"/>
              </w:rPr>
              <w:t xml:space="preserve"> (cross-check: </w:t>
            </w:r>
            <w:r>
              <w:rPr>
                <w:rStyle w:val="VerbatimChar"/>
                <w:rFonts w:eastAsia="Aptos" w:cs="Aptos"/>
                <w:kern w:val="0"/>
                <w:lang w:val="en-US"/>
              </w:rPr>
              <w:t>results/lcoe.md</w:t>
            </w:r>
            <w:r>
              <w:rPr>
                <w:rFonts w:eastAsia="Aptos" w:cs="Aptos"/>
                <w:kern w:val="0"/>
                <w:lang w:val="en-US"/>
              </w:rPr>
              <w: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B7 Multi-criteria analysis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03_LCA_Calculations/scripts/mcda.py --c1-case new_2200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parameters_run9.yaml</w:t>
            </w:r>
            <w:r>
              <w:rPr>
                <w:rFonts w:eastAsia="Aptos" w:cs="Aptos"/>
                <w:kern w:val="0"/>
                <w:lang w:val="en-US"/>
              </w:rPr>
              <w:t xml:space="preserve"> (with run 6 consent routes)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results/mcda.md</w:t>
            </w:r>
            <w:r>
              <w:rPr>
                <w:rFonts w:eastAsia="Aptos" w:cs="Aptos"/>
                <w:kern w:val="0"/>
                <w:lang w:val="en-US"/>
              </w:rPr>
              <w:t xml:space="preserve">, </w:t>
            </w:r>
            <w:r>
              <w:rPr>
                <w:rStyle w:val="VerbatimChar"/>
                <w:rFonts w:eastAsia="Aptos" w:cs="Aptos"/>
                <w:kern w:val="0"/>
                <w:lang w:val="en-US"/>
              </w:rPr>
              <w:t>results/mcda_scores.csv</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B8 Social licence and stakeholder working</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03_LCA_Calculations/scripts/social_licence.py</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03_LCA_Calculations/parameters_run6.yaml</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results/social_licence.md</w:t>
            </w:r>
            <w:r>
              <w:rPr>
                <w:rFonts w:eastAsia="Aptos" w:cs="Aptos"/>
                <w:kern w:val="0"/>
                <w:lang w:val="en-US"/>
              </w:rPr>
              <w:t xml:space="preserve">, </w:t>
            </w:r>
            <w:r>
              <w:rPr>
                <w:rStyle w:val="VerbatimChar"/>
                <w:rFonts w:eastAsia="Aptos" w:cs="Aptos"/>
                <w:kern w:val="0"/>
                <w:lang w:val="en-US"/>
              </w:rPr>
              <w:t>F8_stakeholder_map.png</w:t>
            </w:r>
          </w:p>
        </w:tc>
      </w:tr>
    </w:tbl>
    <w:p>
      <w:pPr>
        <w:pStyle w:val="normal1"/>
        <w:rPr/>
      </w:pPr>
      <w:r>
        <w:rPr/>
        <mc:AlternateContent>
          <mc:Choice Requires="wps">
            <w:drawing>
              <wp:inline distT="0" distB="0" distL="0" distR="0">
                <wp:extent cx="635"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bookmarkStart w:id="190" w:name="b1.-legal-and-political-pathway"/>
      <w:r>
        <w:rPr/>
        <w:t>B1. Legal and political pathway</w:t>
      </w:r>
    </w:p>
    <w:p>
      <w:pPr>
        <w:pStyle w:val="FirstParagraph"/>
        <w:rPr/>
      </w:pPr>
      <w:r>
        <w:rPr>
          <w:b/>
          <w:bCs/>
        </w:rPr>
        <w:t>Result.</w:t>
      </w:r>
      <w:r>
        <w:rPr/>
        <w:t xml:space="preserve"> 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p>
      <w:pPr>
        <w:pStyle w:val="Heading5"/>
        <w:rPr/>
      </w:pPr>
      <w:bookmarkStart w:id="191" w:name="X3978bcd65168dfde624f3a3e20dbe906af3d815"/>
      <w:r>
        <w:rPr/>
        <w:t>B1.1 The three legal barriers and what removes each</w:t>
      </w:r>
    </w:p>
    <w:p>
      <w:pPr>
        <w:pStyle w:val="FirstParagraph"/>
        <w:rPr/>
      </w:pPr>
      <w:r>
        <w:rPr>
          <w:i/>
          <w:iCs/>
        </w:rPr>
        <w:t>Table B1. The legal barriers to an SMR at Liddell, what removes each, and who holds the veto.</w:t>
      </w:r>
      <w:r>
        <w:rPr/>
        <w:t xml:space="preserve"> </w:t>
      </w:r>
      <w:r>
        <w:rPr>
          <w:i/>
          <w:iCs/>
        </w:rPr>
        <w:t>Source: legislation as named; ARPANSA (n.d.); Parliament of New South Wales (2025; 2026); Canberra Times (2025); Newcastle Herald (2024a).</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Instrument and effect (as extracted)</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decides (veto holder)</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 October 2026</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environmental approval</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Environment Protection and Biodiversity Conservation Act 1999</w:t>
            </w:r>
            <w:r>
              <w:rPr>
                <w:rFonts w:eastAsia="Aptos" w:cs="Aptos"/>
                <w:kern w:val="0"/>
                <w:lang w:val="en-US"/>
              </w:rPr>
              <w:t xml:space="preserve"> (Cth) s 140A (parallel bars in ss 37J and 146M): the Minister “must not approve” an action involving the construction or operation of a nuclear power plant</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Amendment of ss 37J, 140A and 146M</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Parliament; in practice the Senate (B1.2)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force. Whether the 2025 EPBC reforms changed s 140A has not been checked (Norton Rose Fulbright, 2025)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radiation licensing</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Australian Radiation Protection and Nuclear Safety Act 1998</w:t>
            </w:r>
            <w:r>
              <w:rPr>
                <w:rFonts w:eastAsia="Aptos" w:cs="Aptos"/>
                <w:kern w:val="0"/>
                <w:lang w:val="en-US"/>
              </w:rPr>
              <w:t xml:space="preserve"> (Cth) s 10(2): the CEO “must not issue a licence” for a nuclear power plant. ARPANSA licenses only Commonwealth-controlled bodies (s 13, “controlled person”) (ARPANSA, 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Repeal of s 10, </w:t>
            </w:r>
            <w:r>
              <w:rPr>
                <w:rFonts w:eastAsia="Aptos" w:cs="Aptos"/>
                <w:b/>
                <w:bCs/>
                <w:kern w:val="0"/>
                <w:lang w:val="en-US"/>
              </w:rPr>
              <w:t>and</w:t>
            </w:r>
            <w:r>
              <w:rPr>
                <w:rFonts w:eastAsia="Aptos" w:cs="Aptos"/>
                <w:kern w:val="0"/>
                <w:lang w:val="en-US"/>
              </w:rPr>
              <w:t xml:space="preserve"> a regulator with power over private operators (route choice, B3)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Parliament (Senate)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force. A Senate committee recommended against the 2022 repeal bill (Senate Environment and Communications Legislation Committee, 2023); the bill lapsed at prorogation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State ban</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offence to build or operate a nuclear reactor, except for the s 8(3) exceptions (the Commonwealth’s AAEC successors, such as ANSTO); s 9: other Acts do not authorise a state authority to build or approve one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or a Commonwealth override under Constitution s 109, which Partlett warns may face a High Court challenge (Canberra Times, 2025)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Parliament (Legislative Assembly), or the Commonwealth</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Repeal bill passed the Legislative Council; stalled in the Assembly (B1.3)</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Site (not a law)</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there (Newcastle Herald, 2024a)</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compulsory acquisition by the Commonwealth</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or the Commonwealth</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opposed</w:t>
            </w:r>
          </w:p>
        </w:tc>
      </w:tr>
    </w:tbl>
    <w:p>
      <w:pPr>
        <w:pStyle w:val="BodyText"/>
        <w:rPr/>
      </w:pPr>
      <w:bookmarkStart w:id="192" w:name="X3978bcd65168dfde624f3a3e20dbe906af3d815"/>
      <w:r>
        <w:rPr/>
        <w:t>Order of removal: federal repeal (1 and 2) → choice of regulator → state repeal or override (3) → site (4) → environmental assessment → licensing. Each step has a different veto holder, so all must agree.</w:t>
      </w:r>
      <w:bookmarkEnd w:id="192"/>
    </w:p>
    <w:p>
      <w:pPr>
        <w:pStyle w:val="Heading5"/>
        <w:rPr/>
      </w:pPr>
      <w:bookmarkStart w:id="193" w:name="X52641d6a275743723c641fbdfc2158d68a6cd0a"/>
      <w:r>
        <w:rPr/>
        <w:t>B1.2 Senate arithmetic for federal repeal</w:t>
      </w:r>
    </w:p>
    <w:p>
      <w:pPr>
        <w:pStyle w:val="FirstParagraph"/>
        <w:rPr/>
      </w:pPr>
      <w:r>
        <w:rPr>
          <w:i/>
          <w:iCs/>
        </w:rPr>
        <w:t>Table B2. Senate composition used for the repeal arithmetic.</w:t>
      </w:r>
      <w:r>
        <w:rPr/>
        <w:t xml:space="preserve"> </w:t>
      </w:r>
      <w:r>
        <w:rPr>
          <w:i/>
          <w:iCs/>
        </w:rPr>
        <w:t xml:space="preserve">Source: Parliament of Australia (2026), composition as at 14 May 2026;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Party or group</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Seats</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Position on repeal</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 of position</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Labor Party</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Opposed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Bowen (2025); no 2026 statement found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Liberal Party of Australia (2026); ABC News (2026), as reported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Greens</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Opposed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Greens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Nation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Assumption</w:t>
            </w:r>
            <w:r>
              <w:rPr>
                <w:rFonts w:eastAsia="Aptos" w:cs="Aptos"/>
                <w:kern w:val="0"/>
                <w:lang w:val="en-US"/>
              </w:rPr>
              <w:t xml:space="preserve"> (upper bound for the pro-repeal bloc)</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Senator Babet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Assumption</w:t>
            </w:r>
            <w:r>
              <w:rPr>
                <w:rFonts w:eastAsia="Aptos" w:cs="Aptos"/>
                <w:kern w:val="0"/>
                <w:lang w:val="en-US"/>
              </w:rPr>
              <w:t xml:space="preserve"> (no source)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Lambie, Payman, Pocock, Thorpe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 (1 each)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assumed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76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Script asserts the parts sum to 76</w:t>
            </w:r>
          </w:p>
        </w:tc>
      </w:tr>
    </w:tbl>
    <w:p>
      <w:pPr>
        <w:pStyle w:val="BodyText"/>
        <w:rPr/>
      </w:pPr>
      <w:r>
        <w:rPr/>
        <w:t>Steps (</w:t>
      </w:r>
      <w:r>
        <w:rPr>
          <w:rStyle w:val="VerbatimChar"/>
        </w:rPr>
        <w:t>law_timelines.py</w:t>
      </w:r>
      <w:r>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Step</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Working</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Majority needed, all 76 voting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76 / 2⌋ + 1 (a tied vote fails, Constitution s 23)</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Largest pro-repeal bloc (upper bound)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 27 + One Nation 4 + Babet 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Shortfall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39 − 32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Bloc plus every other crossbencher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36</w:t>
            </w:r>
            <w:r>
              <w:rPr>
                <w:rFonts w:eastAsia="Aptos" w:cs="Aptos"/>
                <w:kern w:val="0"/>
                <w:lang w:val="en-US"/>
              </w:rPr>
              <w:t xml:space="preserve"> (3 short); </w:t>
            </w:r>
            <w:r>
              <w:rPr>
                <w:rFonts w:eastAsia="Aptos" w:cs="Aptos"/>
                <w:b/>
                <w:bCs/>
                <w:kern w:val="0"/>
                <w:lang w:val="en-US"/>
              </w:rPr>
              <w:t>37</w:t>
            </w:r>
            <w:r>
              <w:rPr>
                <w:rFonts w:eastAsia="Aptos" w:cs="Aptos"/>
                <w:kern w:val="0"/>
                <w:lang w:val="en-US"/>
              </w:rPr>
              <w:t xml:space="preserve"> (2 short) on the alternative count in step 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Can repeal pass without Labor or the Greens?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 or 37 ≥ 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w:t>
            </w:r>
            <w:r>
              <w:rPr>
                <w:rFonts w:eastAsia="Aptos" w:cs="Aptos"/>
                <w:kern w:val="0"/>
                <w:lang w:val="en-US"/>
              </w:rPr>
              <w:t xml:space="preserve"> on either count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Would the Greens alone be enough (arithmetic only)?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+ 10 = 42 ≥ 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but the Greens oppose (policy, not arithmetic)</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Opposed bloc</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Labor 30 + Greens 10 = 40 ≥ 39 (39 on the alternative count)</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blocking majority on its own</w:t>
            </w:r>
          </w:p>
        </w:tc>
      </w:tr>
    </w:tbl>
    <w:p>
      <w:pPr>
        <w:pStyle w:val="BodyText"/>
        <w:rPr/>
      </w:pPr>
      <w:bookmarkStart w:id="194" w:name="X52641d6a275743723c641fbdfc2158d68a6cd0a"/>
      <w:r>
        <w:rPr/>
        <w:t>Result 4 makes the conclusion independent of the One Nation and Babet assumption (it holds on either count of seats). In the House, Labor holds 94 of 150 seats (Australian Electoral Commission, 2025), so a repeal bill would also need the Government’s support there.</w:t>
      </w:r>
      <w:bookmarkEnd w:id="194"/>
    </w:p>
    <w:p>
      <w:pPr>
        <w:pStyle w:val="Heading5"/>
        <w:rPr/>
      </w:pPr>
      <w:r>
        <w:rPr/>
        <w:t>B1.3 NSW repeal bill status</w:t>
      </w:r>
    </w:p>
    <w:p>
      <w:pPr>
        <w:pStyle w:val="FirstParagraph"/>
        <w:rPr/>
      </w:pPr>
      <w:r>
        <w:rPr>
          <w:i/>
          <w:iCs/>
        </w:rPr>
        <w:t>Table B3. Progress of the NSW repeal bill (private member’s bill).</w:t>
      </w:r>
      <w:r>
        <w:rPr/>
        <w:t xml:space="preserve"> </w:t>
      </w:r>
      <w:r>
        <w:rPr>
          <w:i/>
          <w:iCs/>
        </w:rPr>
        <w:t xml:space="preserve">Source: Parliament of New South Wales (2025; 2026);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Event</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Note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Introduced in the Legislative Council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 November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Passed the Legislative Council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May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5.5 months after introduction. All Liberal and National MLCs voted for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Legislative Assembly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Awaiting the second reading speech (notice paper reported 27 May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Minns Labor Government opposes repeal and holds an Assembly majority (Canberra Times, n.d., as reported)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Lapses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 November 2026</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Unless the Assembly acts first</w:t>
            </w:r>
            <w:bookmarkStart w:id="195" w:name="b1.3-nsw-repeal-bill-status"/>
            <w:bookmarkEnd w:id="195"/>
          </w:p>
        </w:tc>
      </w:tr>
    </w:tbl>
    <w:p>
      <w:pPr>
        <w:pStyle w:val="Heading5"/>
        <w:rPr/>
      </w:pPr>
      <w:r>
        <w:rPr/>
        <w:t>B1.4 Licensing timelines: Darlington (Canada)</w:t>
      </w:r>
    </w:p>
    <w:p>
      <w:pPr>
        <w:pStyle w:val="FirstParagraph"/>
        <w:rPr/>
      </w:pPr>
      <w:r>
        <w:rPr>
          <w:i/>
          <w:iCs/>
        </w:rPr>
        <w:t>Table B4. CNSC licensing milestones for the Darlington New Nuclear Project.</w:t>
      </w:r>
      <w:r>
        <w:rPr/>
        <w:t xml:space="preserve"> </w:t>
      </w:r>
      <w:r>
        <w:rPr>
          <w:i/>
          <w:iCs/>
        </w:rPr>
        <w:t xml:space="preserve">Source: Canadian Nuclear Safety Commission [CNSC] (2021; 2025; 2026a; 2026b);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Milestone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 key</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Environmental assessment begins (joint review panel)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May 2007 (taken as 1 May)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dnnp_ea_start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prepare site issued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August 2012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dnnp_lpts_issued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Site licence renewed, valid to 11 October 2031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 October 2021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dnnp_lpts_renewed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Licence-to-construct application (one unit, in packages)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2022 (taken as 31 October)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dnnp_ltc_application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Hearing part 2 begins (Ajax)</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January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dnnp_ltc_hearing_part2_start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issued (PRCL 32.00/2035, one BWRX-300)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April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dnnp_ltc_decision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Regulatory hold point 1 lifted (reactor building foundation)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March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dnnp_rhp1_lifted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expires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 March 2035</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dnnp_ltc_expiry</w:t>
            </w:r>
          </w:p>
        </w:tc>
      </w:tr>
    </w:tbl>
    <w:p>
      <w:pPr>
        <w:pStyle w:val="BodyText"/>
        <w:rPr/>
      </w:pPr>
      <w:r>
        <w:rPr/>
        <w:t>Method: months = days between two dates ÷ (365.25 / 12); years = months ÷ 12.</w:t>
      </w:r>
    </w:p>
    <w:p>
      <w:pPr>
        <w:pStyle w:val="BodyText"/>
        <w:rPr/>
      </w:pPr>
      <w:r>
        <w:rPr>
          <w:i/>
          <w:iCs/>
        </w:rPr>
        <w:t>Table B5. Licensing durations calculated from Table B4.</w:t>
      </w:r>
      <w:r>
        <w:rPr/>
        <w:t xml:space="preserve"> </w:t>
      </w:r>
      <w:r>
        <w:rPr>
          <w:i/>
          <w:iCs/>
        </w:rPr>
        <w:t xml:space="preserve">Source: </w:t>
      </w:r>
      <w:r>
        <w:rPr>
          <w:rStyle w:val="VerbatimChar"/>
          <w:i/>
          <w:iCs/>
        </w:rPr>
        <w:t>03_LCA_Calculations/results/law_timelines.csv</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Dates used</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 to licence to construct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 Oct 2022 → 4 Apr 2025 (886 days)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29.1 months</w:t>
            </w:r>
            <w:r>
              <w:rPr>
                <w:rFonts w:eastAsia="Aptos" w:cs="Aptos"/>
                <w:kern w:val="0"/>
                <w:lang w:val="en-US"/>
              </w:rPr>
              <w:t xml:space="preserve"> (2.43 years)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Sensitivity: application day unknown within October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Oct 2022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29.1–30.1 months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Against the CNSC’s expected review time (REGDOC-3.5.1; CNSC, 2022; the extract is ambiguous: one row reads 32 months, another 24)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29.1 − 32; 29.1 − 24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2.9 months (faster); +5.1 months (slower)</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Hearing part 2 to decision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Jan 2025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 months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Environmental assessment start to licence to construct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May 2007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17.9 years</w:t>
            </w:r>
            <w:r>
              <w:rPr>
                <w:rFonts w:eastAsia="Aptos" w:cs="Aptos"/>
                <w:kern w:val="0"/>
                <w:lang w:val="en-US"/>
              </w:rPr>
              <w:t xml:space="preserve"> (elapsed, not continuous review)</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validity from issue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 2025 → 31 Mar 2035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 years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validity remaining at the report date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 Oct 2026 → 31 Mar 2035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8.4 years</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to RHP-1 lifted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 2025 → 30 Mar 2026</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11.8 months</w:t>
            </w:r>
          </w:p>
        </w:tc>
      </w:tr>
    </w:tbl>
    <w:p>
      <w:pPr>
        <w:pStyle w:val="BodyText"/>
        <w:rPr/>
      </w:pPr>
      <w:r>
        <w:rPr/>
        <w:t>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rPr/>
      </w:pPr>
      <w:r>
        <w:rPr/>
        <w:t>Australian comparator: the naval nuclear regulator (ANNPSR) began operating on 1 November 2025 under a 2024 Act (Minister for Defence, 2025). It covers submarines only, so it is a precedent for building a regulator, not a regulator for a power reactor.</w:t>
      </w:r>
    </w:p>
    <w:p>
      <w:pPr>
        <w:pStyle w:val="normal1"/>
        <w:rPr/>
      </w:pPr>
      <w:bookmarkStart w:id="196" w:name="b1.-legal-and-political-pathway"/>
      <w:r>
        <w:rPr/>
        <mc:AlternateContent>
          <mc:Choice Requires="wps">
            <w:drawing>
              <wp:inline distT="0" distB="0" distL="0" distR="0">
                <wp:extent cx="573151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p>
    <w:p>
      <w:pPr>
        <w:pStyle w:val="Heading4"/>
        <w:rPr/>
      </w:pPr>
      <w:bookmarkStart w:id="197" w:name="X372cadb88b67a633233203304eb4ef38d3c0c77"/>
      <w:r>
        <w:rPr/>
        <w:t>B2. Supply concentration: Herfindahl–Hirschman index (HHI) working</w:t>
      </w:r>
    </w:p>
    <w:p>
      <w:pPr>
        <w:pStyle w:val="FirstParagraph"/>
        <w:rPr/>
      </w:pPr>
      <w:r>
        <w:rPr>
          <w:b/>
          <w:bCs/>
        </w:rPr>
        <w:t>Result.</w:t>
      </w:r>
      <w:r>
        <w:rPr/>
        <w:t xml:space="preserve"> On the 2023 US merger guidelines, mining by country (2,341), conversion (2,111) and enrichment (3,009) are all “highly concentrated”. On the superseded 2010 guidelines only enrichment is; mining and conversion are “moderately concentrated”.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p>
      <w:pPr>
        <w:pStyle w:val="Heading5"/>
        <w:rPr/>
      </w:pPr>
      <w:bookmarkStart w:id="198" w:name="b2.1-method"/>
      <w:r>
        <w:rPr/>
        <w:t>B2.1 Method</w:t>
      </w:r>
    </w:p>
    <w:p>
      <w:pPr>
        <w:pStyle w:val="Compact"/>
        <w:numPr>
          <w:ilvl w:val="0"/>
          <w:numId w:val="47"/>
        </w:numPr>
        <w:rPr/>
      </w:pPr>
      <w:r>
        <w:rPr/>
        <w:t xml:space="preserve">Share of supplier </w:t>
      </w:r>
      <w:r>
        <w:rPr>
          <w:i/>
          <w:iCs/>
        </w:rPr>
        <w:t>i</w:t>
      </w:r>
      <w:r>
        <w:rPr/>
        <w:t>: s</w:t>
      </w:r>
      <w:r>
        <w:rPr>
          <w:i/>
          <w:iCs/>
        </w:rPr>
        <w:t>ᵢ</w:t>
      </w:r>
      <w:r>
        <w:rPr/>
        <w:t xml:space="preserve"> = 100 × q</w:t>
      </w:r>
      <w:r>
        <w:rPr>
          <w:i/>
          <w:iCs/>
        </w:rPr>
        <w:t>ᵢ</w:t>
      </w:r>
      <w:r>
        <w:rPr/>
        <w:t xml:space="preserve"> / Σq (per cent), where q is output or capacity.</w:t>
      </w:r>
    </w:p>
    <w:p>
      <w:pPr>
        <w:pStyle w:val="Compact"/>
        <w:numPr>
          <w:ilvl w:val="0"/>
          <w:numId w:val="48"/>
        </w:numPr>
        <w:rPr/>
      </w:pPr>
      <w:r>
        <w:rPr/>
        <w:t>HHI = Σ s</w:t>
      </w:r>
      <w:r>
        <w:rPr>
          <w:i/>
          <w:iCs/>
        </w:rPr>
        <w:t>ᵢ</w:t>
      </w:r>
      <w:r>
        <w:rPr/>
        <w:t>² (range 0 to 10,000; one supplier = 10,000).</w:t>
      </w:r>
    </w:p>
    <w:p>
      <w:pPr>
        <w:pStyle w:val="Compact"/>
        <w:numPr>
          <w:ilvl w:val="0"/>
          <w:numId w:val="49"/>
        </w:numPr>
        <w:rPr/>
      </w:pPr>
      <w:r>
        <w:rPr/>
        <w:t>Equivalent number of equal-sized suppliers: N_eq = 10,000 / HHI.</w:t>
      </w:r>
    </w:p>
    <w:p>
      <w:pPr>
        <w:pStyle w:val="Compact"/>
        <w:numPr>
          <w:ilvl w:val="0"/>
          <w:numId w:val="50"/>
        </w:numPr>
        <w:rPr/>
      </w:pPr>
      <w:r>
        <w:rPr/>
        <w:t>Measures: mining by country (2024 mine output, tU); conversion by company (licensed capacity, tU as UF₆ per year; production as a check); enrichment by company (capacity, thousand SWU per year; 2025 base, 2022 and 2030 as sensitivity).</w:t>
      </w:r>
    </w:p>
    <w:p>
      <w:pPr>
        <w:pStyle w:val="Compact"/>
        <w:numPr>
          <w:ilvl w:val="0"/>
          <w:numId w:val="51"/>
        </w:numPr>
        <w:rPr/>
      </w:pPr>
      <w:r>
        <w:rPr/>
        <w:t>“</w:t>
      </w:r>
      <w:r>
        <w:rPr/>
        <w:t>Without Russia”: Russian supply removed and the remaining shares renormalised, with no new capacity (the market open to a buyer barred from Russian material). “Without Russia and China” also removes CNNC, whose capacity WNA estimates on the assumption that it serves China’s own fleet; this approximates the market open to a Canadian or Australian utility.</w:t>
      </w:r>
    </w:p>
    <w:p>
      <w:pPr>
        <w:pStyle w:val="Compact"/>
        <w:numPr>
          <w:ilvl w:val="0"/>
          <w:numId w:val="52"/>
        </w:numPr>
        <w:rPr/>
      </w:pPr>
      <w:r>
        <w:rPr/>
        <w:t>“</w:t>
      </w:r>
      <w:r>
        <w:rPr/>
        <w:t>Others” or residual rows are bounded: one supplier (upper bound) or many small suppliers (lower bound, about 0). The difference is below 3 HHI points in every 2024/2025 case.</w:t>
      </w:r>
    </w:p>
    <w:p>
      <w:pPr>
        <w:pStyle w:val="Compact"/>
        <w:numPr>
          <w:ilvl w:val="0"/>
          <w:numId w:val="53"/>
        </w:numPr>
        <w:rPr/>
      </w:pPr>
      <w:r>
        <w:rPr/>
        <w:t>Shares are squared before rounding, so squaring a rounded share in the tables can differ by less than 1 point.</w:t>
      </w:r>
    </w:p>
    <w:p>
      <w:pPr>
        <w:pStyle w:val="FirstParagraph"/>
        <w:rPr/>
      </w:pPr>
      <w:r>
        <w:rPr>
          <w:i/>
          <w:iCs/>
        </w:rPr>
        <w:t>Table B6. HHI thresholds used as a scale.</w:t>
      </w:r>
      <w:r>
        <w:rPr/>
        <w:t xml:space="preserve"> </w:t>
      </w:r>
      <w:r>
        <w:rPr>
          <w:i/>
          <w:iCs/>
        </w:rPr>
        <w:t>Source: US Department of Justice and Federal Trade Commission (2023; 2010).</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Guideline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Moderately 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Highly 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Merger Guidelines</w:t>
            </w:r>
            <w:r>
              <w:rPr>
                <w:rFonts w:eastAsia="Aptos" w:cs="Aptos"/>
                <w:kern w:val="0"/>
                <w:lang w:val="en-US"/>
              </w:rPr>
              <w:t xml:space="preserve"> (2023), section 2.1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HHI &gt; 1,800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Current</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Horizontal Merger Guidelines</w:t>
            </w:r>
            <w:r>
              <w:rPr>
                <w:rFonts w:eastAsia="Aptos" w:cs="Aptos"/>
                <w:kern w:val="0"/>
                <w:lang w:val="en-US"/>
              </w:rPr>
              <w:t xml:space="preserve"> (2010), section 5.3</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&lt; 1,500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1,500–2,500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&gt; 2,500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Superseded; reported because mining and conversion fall between the two thresholds</w:t>
            </w:r>
          </w:p>
        </w:tc>
      </w:tr>
    </w:tbl>
    <w:p>
      <w:pPr>
        <w:pStyle w:val="BodyText"/>
        <w:rPr/>
      </w:pPr>
      <w:r>
        <w:rPr/>
        <w:t>These are antitrust screens for merger review. Here they are used as a recognised scale for supply concentration, not as a legal test.</w:t>
      </w:r>
    </w:p>
    <w:p>
      <w:pPr>
        <w:pStyle w:val="BodyText"/>
        <w:rPr/>
      </w:pPr>
      <w:r>
        <w:rPr>
          <w:b/>
          <w:bCs/>
        </w:rPr>
        <w:t>Worked example (enrichment, 2025).</w:t>
      </w:r>
      <w:r>
        <w:rPr/>
        <w:t xml:space="preserve"> 1. Rosatom’s share = 100 × 29,133 / 68,077 = 42.79%; squared = 1,831.3. 2. Repeat for Urenco, CNNC, Orano and Other; sum = 1,831.3 + 645.8 + 410.3 + 121.4 + 0.3 = </w:t>
      </w:r>
      <w:r>
        <w:rPr>
          <w:b/>
          <w:bCs/>
        </w:rPr>
        <w:t>3,009</w:t>
      </w:r>
      <w:r>
        <w:rPr/>
        <w:t xml:space="preserve">. N_eq = 10,000 / 3,009 = 3.3. 3. Without Russia: total = 68,077 − 29,133 = 38,944 kSWU. Urenco’s share = 100 × 17,300 / 38,944 = 44.42%; and so on. HHI = </w:t>
      </w:r>
      <w:r>
        <w:rPr>
          <w:b/>
          <w:bCs/>
        </w:rPr>
        <w:t>3,599</w:t>
      </w:r>
      <w:r>
        <w:rPr/>
        <w:t xml:space="preserve">. 4. Without Russia and China: total = 38,944 − 13,789 = 25,155 kSWU. Urenco 68.77%, Orano 29.82%, Other 1.41%. HHI = </w:t>
      </w:r>
      <w:r>
        <w:rPr>
          <w:b/>
          <w:bCs/>
        </w:rPr>
        <w:t>5,621</w:t>
      </w:r>
      <w:r>
        <w:rPr/>
        <w:t xml:space="preserve"> (N_eq = 1.8).</w:t>
      </w:r>
      <w:bookmarkEnd w:id="198"/>
    </w:p>
    <w:p>
      <w:pPr>
        <w:pStyle w:val="Heading5"/>
        <w:rPr/>
      </w:pPr>
      <w:bookmarkStart w:id="199" w:name="b2.2-inputs-and-shares"/>
      <w:r>
        <w:rPr/>
        <w:t>B2.2 Inputs and shares</w:t>
      </w:r>
    </w:p>
    <w:p>
      <w:pPr>
        <w:pStyle w:val="FirstParagraph"/>
        <w:rPr/>
      </w:pPr>
      <w:r>
        <w:rPr>
          <w:i/>
          <w:iCs/>
        </w:rPr>
        <w:t>Table B7. Uranium mine output by country, 2024.</w:t>
      </w:r>
      <w:r>
        <w:rPr/>
        <w:t xml:space="preserve"> </w:t>
      </w:r>
      <w:r>
        <w:rPr>
          <w:i/>
          <w:iCs/>
        </w:rPr>
        <w:t xml:space="preserve">Source: World Nuclear Association (2026); several rows are WNA estimates; calculated in </w:t>
      </w:r>
      <w:r>
        <w:rPr>
          <w:rStyle w:val="VerbatimChar"/>
          <w:i/>
          <w:iCs/>
        </w:rPr>
        <w:t>hhi.py</w:t>
      </w:r>
      <w:r>
        <w:rPr>
          <w:i/>
          <w:iCs/>
        </w:rPr>
        <w:t xml:space="preserve"> (</w:t>
      </w:r>
      <w:r>
        <w:rPr>
          <w:rStyle w:val="VerbatimChar"/>
          <w:i/>
          <w:iCs/>
        </w:rPr>
        <w:t>results/hhi.md</w:t>
      </w:r>
      <w:r>
        <w:rPr>
          <w:i/>
          <w:iCs/>
        </w:rPr>
        <w:t xml:space="preserve"> section 3.1–3.2). Internal check: the rows sum exactly to 60,213 tU.</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Country</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tU</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without Russia (%)</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Kazakhstan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23,270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38.65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1,493.5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1,639.2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14,309</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564.7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24.90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619.8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Namibia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7,333</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148.3</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162.8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4,598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58.3</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Uzbekistan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6.96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2,738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China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Niger</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962</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Ukraine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South Africa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Others</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155</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 (tU) / HHI</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60,213</w:t>
            </w:r>
            <w:r>
              <w:rPr>
                <w:rFonts w:eastAsia="Aptos" w:cs="Aptos"/>
                <w:kern w:val="0"/>
                <w:lang w:val="en-US"/>
              </w:rPr>
              <w:t xml:space="preserve"> (57,475 without Russia)</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2,341</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2,546</w:t>
            </w:r>
          </w:p>
        </w:tc>
      </w:tr>
    </w:tbl>
    <w:p>
      <w:pPr>
        <w:pStyle w:val="BodyText"/>
        <w:rPr/>
      </w:pPr>
      <w:r>
        <w:rPr/>
        <w:t>Without Russia and China, the mining HHI is 2,686 (</w:t>
      </w:r>
      <w:r>
        <w:rPr>
          <w:rStyle w:val="VerbatimChar"/>
        </w:rPr>
        <w:t>hhi_summary.csv</w:t>
      </w:r>
      <w:r>
        <w:rPr/>
        <w:t xml:space="preserve">; </w:t>
      </w:r>
      <w:r>
        <w:rPr>
          <w:rStyle w:val="VerbatimChar"/>
        </w:rPr>
        <w:t>hhi.py</w:t>
      </w:r>
      <w:r>
        <w:rPr/>
        <w:t xml:space="preserve"> does not print the share table for this case).</w:t>
      </w:r>
    </w:p>
    <w:p>
      <w:pPr>
        <w:pStyle w:val="BodyText"/>
        <w:rPr/>
      </w:pPr>
      <w:r>
        <w:rPr>
          <w:i/>
          <w:iCs/>
        </w:rPr>
        <w:t>Table B8. Mining by country, earlier years (only the eight largest rows retrieved; residual bounded).</w:t>
      </w:r>
      <w:r>
        <w:rPr/>
        <w:t xml:space="preserve"> </w:t>
      </w:r>
      <w:r>
        <w:rPr>
          <w:i/>
          <w:iCs/>
        </w:rPr>
        <w:t xml:space="preserve">Source: World Nuclear Association (2026); </w:t>
      </w:r>
      <w:r>
        <w:rPr>
          <w:rStyle w:val="VerbatimChar"/>
          <w:i/>
          <w:iCs/>
        </w:rPr>
        <w:t>results/hhi.md</w:t>
      </w:r>
      <w:r>
        <w:rPr>
          <w:i/>
          <w:iCs/>
        </w:rPr>
        <w:t xml:space="preserve"> section 3.3.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Year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Residual (tU)</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lower bound</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upper bound</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 (%)</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1,083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2,368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1,204</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2,248</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r>
    </w:tbl>
    <w:p>
      <w:pPr>
        <w:pStyle w:val="BodyText"/>
        <w:rPr/>
      </w:pPr>
      <w:r>
        <w:rPr>
          <w:i/>
          <w:iCs/>
        </w:rPr>
        <w:t>Table B9. Conversion by company, licensed capacity (tU as UF₆ per year).</w:t>
      </w:r>
      <w:r>
        <w:rPr/>
        <w:t xml:space="preserve"> </w:t>
      </w:r>
      <w:r>
        <w:rPr>
          <w:i/>
          <w:iCs/>
        </w:rPr>
        <w:t xml:space="preserve">Source: World Nuclear Association (2024); CNNC and Rosatom are WNA estimates; </w:t>
      </w:r>
      <w:r>
        <w:rPr>
          <w:rStyle w:val="VerbatimChar"/>
          <w:i/>
          <w:iCs/>
        </w:rPr>
        <w:t>results/hhi.md</w:t>
      </w:r>
      <w:r>
        <w:rPr>
          <w:i/>
          <w:iCs/>
        </w:rPr>
        <w:t xml:space="preserve"> section 3.5.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Company (country)</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tU/yr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 (%)</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CNNC (China)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585.3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918.3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Orano (France)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585.3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918.3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43.48</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1,890.4</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Cameco (Canada)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25.25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637.7</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36.23</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1,312.7</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Rosatom (Russia)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(USA)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127.5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20.29</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411.7</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Market total (tU/yr) / HHI</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62,000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2,111</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49,500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2,674</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34,500</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3,615</w:t>
            </w:r>
          </w:p>
        </w:tc>
      </w:tr>
    </w:tbl>
    <w:p>
      <w:pPr>
        <w:pStyle w:val="BodyText"/>
        <w:rPr/>
      </w:pPr>
      <w:r>
        <w:rPr>
          <w:i/>
          <w:iCs/>
        </w:rPr>
        <w:t>Table B10. Enrichment by company, 2025 capacity (thousand SWU per year).</w:t>
      </w:r>
      <w:r>
        <w:rPr/>
        <w:t xml:space="preserve"> </w:t>
      </w:r>
      <w:r>
        <w:rPr>
          <w:i/>
          <w:iCs/>
        </w:rPr>
        <w:t xml:space="preserve">Source: World Nuclear Association (2025); CNNC is a WNA estimate; 2030 figures are plans; </w:t>
      </w:r>
      <w:r>
        <w:rPr>
          <w:rStyle w:val="VerbatimChar"/>
          <w:i/>
          <w:iCs/>
        </w:rPr>
        <w:t>results/hhi.md</w:t>
      </w:r>
      <w:r>
        <w:rPr>
          <w:i/>
          <w:iCs/>
        </w:rPr>
        <w:t xml:space="preserve"> section 3.6.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Company</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kSWU/yr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 (%)</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Rosatom</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29,133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42.79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1,831.3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645.8</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44.42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1,973.4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68.77</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4,729.8</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CNNC</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13,789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410.3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1,253.7</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Orano</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370.9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29.82</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888.9</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(INB, JNFL)</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Market total (kSWU/yr) / HHI</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68,077</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38,944</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25,155</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r>
    </w:tbl>
    <w:p>
      <w:pPr>
        <w:pStyle w:val="BodyText"/>
        <w:rPr/>
      </w:pPr>
      <w:bookmarkStart w:id="200" w:name="b2.2-inputs-and-shares"/>
      <w:r>
        <w:rPr/>
        <w:t>Russia’s enrichment share is 43.3% in 2022 and 38.3% in the 2030 plans (World Nuclear Association, 2025). It is 42.8% on WNA’s 2025 capacity and 41.0% on World Nuclear University’s (2025) figures, which gives the range quoted in Section 3.5.2.</w:t>
      </w:r>
      <w:bookmarkEnd w:id="200"/>
    </w:p>
    <w:p>
      <w:pPr>
        <w:pStyle w:val="Heading5"/>
        <w:rPr/>
      </w:pPr>
      <w:bookmarkStart w:id="201" w:name="b2.3-headline-results"/>
      <w:r>
        <w:rPr/>
        <w:t>B2.3 Headline results</w:t>
      </w:r>
    </w:p>
    <w:p>
      <w:pPr>
        <w:pStyle w:val="FirstParagraph"/>
        <w:rPr/>
      </w:pPr>
      <w:r>
        <w:rPr>
          <w:i/>
          <w:iCs/>
        </w:rPr>
        <w:t>Table B11. HHI of the uranium front end by stage, with and without Russia and China.</w:t>
      </w:r>
      <w:r>
        <w:rPr/>
        <w:t xml:space="preserve"> </w:t>
      </w:r>
      <w:r>
        <w:rPr>
          <w:i/>
          <w:iCs/>
        </w:rPr>
        <w:t xml:space="preserve">Source: </w:t>
      </w:r>
      <w:r>
        <w:rPr>
          <w:rStyle w:val="VerbatimChar"/>
          <w:i/>
          <w:iCs/>
        </w:rPr>
        <w:t>03_LCA_Calculations/results/hhi.md</w:t>
      </w:r>
      <w:r>
        <w:rPr>
          <w:i/>
          <w:iCs/>
        </w:rPr>
        <w:t xml:space="preserve"> section 2 and </w:t>
      </w:r>
      <w:r>
        <w:rPr>
          <w:rStyle w:val="VerbatimChar"/>
          <w:i/>
          <w:iCs/>
        </w:rPr>
        <w:t>hhi_summary.csv</w:t>
      </w:r>
      <w:r>
        <w:rPr>
          <w:i/>
          <w:iCs/>
        </w:rPr>
        <w:t>, from the inputs in Tables B7–B10.</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N_eq</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2023 class</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2010 class</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 (highly under both)</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 (highly under both)</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r>
    </w:tbl>
    <w:p>
      <w:pPr>
        <w:pStyle w:val="BodyText"/>
        <w:rPr/>
      </w:pPr>
      <w:bookmarkStart w:id="202" w:name="b2.3-headline-results"/>
      <w:r>
        <w:rPr/>
        <w:t>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bookmarkEnd w:id="202"/>
    </w:p>
    <w:p>
      <w:pPr>
        <w:pStyle w:val="Heading5"/>
        <w:rPr/>
      </w:pPr>
      <w:bookmarkStart w:id="203" w:name="b2.4-sensitivity"/>
      <w:r>
        <w:rPr/>
        <w:t>B2.4 Sensitivity</w:t>
      </w:r>
    </w:p>
    <w:p>
      <w:pPr>
        <w:pStyle w:val="FirstParagraph"/>
        <w:rPr/>
      </w:pPr>
      <w:r>
        <w:rPr>
          <w:i/>
          <w:iCs/>
        </w:rPr>
        <w:t>Table B12. HHI under every tested scenario.</w:t>
      </w:r>
      <w:r>
        <w:rPr/>
        <w:t xml:space="preserve"> </w:t>
      </w:r>
      <w:r>
        <w:rPr>
          <w:i/>
          <w:iCs/>
        </w:rPr>
        <w:t xml:space="preserve">Source: </w:t>
      </w:r>
      <w:r>
        <w:rPr>
          <w:rStyle w:val="VerbatimChar"/>
          <w:i/>
          <w:iCs/>
        </w:rPr>
        <w:t>03_LCA_Calculations/results/hhi_summary.csv</w:t>
      </w:r>
      <w:r>
        <w:rPr>
          <w:i/>
          <w:iCs/>
        </w:rPr>
        <w:t>.</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N_eq</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2023 class</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2010 class</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Note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base, “Others” atomistic</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bound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 China and Niger</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2,778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Niger: exports disrupted since the 2023 coup (secondary)</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(residual bounds)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2,368–2,372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2,598–2,603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 (residual bounds)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2,243–2,248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2,460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2,457–2,462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Mining (company)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2024 bounds (top three known)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1,118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Not 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Unconcentrated</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Range 851–1,384; partial data</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Production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Production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15,000 tU (alternative)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Secondary source; sensitivity only</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alternative,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2,514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alternative,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3,356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capacity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3,707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5,722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capacity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capacity (plans)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without Russia and China</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4,827</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bl>
    <w:p>
      <w:pPr>
        <w:pStyle w:val="BodyText"/>
        <w:rPr/>
      </w:pPr>
      <w:r>
        <w:rPr/>
        <w:t xml:space="preserve">Reading: - </w:t>
      </w:r>
      <w:r>
        <w:rPr>
          <w:b/>
          <w:bCs/>
        </w:rPr>
        <w:t>Data year</w:t>
      </w:r>
      <w:r>
        <w:rPr/>
        <w:t xml:space="preserve"> moves the HHI by a few hundred points but never changes the 2023 class. Enrichment and conversion are highly concentrated in every year tested. - </w:t>
      </w:r>
      <w:r>
        <w:rPr>
          <w:b/>
          <w:bCs/>
        </w:rPr>
        <w:t>Capacity versus production</w:t>
      </w:r>
      <w:r>
        <w:rPr/>
        <w:t xml:space="preserve"> (conversion) changes the HHI by less than 10 points. - </w:t>
      </w:r>
      <w:r>
        <w:rPr>
          <w:b/>
          <w:bCs/>
        </w:rPr>
        <w:t>ConverDyn’s capacity</w:t>
      </w:r>
      <w:r>
        <w:rPr/>
        <w:t xml:space="preserve"> (7,000 or 15,000 tU) is the largest data uncertainty for conversion. The higher value lowers the HHI to 2,015, still above 1,800. - </w:t>
      </w:r>
      <w:r>
        <w:rPr>
          <w:b/>
          <w:bCs/>
        </w:rPr>
        <w:t>Threshold choice</w:t>
      </w:r>
      <w:r>
        <w:rPr/>
        <w:t xml:space="preserve"> matters for mining and conversion only: both are “highly” concentrated on the 2023 scale and “moderately” on the 2010 scale. Enrichment is highly concentrated on both. - </w:t>
      </w:r>
      <w:r>
        <w:rPr>
          <w:b/>
          <w:bCs/>
        </w:rPr>
        <w:t>Removing Russia</w:t>
      </w:r>
      <w:r>
        <w:rPr/>
        <w:t xml:space="preserve"> is the dominant effect at every stage, and it always increases concentration.</w:t>
      </w:r>
    </w:p>
    <w:p>
      <w:pPr>
        <w:pStyle w:val="BodyText"/>
        <w:rPr/>
      </w:pPr>
      <w:r>
        <w:rPr>
          <w:b/>
          <w:bCs/>
        </w:rPr>
        <w:t>Mining by company (the one case below 1,800).</w:t>
      </w:r>
      <w:r>
        <w:rPr/>
        <w:t xml:space="preserve"> Only the top three 2024 shares were retrieved: Kazatomprom 21%, Cameco 17%, Orano 11% (World Nuclear Association, 2026); Kazatomprom’s 21% is cross-checked by Kazatomprom (2025). Together they hold 49%. 1. Lower bound (the other 51% held by many small firms): 21² + 17² + 11² = 441 + 289 + 121 = </w:t>
      </w:r>
      <w:r>
        <w:rPr>
          <w:b/>
          <w:bCs/>
        </w:rPr>
        <w:t>851</w:t>
      </w:r>
      <w:r>
        <w:rPr/>
        <w:t xml:space="preserve">. 2. Upper bound (the other 51% split into firms no larger than the third-ranked, 11%, i.e. four at 11% and one at 7%): 851 + 4 × 11² + 7² = 851 + 484 + 49 = </w:t>
      </w:r>
      <w:r>
        <w:rPr>
          <w:b/>
          <w:bCs/>
        </w:rPr>
        <w:t>1,384</w:t>
      </w:r>
      <w:r>
        <w:rPr/>
        <w:t xml:space="preserve">. 3. Central value reported by </w:t>
      </w:r>
      <w:r>
        <w:rPr>
          <w:rStyle w:val="VerbatimChar"/>
        </w:rPr>
        <w:t>hhi.py</w:t>
      </w:r>
      <w:r>
        <w:rPr/>
        <w:t xml:space="preserve">: the midpoint, (851 + 1,384) / 2 = </w:t>
      </w:r>
      <w:r>
        <w:rPr>
          <w:b/>
          <w:bCs/>
        </w:rPr>
        <w:t>1,118</w:t>
      </w:r>
      <w:r>
        <w:rPr/>
        <w:t xml:space="preserve"> (N_eq = 8.9).</w:t>
      </w:r>
    </w:p>
    <w:p>
      <w:pPr>
        <w:pStyle w:val="BodyText"/>
        <w:rPr/>
      </w:pPr>
      <w:bookmarkStart w:id="204" w:name="b2.4-sensitivity"/>
      <w:r>
        <w:rPr/>
        <w:t>Both bounds are below 1,500, so firms are not concentrated even though countries are. Kazakhstan’s 38.6% country share includes joint ventures with foreign partners, whose ownership was not assessed.</w:t>
      </w:r>
      <w:bookmarkEnd w:id="204"/>
    </w:p>
    <w:p>
      <w:pPr>
        <w:pStyle w:val="Heading5"/>
        <w:rPr/>
      </w:pPr>
      <w:bookmarkStart w:id="205" w:name="b2.5-limitations"/>
      <w:r>
        <w:rPr/>
        <w:t>B2.5 Limitations</w:t>
      </w:r>
    </w:p>
    <w:p>
      <w:pPr>
        <w:pStyle w:val="FirstParagraph"/>
        <w:rPr/>
      </w:pPr>
      <w:r>
        <w:rPr/>
        <w:t>“</w:t>
      </w:r>
      <w:r>
        <w:rPr/>
        <w:t>High” is above 1,800 on the 2023 guidelines and above 2,500 on the 2010 guidelines; “Moderate” 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rPr/>
      </w:pPr>
      <w:bookmarkStart w:id="206" w:name="b2.5-limitations"/>
      <w:r>
        <w:rPr/>
        <w:t>Limits: - Capacity is not supply. Nameplate SWU includes capacity Rosatom uses for underfeeding and tails re-enrichment, and CNNC’s figures are WNA estimates. - Secondary supply (inventories, down-blending, re-enriched tails) is excluded. Mine output in 2024 (60,213 tU) met about 93% of reactor requirements (64,500 tU at 1 January 2025; OECD Nuclear Energy Agency and International Atomic Energy Agency, 2026). - Company-level enrichment shares hide plant location: Urenco operates in the UK, Germany, the Netherlands and the USA; Orano only in France. - Mining by country ignores ownership and the transport routes for Kazakh exports, which were not assessed, so Russia’s 4.5% of mining may understate its reach. The company-level bound only partly addresses ownership. - Fuel fabrication, where BWR fuel is thought to have few suppliers, was not assessed (Section 4). - The HHI is a world-market measure. Darlington’s own demand is sized against it in B2.6.</w:t>
      </w:r>
      <w:bookmarkEnd w:id="206"/>
    </w:p>
    <w:p>
      <w:pPr>
        <w:pStyle w:val="Heading5"/>
        <w:rPr/>
      </w:pPr>
      <w:bookmarkStart w:id="207" w:name="X38b76fede8e58c0e5d473d8915656eae0265e01"/>
      <w:r>
        <w:rPr/>
        <w:t>B2.6 Darlington’s fuel demand against supplier capacity</w:t>
      </w:r>
    </w:p>
    <w:p>
      <w:pPr>
        <w:pStyle w:val="FirstParagraph"/>
        <w:rPr/>
      </w:pPr>
      <w:r>
        <w:rPr>
          <w:b/>
          <w:bCs/>
        </w:rPr>
        <w:t>Result.</w:t>
      </w:r>
      <w:r>
        <w:rPr/>
        <w:t xml:space="preserve"> Four BWRX-300s need about 196 t of natural uranium and 138 thousand separative work units (tSWU) a year: </w:t>
      </w:r>
      <w:r>
        <w:rPr>
          <w:b/>
          <w:bCs/>
        </w:rPr>
        <w:t>3.2% of Urenco USA’s current capacity</w:t>
      </w:r>
      <w:r>
        <w:rPr/>
        <w:t xml:space="preserve"> 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rPr/>
      </w:pPr>
      <w:r>
        <w:rPr/>
        <w:t xml:space="preserve">Working (one unit; </w:t>
      </w:r>
      <w:r>
        <w:rPr>
          <w:rStyle w:val="VerbatimChar"/>
        </w:rPr>
        <w:t>hhi.md</w:t>
      </w:r>
      <w:r>
        <w:rPr/>
        <w:t xml:space="preserve"> section 6): 1. Net generation: 300 MWe × 8,760 h × 0.9 = 2,365,200 MWh. Thermal power 870 MWt gives efficiency η = 300 / 870 = 0.3448. 2. Energy per kg of enriched uranium (3.8% U-235, burnup 45 GWd/t) = 45 × 24,000 kWh × η = 372,414 kWh. Enriched uranium needed = 2,365,200,000 kWh / 372,414 = 6.35 t a year. 3. Natural uranium feed factor 7.701 (tails 0.25%): 6.35 × 7.701 = 48.9 t U. Separative work: 5.422 SWU per kg, so 34.4 tSWU. 4. Four units: 25.4 t enriched, </w:t>
      </w:r>
      <w:r>
        <w:rPr>
          <w:b/>
          <w:bCs/>
        </w:rPr>
        <w:t>195.6 t U</w:t>
      </w:r>
      <w:r>
        <w:rPr/>
        <w:t xml:space="preserve"> and </w:t>
      </w:r>
      <w:r>
        <w:rPr>
          <w:b/>
          <w:bCs/>
        </w:rPr>
        <w:t>137.7 tSWU</w:t>
      </w:r>
      <w:r>
        <w:rPr/>
        <w:t xml:space="preserve"> a year.</w:t>
      </w:r>
    </w:p>
    <w:p>
      <w:pPr>
        <w:pStyle w:val="BodyText"/>
        <w:rPr/>
      </w:pPr>
      <w:r>
        <w:rPr>
          <w:i/>
          <w:iCs/>
        </w:rPr>
        <w:t>Table B12a. Four-unit demand set against supplier capacity.</w:t>
      </w:r>
      <w:r>
        <w:rPr/>
        <w:t xml:space="preserve"> </w:t>
      </w:r>
      <w:r>
        <w:rPr>
          <w:i/>
          <w:iCs/>
        </w:rPr>
        <w:t xml:space="preserve">Source: </w:t>
      </w:r>
      <w:r>
        <w:rPr>
          <w:rStyle w:val="VerbatimChar"/>
          <w:i/>
          <w:iCs/>
        </w:rPr>
        <w:t>results/hhi.md</w:t>
      </w:r>
      <w:r>
        <w:rPr>
          <w:i/>
          <w:iCs/>
        </w:rPr>
        <w:t xml:space="preserve"> section 6.2, using World Nuclear Association (2025) capacities; demand inputs are assumed.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Capacity</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tSWU a year</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Four-unit demand as a share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(Eunice), current</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3.20%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after the 2027 project</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after the 2032–2036 expansion</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and Orano together</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24,800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 enrichment capacity</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68,077</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0.20%</w:t>
            </w:r>
          </w:p>
        </w:tc>
      </w:tr>
    </w:tbl>
    <w:p>
      <w:pPr>
        <w:pStyle w:val="BodyText"/>
        <w:rPr/>
      </w:pPr>
      <w:r>
        <w:rP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 </w:t>
      </w:r>
      <w:r>
        <w:rPr>
          <w:b/>
          <w:bCs/>
        </w:rPr>
        <w:t>Reserve:</w:t>
      </w:r>
      <w:r>
        <w:rPr/>
        <w:t xml:space="preserve"> two reloads held in stock embody 275–551 tSWU (6–13% of one year of Urenco USA output), depending on a cycle length of 12 to 24 months (assumed). This is a working-capital question (fuel price, not sourced) rather than a supply question.</w:t>
      </w:r>
    </w:p>
    <w:p>
      <w:pPr>
        <w:pStyle w:val="normal1"/>
        <w:rPr/>
      </w:pPr>
      <w:bookmarkStart w:id="208" w:name="X372cadb88b67a633233203304eb4ef38d3c0c77"/>
      <w:bookmarkStart w:id="209" w:name="X38b76fede8e58c0e5d473d8915656eae0265e01"/>
      <w:r>
        <w:rPr/>
        <mc:AlternateContent>
          <mc:Choice Requires="wps">
            <w:drawing>
              <wp:inline distT="0" distB="0" distL="0" distR="0">
                <wp:extent cx="573151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p>
    <w:p>
      <w:pPr>
        <w:pStyle w:val="Heading4"/>
        <w:rPr/>
      </w:pPr>
      <w:bookmarkStart w:id="210" w:name="X4d39e6569850789c0bc5244e03826205e394972"/>
      <w:r>
        <w:rPr/>
        <w:t>B3. Routes to a licensable SMR in Australia: scored comparison</w:t>
      </w:r>
    </w:p>
    <w:p>
      <w:pPr>
        <w:pStyle w:val="FirstParagraph"/>
        <w:rPr/>
      </w:pPr>
      <w:r>
        <w:rPr>
          <w:b/>
          <w:bCs/>
        </w:rPr>
        <w:t>Result.</w:t>
      </w:r>
      <w:r>
        <w:rPr/>
        <w:t xml:space="preserve"> 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 </w:t>
      </w:r>
      <w:r>
        <w:rPr>
          <w:b/>
          <w:bCs/>
        </w:rPr>
        <w:t>These scores are our own qualitative judgement from the evidence in B1, not sourced scores, and the totals and the weight test (Table B14) are hand calculations.</w:t>
      </w:r>
      <w:r>
        <w:rPr/>
        <w:t xml:space="preserve"> They feed the “feasibility” criterion of the Section 3.7 MCDA.</w:t>
      </w:r>
    </w:p>
    <w:p>
      <w:pPr>
        <w:pStyle w:val="BodyText"/>
        <w:rPr/>
      </w:pPr>
      <w:r>
        <w:rPr>
          <w:i/>
          <w:iCs/>
        </w:rPr>
        <w:t>Table B13. Three routes scored against four non-technical objectives (1 = poor, 3 = good).</w:t>
      </w:r>
      <w:r>
        <w:rPr/>
        <w:t xml:space="preserve"> </w:t>
      </w:r>
      <w:r>
        <w:rPr>
          <w:i/>
          <w:iCs/>
        </w:rPr>
        <w:t>Source: our qualitative judgement, from the evidence cited in the table.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Objective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Commonwealth-owned plant under ARPANSA (the Coalition’s 2024 model)</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Federal licensing law for private operators, overriding the states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 Cooperative: state repeal plus a state or joint regulator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changes needed (not scored)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plus a s 109 override of NSW (or NSW repeal)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a new federal Act and a s 109 override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NSW repeal and a NSW regulator Act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Fewest veto points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NSW (or the High Court, if the Commonwealth overrides); site owner. A would score 2 only if s 8(3) exempted a Commonwealth operator (our inference)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High Court; site owner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NSW Parliament; site owner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 readiness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builds on ARPANSA, which already regulates Commonwealth entities such as ANSTO (ARPANSA, 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w:t>
            </w:r>
            <w:r>
              <w:rPr>
                <w:rFonts w:eastAsia="Aptos" w:cs="Aptos"/>
                <w:kern w:val="0"/>
                <w:lang w:val="en-US"/>
              </w:rPr>
              <w:t>: a new body, as with the ANNPSR (Minister for Defence,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NSW has no nuclear regulator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Durability (low exposure to political reversal)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one government’s decision; the next can sell or cancel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as A, plus litigation risk (Canberra Times,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both levels of government committed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the states rejected it in 2024 (Canberra Times, n.d., as reported)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overrides the states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the states consent, if they do</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 (of 12)</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8</w:t>
            </w:r>
          </w:p>
        </w:tc>
      </w:tr>
    </w:tbl>
    <w:p>
      <w:pPr>
        <w:pStyle w:val="BodyText"/>
        <w:rPr/>
      </w:pPr>
      <w:r>
        <w:rPr/>
        <w:t>Route A’s description rests on ABC News (2024), as reported.</w:t>
      </w:r>
    </w:p>
    <w:p>
      <w:pPr>
        <w:pStyle w:val="BodyText"/>
        <w:rPr/>
      </w:pPr>
      <w:r>
        <w:rPr>
          <w:i/>
          <w:iCs/>
        </w:rPr>
        <w:t>Table B14. Weight test: totals when one objective counts double (maximum 15).</w:t>
      </w:r>
      <w:r>
        <w:rPr/>
        <w:t xml:space="preserve"> </w:t>
      </w:r>
      <w:r>
        <w:rPr>
          <w:i/>
          <w:iCs/>
        </w:rPr>
        <w:t>Source: calculated from Table B13.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Weighting</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Ranking</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Equal weights (base, of 12)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A, B</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 readiness × 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6 + 3 = </w:t>
            </w:r>
            <w:r>
              <w:rPr>
                <w:rFonts w:eastAsia="Aptos" w:cs="Aptos"/>
                <w:b/>
                <w:bC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 + 2 = 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8 + 1 = </w:t>
            </w:r>
            <w:r>
              <w:rPr>
                <w:rFonts w:eastAsia="Aptos" w:cs="Aptos"/>
                <w:b/>
                <w:bC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and C tie, B</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Durability × 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 + 1 = 7</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 + 1 = 6</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8 + 3 = </w:t>
            </w:r>
            <w:r>
              <w:rPr>
                <w:rFonts w:eastAsia="Aptos" w:cs="Aptos"/>
                <w:b/>
                <w:bCs/>
                <w:kern w:val="0"/>
                <w:lang w:val="en-US"/>
              </w:rPr>
              <w:t>11</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A, B</w:t>
            </w:r>
          </w:p>
        </w:tc>
      </w:tr>
    </w:tbl>
    <w:p>
      <w:pPr>
        <w:pStyle w:val="BodyText"/>
        <w:rPr/>
      </w:pPr>
      <w:r>
        <w:rPr/>
        <w:t>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Section 3.7 MCDA.</w:t>
      </w:r>
    </w:p>
    <w:p>
      <w:pPr>
        <w:pStyle w:val="Heading5"/>
        <w:rPr/>
      </w:pPr>
      <w:bookmarkStart w:id="211" w:name="X4d7620ad6684f736307b127d60379d32821a480"/>
      <w:r>
        <w:rPr/>
        <w:t>B3.1 Implementation levers for C1 (the Section 3.6.2 lever table): scores and weight test</w:t>
      </w:r>
    </w:p>
    <w:p>
      <w:pPr>
        <w:pStyle w:val="FirstParagraph"/>
        <w:rPr/>
      </w:pPr>
      <w:r>
        <w:rPr/>
        <w:t>Each lever is scored 1 (poor) to 3 (good) on enforceability, speed and low schedule risk. The scores are our judgement, not sourced; the totals are hand calculations.</w:t>
      </w:r>
    </w:p>
    <w:p>
      <w:pPr>
        <w:pStyle w:val="BodyText"/>
        <w:rPr/>
      </w:pPr>
      <w:r>
        <w:rPr>
          <w:i/>
          <w:iCs/>
        </w:rPr>
        <w:t>Table B14a. Lever scores and weight test for the Section 3.6.2 lever table.</w:t>
      </w:r>
      <w:r>
        <w:rPr/>
        <w:t xml:space="preserve"> </w:t>
      </w:r>
      <w:r>
        <w:rPr>
          <w:i/>
          <w:iCs/>
        </w:rPr>
        <w:t>Source: our judgement and hand calculation.</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Enforceability</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Low risk</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 (of 9)</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Enforceability × 2</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 × 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 + 3 + 3 = 10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2 + 3×2 + 3 = </w:t>
            </w:r>
            <w:r>
              <w:rPr>
                <w:rFonts w:eastAsia="Aptos" w:cs="Aptos"/>
                <w:b/>
                <w:bCs/>
                <w:kern w:val="0"/>
                <w:lang w:val="en-US"/>
              </w:rPr>
              <w:t>11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Equity-tranche milestone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3×2 + 2 + 3 = </w:t>
            </w:r>
            <w:r>
              <w:rPr>
                <w:rFonts w:eastAsia="Aptos" w:cs="Aptos"/>
                <w:b/>
                <w:bCs/>
                <w:kern w:val="0"/>
                <w:lang w:val="en-US"/>
              </w:rPr>
              <w:t>11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 + 2×2 + 3 = 10</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 + 2 + 2 = 10</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 + 2×2 + 2 = 9</w:t>
            </w:r>
          </w:p>
        </w:tc>
      </w:tr>
    </w:tbl>
    <w:p>
      <w:pPr>
        <w:pStyle w:val="BodyText"/>
        <w:rPr/>
      </w:pPr>
      <w:r>
        <w:rPr/>
        <w:t>Reading: L1 and L2 tie at 8 on equal weights. L2 leads (11) if enforceability counts double and L1 leads (11) if speed does. L3 is never first, so the recommendation (L1 now, L2 at tranche 2) holds under all three weightings.</w:t>
      </w:r>
    </w:p>
    <w:p>
      <w:pPr>
        <w:pStyle w:val="normal1"/>
        <w:rPr/>
      </w:pPr>
      <w:bookmarkStart w:id="212" w:name="X4d39e6569850789c0bc5244e03826205e394972"/>
      <w:bookmarkStart w:id="213" w:name="X4d7620ad6684f736307b127d60379d32821a480"/>
      <w:r>
        <w:rPr/>
        <mc:AlternateContent>
          <mc:Choice Requires="wps">
            <w:drawing>
              <wp:inline distT="0" distB="0" distL="0" distR="0">
                <wp:extent cx="573151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p>
    <w:p>
      <w:pPr>
        <w:pStyle w:val="Heading4"/>
        <w:rPr/>
      </w:pPr>
      <w:bookmarkStart w:id="214" w:name="X6942ef6bc025069590c0c205010015835f1b9ab"/>
      <w:r>
        <w:rPr/>
        <w:t>B4. Displacement: CO₂e avoided by one BWRX-300, Darlington vs Liddell</w:t>
      </w:r>
    </w:p>
    <w:p>
      <w:pPr>
        <w:pStyle w:val="FirstParagraph"/>
        <w:rPr/>
      </w:pPr>
      <w:r>
        <w:rPr>
          <w:b/>
          <w:bCs/>
        </w:rPr>
        <w:t>Result.</w:t>
      </w:r>
      <w:r>
        <w:rPr/>
        <w:t xml:space="preserve"> At static grid factors, one unit avoids 1.50 Mt CO₂e a year on the NSW grid average. That is 9.1× what it avoids on Ontario’s 2024 average (0.165 Mt), but only 1.9× its avoidance on Ontario’s marginal factor (0.80 Mt). Valued over the years each plant could actually run, the gap mostly closes: - Darlington Unit 1 from 2030 avoids </w:t>
      </w:r>
      <w:r>
        <w:rPr>
          <w:b/>
          <w:bCs/>
        </w:rPr>
        <w:t>1.01–6.80 Mt to 2050</w:t>
      </w:r>
      <w:r>
        <w:rPr/>
        <w:t xml:space="preserve">. - Liddell from 2040 avoids </w:t>
      </w:r>
      <w:r>
        <w:rPr>
          <w:b/>
          <w:bCs/>
        </w:rPr>
        <w:t>0.67–3.85 Mt to 2050</w:t>
      </w:r>
      <w:r>
        <w:rPr/>
        <w:t>: less than Darlington on the Step Change proxy, and comparable on the slow transition. - Liddell wins clearly only if the NEM stops decarbonising (frozen grid, 16.54 Mt).</w:t>
      </w:r>
    </w:p>
    <w:p>
      <w:pPr>
        <w:pStyle w:val="BodyText"/>
        <w:rPr/>
      </w:pPr>
      <w:r>
        <w:rPr/>
        <w:t xml:space="preserve">The grid trajectory, the start year and the post-coal floor dominate the result. The SMR’s own life-cycle value moves it by a few per cent. Script: </w:t>
      </w:r>
      <w:r>
        <w:rPr>
          <w:rStyle w:val="VerbatimChar"/>
        </w:rPr>
        <w:t>python3 -I 03_LCA_Calculations/scripts/displacement.py</w:t>
      </w:r>
      <w:r>
        <w:rPr/>
        <w:t xml:space="preserve">, with inputs in </w:t>
      </w:r>
      <w:r>
        <w:rPr>
          <w:rStyle w:val="VerbatimChar"/>
        </w:rPr>
        <w:t>parameters_run1.yaml</w:t>
      </w:r>
      <w:r>
        <w:rPr/>
        <w:t xml:space="preserve"> and output in </w:t>
      </w:r>
      <w:r>
        <w:rPr>
          <w:rStyle w:val="VerbatimChar"/>
        </w:rPr>
        <w:t>results/displacement.md</w:t>
      </w:r>
      <w:r>
        <w:rPr/>
        <w:t>.</w:t>
      </w:r>
    </w:p>
    <w:p>
      <w:pPr>
        <w:pStyle w:val="Heading5"/>
        <w:rPr/>
      </w:pPr>
      <w:r>
        <w:rPr/>
        <w:t>B4.1 Method</w:t>
      </w:r>
    </w:p>
    <w:p>
      <w:pPr>
        <w:pStyle w:val="Compact"/>
        <w:numPr>
          <w:ilvl w:val="0"/>
          <w:numId w:val="54"/>
        </w:numPr>
        <w:rPr/>
      </w:pPr>
      <w:r>
        <w:rPr/>
        <w:t xml:space="preserve">Annual output of one unit: E = P × 8,760 h × CF = 300 MW × 1,000 kW/MW × 8,760 h × 0.90 = </w:t>
      </w:r>
      <w:r>
        <w:rPr>
          <w:b/>
          <w:bCs/>
        </w:rPr>
        <w:t>2,365,200,000 kWh (2.365 TWh) a year</w:t>
      </w:r>
      <w:r>
        <w:rPr/>
        <w:t>.</w:t>
      </w:r>
    </w:p>
    <w:p>
      <w:pPr>
        <w:pStyle w:val="Compact"/>
        <w:numPr>
          <w:ilvl w:val="0"/>
          <w:numId w:val="55"/>
        </w:numPr>
        <w:rPr/>
      </w:pPr>
      <w:r>
        <w:rPr/>
        <w:t xml:space="preserve">CO₂e avoided in year </w:t>
      </w:r>
      <w:r>
        <w:rPr>
          <w:i/>
          <w:iCs/>
        </w:rPr>
        <w:t>y</w:t>
      </w:r>
      <w:r>
        <w:rPr/>
        <w:t>: A(</w:t>
      </w:r>
      <w:r>
        <w:rPr>
          <w:i/>
          <w:iCs/>
        </w:rPr>
        <w:t>y</w:t>
      </w:r>
      <w:r>
        <w:rPr/>
        <w:t>) = E × (EF_grid(</w:t>
      </w:r>
      <w:r>
        <w:rPr>
          <w:i/>
          <w:iCs/>
        </w:rPr>
        <w:t>y</w:t>
      </w:r>
      <w:r>
        <w:rPr/>
        <w:t>) − EF_SMR) / 10⁶ t. EF is in g CO₂e/kWh, and EF_SMR = 4.2 g/kWh (our Monte Carlo median, Section 3.2; 90% interval 3.0–5.8).</w:t>
      </w:r>
    </w:p>
    <w:p>
      <w:pPr>
        <w:pStyle w:val="Compact"/>
        <w:numPr>
          <w:ilvl w:val="0"/>
          <w:numId w:val="56"/>
        </w:numPr>
        <w:rPr/>
      </w:pPr>
      <w:r>
        <w:rPr/>
        <w:t>The cumulative total is the sum of A(</w:t>
      </w:r>
      <w:r>
        <w:rPr>
          <w:i/>
          <w:iCs/>
        </w:rPr>
        <w:t>y</w:t>
      </w:r>
      <w:r>
        <w:rPr/>
        <w:t>) from the first full year of operation to 2035, to 2050 (inclusive), or to the end of a 60-year life.</w:t>
      </w:r>
    </w:p>
    <w:p>
      <w:pPr>
        <w:pStyle w:val="Compact"/>
        <w:numPr>
          <w:ilvl w:val="0"/>
          <w:numId w:val="57"/>
        </w:numPr>
        <w:rPr/>
      </w:pPr>
      <w:r>
        <w:rPr/>
        <w:t>Each grid trajectory is linear between its anchor points and flat afterwards. These are our constructions, not AEMO or IESO series: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Path</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Role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73.8 g/kWh (2024) → 15 (2040)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(2024) → 15 (2050)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assumes gas leaves the margin by 2050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 ON-marginal-flat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values held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bounds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(2025) → 30 floor (2038)</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Central NEM case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(2025) → 30 (2050)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Slow transition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held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bound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UB-Bayswater; UB-coal-LCA</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 1,000 held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upper bounds</w:t>
            </w:r>
          </w:p>
        </w:tc>
      </w:tr>
    </w:tbl>
    <w:p>
      <w:pPr>
        <w:pStyle w:val="BodyText"/>
        <w:rPr/>
      </w:pPr>
      <w:r>
        <w:rPr>
          <w:b/>
          <w:bCs/>
        </w:rPr>
        <w:t>Worked example 1 (static, NSW 2025).</w:t>
      </w:r>
      <w:r>
        <w:rPr/>
        <w:t xml:space="preserve"> 2,365,200,000 × (640 − 4.2) / 10⁶ = </w:t>
      </w:r>
      <w:r>
        <w:rPr>
          <w:b/>
          <w:bCs/>
        </w:rPr>
        <w:t>1,503,794 t a year</w:t>
      </w:r>
      <w:r>
        <w:rPr/>
        <w:t>.</w:t>
      </w:r>
    </w:p>
    <w:p>
      <w:pPr>
        <w:pStyle w:val="BodyText"/>
        <w:rPr/>
      </w:pPr>
      <w:r>
        <w:rPr>
          <w:b/>
          <w:bCs/>
        </w:rPr>
        <w:t>Worked example 2 (cumulative, Liddell from 2040 on NEM-T1).</w:t>
      </w:r>
      <w:r>
        <w:rPr/>
        <w:t xml:space="preserve"> The NEM is at its 30 g/kWh floor from 2038, so each year avoids 2,365,200,000 × (30 − 4.2) / 10⁶ = 61,022 t. - To 2050 (11 years, 2040–2050): 11 × 61,022 = </w:t>
      </w:r>
      <w:r>
        <w:rPr>
          <w:b/>
          <w:bCs/>
        </w:rPr>
        <w:t>671 kt</w:t>
      </w:r>
      <w:r>
        <w:rPr/>
        <w:t xml:space="preserve">. - Whole life (60 years): 60 × 61,022 = </w:t>
      </w:r>
      <w:r>
        <w:rPr>
          <w:b/>
          <w:bCs/>
        </w:rPr>
        <w:t>3.66 Mt</w:t>
      </w:r>
      <w:r>
        <w:rPr/>
        <w:t>.</w:t>
      </w:r>
    </w:p>
    <w:p>
      <w:pPr>
        <w:pStyle w:val="BodyText"/>
        <w:rPr/>
      </w:pPr>
      <w:r>
        <w:rPr>
          <w:i/>
          <w:iCs/>
        </w:rPr>
        <w:t>Table B15. Inputs to B4–B6.</w:t>
      </w:r>
      <w:r>
        <w:rPr/>
        <w:t xml:space="preserve"> </w:t>
      </w:r>
      <w:r>
        <w:rPr>
          <w:i/>
          <w:iCs/>
        </w:rPr>
        <w:t xml:space="preserve">Source: </w:t>
      </w:r>
      <w:r>
        <w:rPr>
          <w:rStyle w:val="VerbatimChar"/>
          <w:i/>
          <w:iCs/>
        </w:rPr>
        <w:t>03_LCA_Calculations/parameters_run1.yaml</w:t>
      </w:r>
      <w:r>
        <w:rPr>
          <w:i/>
          <w:iCs/>
        </w:rPr>
        <w:t xml:space="preserve"> and the references named.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MWe (290–300)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(an OPG filing gives 315)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315 tested in Table B19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 design life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0.90 (0.80–0.95); 60 years (40–80)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g/kWh (3.0–5.8)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This study, bottom-up model (Section 3.2, Appendix C); the re-based 4.40 g/kWh changes avoided CO₂e by at most 0.3% (Ontario average grid: (73.8 − 4.40)/(73.8 − 4.2))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result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73.8 g/kWh (73–73.8)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2022; 2023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53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Energy Regulator (n.d.); Government of Ontario (n.d.)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Electricity System Operator (2024)</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g/kWh (343–472)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high = gas generation, The Atmospheric Fund (2021)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(definition ambiguous)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Year gas leaves Ontario’s margin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2050 (2040–2060)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NSW/ACT grid, 2025 (scope 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Department of Climate Change, Energy, the Environment and Water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coal exit (T1); slow exit (T2)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2038; 2050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Energy Market Operator (2024), as reported; 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reported; 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floor after coal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g/kWh (0–80)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Bayswater, sent out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Energy Market Operator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(older value)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life cycle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1,000 g/kWh (751–1,095)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United Nations Economic Commission for Europe (2021)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Start years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 Units 2–4 2035 (2034–2036); Liddell 2035 (Coalition claim), 2040 (CSIRO earliest), 2045 (late case)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Ontario (2025); Ontario Power Generation (2025a); ABC News (2024), as reported; Graham, Hayward and Foster (2024); assumption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assumed</w:t>
            </w:r>
            <w:bookmarkStart w:id="215" w:name="b4.1-method"/>
            <w:bookmarkEnd w:id="215"/>
          </w:p>
        </w:tc>
      </w:tr>
    </w:tbl>
    <w:p>
      <w:pPr>
        <w:pStyle w:val="Heading5"/>
        <w:rPr/>
      </w:pPr>
      <w:r>
        <w:rPr/>
        <w:t>B4.2 Results</w:t>
      </w:r>
    </w:p>
    <w:p>
      <w:pPr>
        <w:pStyle w:val="FirstParagraph"/>
        <w:rPr/>
      </w:pPr>
      <w:r>
        <w:rPr>
          <w:i/>
          <w:iCs/>
        </w:rPr>
        <w:t>Table B16. Annual CO₂e avoided by one unit at static grid factors.</w:t>
      </w:r>
      <w:r>
        <w:rPr/>
        <w:t xml:space="preserve"> </w:t>
      </w:r>
      <w:r>
        <w:rPr>
          <w:i/>
          <w:iCs/>
        </w:rPr>
        <w:t xml:space="preserve">Source: </w:t>
      </w:r>
      <w:r>
        <w:rPr>
          <w:rStyle w:val="VerbatimChar"/>
          <w:i/>
          <w:iCs/>
        </w:rPr>
        <w:t>results/displacement.md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Displaced electricity</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(g/kWh)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 a year)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Ratio to Ontario average 2024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2022 (CER)</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72,848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2023 (energy snapshot)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115,422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2024 (TAF)</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164,618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(TAF 2024)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801,330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gas-fired generation (TAF 2021)</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1,106,441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NSW/NEM average 2025 (NGA Factors, scope 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1,503,794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Bayswater coal, sent out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2,331,614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life cycle (UNECE)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2,355,266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14.3×</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combined cycle, life cycle (UNECE)</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458</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1,073,328</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6.5×</w:t>
            </w:r>
          </w:p>
        </w:tc>
      </w:tr>
    </w:tbl>
    <w:p>
      <w:pPr>
        <w:pStyle w:val="BodyText"/>
        <w:rPr/>
      </w:pPr>
      <w:r>
        <w:rPr/>
        <w:t>On Canada Energy Regulator (n.d.) data for 2022 (35 g/kWh), the NSW figure is 20.6× the Ontario one (1,503,794 / 72,848), against 9.1× on the 2024 average.</w:t>
      </w:r>
    </w:p>
    <w:p>
      <w:pPr>
        <w:pStyle w:val="BodyText"/>
        <w:rPr/>
      </w:pPr>
      <w:r>
        <w:rPr>
          <w:i/>
          <w:iCs/>
        </w:rPr>
        <w:t>Table B17. Cumulative CO₂e avoided by one unit, by site, start year and grid trajectory (Figure F6 data).</w:t>
      </w:r>
      <w:r>
        <w:rPr/>
        <w:t xml:space="preserve"> </w:t>
      </w:r>
      <w:r>
        <w:rPr>
          <w:i/>
          <w:iCs/>
        </w:rPr>
        <w:t xml:space="preserve">Source: </w:t>
      </w:r>
      <w:r>
        <w:rPr>
          <w:rStyle w:val="VerbatimChar"/>
          <w:i/>
          <w:iCs/>
        </w:rPr>
        <w:t>results/displacement.md</w:t>
      </w:r>
      <w:r>
        <w:rPr>
          <w:i/>
          <w:iCs/>
        </w:rPr>
        <w:t xml:space="preserve"> section 3.</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Start</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Year-1 EF (g/kWh)</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2035</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2050</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Whole life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544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3.46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7.80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4.81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16.83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48.08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24.06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394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927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10.59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671 kt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6.84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kt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1.23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UB-Bayswater flat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25.65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139.90 Mt</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UB-coal-LCA flat (upper bound)</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25.91 Mt</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141.32 Mt</w:t>
            </w:r>
          </w:p>
        </w:tc>
      </w:tr>
    </w:tbl>
    <w:p>
      <w:pPr>
        <w:pStyle w:val="BodyText"/>
        <w:rPr/>
      </w:pPr>
      <w:r>
        <w:rPr>
          <w:i/>
          <w:iCs/>
        </w:rPr>
        <w:t>Table B18. All four Darlington units (Unit 1 from 2030; Units 2–4 from 2035).</w:t>
      </w:r>
      <w:r>
        <w:rPr/>
        <w:t xml:space="preserve"> </w:t>
      </w:r>
      <w:r>
        <w:rPr>
          <w:i/>
          <w:iCs/>
        </w:rPr>
        <w:t xml:space="preserve">Source: </w:t>
      </w:r>
      <w:r>
        <w:rPr>
          <w:rStyle w:val="VerbatimChar"/>
          <w:i/>
          <w:iCs/>
        </w:rPr>
        <w:t>results/displacement.md</w:t>
      </w:r>
      <w:r>
        <w:rPr>
          <w:i/>
          <w:iCs/>
        </w:rPr>
        <w:t xml:space="preserve"> section 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2035</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2050</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Whole life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751 kt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2.63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1.48 Mt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11.36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39.51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4.71 Mt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18.77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23.14 Mt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(upper bound)</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7.21 Mt</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55.29 Mt</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192.32 Mt</w:t>
            </w:r>
          </w:p>
        </w:tc>
      </w:tr>
    </w:tbl>
    <w:p>
      <w:pPr>
        <w:pStyle w:val="BodyText"/>
        <w:rPr/>
      </w:pPr>
      <w:r>
        <w:rPr>
          <w:i/>
          <w:iCs/>
        </w:rPr>
        <w:t>Table B19. One-at-a-time sensitivity, Liddell central case (start 2040, NEM-T1). Central: 671 kt to 2050; 3.66 Mt over the whole life.</w:t>
      </w:r>
      <w:r>
        <w:rPr/>
        <w:t xml:space="preserve"> </w:t>
      </w:r>
      <w:r>
        <w:rPr>
          <w:i/>
          <w:iCs/>
        </w:rPr>
        <w:t xml:space="preserve">Source: </w:t>
      </w:r>
      <w:r>
        <w:rPr>
          <w:rStyle w:val="VerbatimChar"/>
          <w:i/>
          <w:iCs/>
        </w:rPr>
        <w:t>results/displacement.md</w:t>
      </w:r>
      <w:r>
        <w:rPr>
          <w:i/>
          <w:iCs/>
        </w:rPr>
        <w:t xml:space="preserve"> section 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2050 (low → high input)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Whole life (low → high input)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0.80–0.95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597 → 709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3.25 → 3.86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290–300 MWe (315 MWe, as in an OPG filing, adds about 5%, proportionally)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649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3.54 → 3.66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(our 95th → 5th percentile)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5.8–3.0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630 → 702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 3.83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UNECE midpoint instead of ours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5.75 vs 4.2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631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3.44 → 3.66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stress (IPCC AR5 upper value)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110–12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2.08 Mt → 468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11.35 → 2.55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floor after coal exit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109 kt → 1.97 Mt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596 kt → 10.76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exit year (T1)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2035–2045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kt → 1.75 Mt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3.66 → 4.74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 life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40–80 years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2.44 → 4.88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Start year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2035–2045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1.64 Mt → 366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4.33 → 3.66 Mt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trajectory</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T1 → T0 (frozen)</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kt → 16.54 Mt</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3.66 → 90.23 Mt</w:t>
            </w:r>
          </w:p>
        </w:tc>
      </w:tr>
    </w:tbl>
    <w:p>
      <w:pPr>
        <w:pStyle w:val="BodyText"/>
        <w:rPr/>
      </w:pPr>
      <w:r>
        <w:rPr/>
        <w:t xml:space="preserve">Reading: - </w:t>
      </w:r>
      <w:r>
        <w:rPr>
          <w:b/>
          <w:bCs/>
        </w:rPr>
        <w:t>Order-of-magnitude drivers.</w:t>
      </w:r>
      <w:r>
        <w:rPr/>
        <w:t xml:space="preserve"> The grid trajectory, the start year and the post-coal floor each move the result by an order of magnitude. Under T1 the SMR spends its whole life displacing the residual mix, so the floor is in effect the displaced intensity. - </w:t>
      </w:r>
      <w:r>
        <w:rPr>
          <w:b/>
          <w:bCs/>
        </w:rPr>
        <w:t>Minor drivers.</w:t>
      </w:r>
      <w:r>
        <w:rPr/>
        <w:t xml:space="preserve"> Capacity factor, net output and our life-cycle interval move it by a few per cent. - </w:t>
      </w:r>
      <w:r>
        <w:rPr>
          <w:b/>
          <w:bCs/>
        </w:rPr>
        <w:t>When the SMR’s own value matters.</w:t>
      </w:r>
      <w:r>
        <w:rPr/>
        <w:t xml:space="preserve"> Only in the 110 g/kWh stress case, or on a near-zero floor, where the result turns negative.</w:t>
      </w:r>
    </w:p>
    <w:p>
      <w:pPr>
        <w:pStyle w:val="Heading5"/>
        <w:rPr/>
      </w:pPr>
      <w:bookmarkStart w:id="216" w:name="b4.3-limitations"/>
      <w:r>
        <w:rPr/>
        <w:t>B4.3 Limitations</w:t>
      </w:r>
    </w:p>
    <w:p>
      <w:pPr>
        <w:pStyle w:val="Compact"/>
        <w:numPr>
          <w:ilvl w:val="0"/>
          <w:numId w:val="58"/>
        </w:numPr>
        <w:rPr/>
      </w:pPr>
      <w:r>
        <w:rPr>
          <w:b/>
          <w:bCs/>
        </w:rPr>
        <w:t>Boundary mismatch.</w:t>
      </w:r>
      <w:r>
        <w:rPr/>
        <w:t xml:space="preserve"> The grid factors (NGA scope 2, TAF, CER) count combustion at the power station only, while the SMR value is life cycle, so displacement is slightly understated. The UNECE coal row gives the boundary-consistent upper bound.</w:t>
      </w:r>
    </w:p>
    <w:p>
      <w:pPr>
        <w:pStyle w:val="Compact"/>
        <w:numPr>
          <w:ilvl w:val="0"/>
          <w:numId w:val="59"/>
        </w:numPr>
        <w:rPr/>
      </w:pPr>
      <w:r>
        <w:rPr>
          <w:b/>
          <w:bCs/>
        </w:rPr>
        <w:t>Average vs marginal.</w:t>
      </w:r>
      <w:r>
        <w:rPr/>
        <w:t xml:space="preserve"> A new baseload unit displaces what is on the margin when it runs. In Ontario that is mostly gas, so the marginal factor is the better short-run estimate. Over a 60-year life the margin decarbonises, which makes the flat-marginal case an upper bound.</w:t>
      </w:r>
    </w:p>
    <w:p>
      <w:pPr>
        <w:pStyle w:val="Compact"/>
        <w:numPr>
          <w:ilvl w:val="0"/>
          <w:numId w:val="60"/>
        </w:numPr>
        <w:rPr/>
      </w:pPr>
      <w:r>
        <w:rPr>
          <w:b/>
          <w:bCs/>
        </w:rPr>
        <w:t>Counterfactual.</w:t>
      </w:r>
      <w:r>
        <w:rPr/>
        <w:t xml:space="preserve"> In both grids the real alternative is other new supply, not today’s grid forever (B6).</w:t>
      </w:r>
    </w:p>
    <w:p>
      <w:pPr>
        <w:pStyle w:val="Compact"/>
        <w:numPr>
          <w:ilvl w:val="0"/>
          <w:numId w:val="61"/>
        </w:numPr>
        <w:rPr/>
      </w:pPr>
      <w:r>
        <w:rPr>
          <w:b/>
          <w:bCs/>
        </w:rPr>
        <w:t>Liddell</w:t>
      </w:r>
      <w:r>
        <w:rPr/>
        <w:t xml:space="preserve"> was approved to close by April 2023 (Australian Energy Regulator, 2021) and has since closed. An SMR on the site displaces the NEM mix, so Bayswater is an upper bound only.</w:t>
      </w:r>
    </w:p>
    <w:p>
      <w:pPr>
        <w:pStyle w:val="Compact"/>
        <w:numPr>
          <w:ilvl w:val="0"/>
          <w:numId w:val="62"/>
        </w:numPr>
        <w:rPr/>
      </w:pPr>
      <w:r>
        <w:rPr>
          <w:b/>
          <w:bCs/>
        </w:rPr>
        <w:t>Assumptions.</w:t>
      </w:r>
      <w:r>
        <w:rPr/>
        <w:t xml:space="preserve"> Net output, capacity factor, design life and start years are assumed; Table B19 and Table B17 test them.</w:t>
      </w:r>
    </w:p>
    <w:p>
      <w:pPr>
        <w:pStyle w:val="normal1"/>
        <w:rPr/>
      </w:pPr>
      <w:bookmarkStart w:id="217" w:name="X6942ef6bc025069590c0c205010015835f1b9ab"/>
      <w:bookmarkStart w:id="218" w:name="b4.3-limitations"/>
      <w:r>
        <w:rPr/>
        <mc:AlternateContent>
          <mc:Choice Requires="wps">
            <w:drawing>
              <wp:inline distT="0" distB="0" distL="0" distR="0">
                <wp:extent cx="573151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17"/>
      <w:bookmarkEnd w:id="218"/>
    </w:p>
    <w:p>
      <w:pPr>
        <w:pStyle w:val="Heading4"/>
        <w:rPr/>
      </w:pPr>
      <w:bookmarkStart w:id="219" w:name="X66860b851f2e133f81978e30598e738689cf6de"/>
      <w:r>
        <w:rPr/>
        <w:t>B5. Value of schedule: the CO₂e and dollar cost of delay, and C1’s break-even</w:t>
      </w:r>
    </w:p>
    <w:p>
      <w:pPr>
        <w:pStyle w:val="FirstParagraph"/>
        <w:rPr/>
      </w:pPr>
      <w:r>
        <w:rPr>
          <w:b/>
          <w:bCs/>
        </w:rPr>
        <w:t>Result.</w:t>
      </w:r>
      <w:r>
        <w:rPr/>
        <w:t xml:space="preserve"> On Ontario’s average factor, C1’s per-unit saving (2,200 t; 1,100–3,300 at 20–60% eligible) is cancelled by </w:t>
      </w:r>
      <w:r>
        <w:rPr>
          <w:b/>
          <w:bCs/>
        </w:rPr>
        <w:t>11.6–18.5 days</w:t>
      </w:r>
      <w:r>
        <w:rPr/>
        <w:t xml:space="preserve"> of delay to that unit (gross–net). On the marginal factor it is cancelled by </w:t>
      </w:r>
      <w:r>
        <w:rPr>
          <w:b/>
          <w:bCs/>
        </w:rPr>
        <w:t>1.7–1.8 days</w:t>
      </w:r>
      <w:r>
        <w:rPr/>
        <w:t xml:space="preserve">. Even all of Units 2–4’s saving (6,600 t) is cancelled by 35–55 days (average) or 5.1–5.4 days (marginal) of delay to a single unit. In money, a one-month slip of Units 2–4 costs </w:t>
      </w:r>
      <w:r>
        <w:rPr>
          <w:b/>
          <w:bCs/>
        </w:rPr>
        <w:t>29–175 times</w:t>
      </w:r>
      <w:r>
        <w:rPr/>
        <w:t xml:space="preserve"> C1’s carbon value. The saving is 50,000 m³ of concrete per unit (BWRX-300 Ostrołęka sp. z o.o., 2023) × the eligible share × 0.110 t CO₂e/m³ (OPC 380 less LC³ 270 kg CO₂e/m³; Pillai et al., 2019). Script: </w:t>
      </w:r>
      <w:r>
        <w:rPr>
          <w:rStyle w:val="VerbatimChar"/>
        </w:rPr>
        <w:t>python3 -I 03_LCA_Calculations/scripts/schedule_value.py</w:t>
      </w:r>
      <w:r>
        <w:rPr/>
        <w:t xml:space="preserve">, with output in </w:t>
      </w:r>
      <w:r>
        <w:rPr>
          <w:rStyle w:val="VerbatimChar"/>
        </w:rPr>
        <w:t>results/schedule_value.md</w:t>
      </w:r>
      <w:r>
        <w:rPr/>
        <w:t xml:space="preserve">; </w:t>
      </w:r>
      <w:r>
        <w:rPr>
          <w:rStyle w:val="VerbatimChar"/>
        </w:rPr>
        <w:t>--c1-case old_1734</w:t>
      </w:r>
      <w:r>
        <w:rPr/>
        <w:t xml:space="preserve"> reproduces the cross-check. The carrying-cost and deferred-output inputs are read from </w:t>
      </w:r>
      <w:r>
        <w:rPr>
          <w:rStyle w:val="VerbatimChar"/>
        </w:rPr>
        <w:t>parameters_run5.yaml</w:t>
      </w:r>
      <w:r>
        <w:rPr/>
        <w:t>.</w:t>
      </w:r>
    </w:p>
    <w:p>
      <w:pPr>
        <w:pStyle w:val="Heading5"/>
        <w:rPr/>
      </w:pPr>
      <w:bookmarkStart w:id="220" w:name="b5.1-method"/>
      <w:r>
        <w:rPr/>
        <w:t>B5.1 Method</w:t>
      </w:r>
    </w:p>
    <w:p>
      <w:pPr>
        <w:pStyle w:val="Compact"/>
        <w:numPr>
          <w:ilvl w:val="0"/>
          <w:numId w:val="63"/>
        </w:numPr>
        <w:rPr/>
      </w:pPr>
      <w:r>
        <w:rPr/>
        <w:t>Output of one unit: monthly M = E / 12 = 197,100,000 kWh; daily D = E / 365 = 6,480,000 kWh.</w:t>
      </w:r>
    </w:p>
    <w:p>
      <w:pPr>
        <w:pStyle w:val="Compact"/>
        <w:numPr>
          <w:ilvl w:val="0"/>
          <w:numId w:val="64"/>
        </w:numPr>
        <w:rPr/>
      </w:pPr>
      <w:r>
        <w:rPr>
          <w:b/>
          <w:bCs/>
        </w:rPr>
        <w:t>Gross loss</w:t>
      </w:r>
      <w:r>
        <w:rPr/>
        <w:t xml:space="preserve"> per month of delay = M × (EF_grid(start) − EF_SMR) / 10⁶ t. This is the displacement that does not happen while the plant is late, and it matches carbon budgets to 2035 or 2050.</w:t>
      </w:r>
    </w:p>
    <w:p>
      <w:pPr>
        <w:pStyle w:val="Compact"/>
        <w:numPr>
          <w:ilvl w:val="0"/>
          <w:numId w:val="65"/>
        </w:numPr>
        <w:rPr/>
      </w:pPr>
      <w:r>
        <w:rPr>
          <w:b/>
          <w:bCs/>
        </w:rPr>
        <w:t>Net loss</w:t>
      </w:r>
      <w:r>
        <w:rPr/>
        <w:t xml:space="preserve"> per month = M × (EF_grid(start) − EF_grid(start + life)) / 10⁶ t. A late plant still runs its full life, so the lost month returns at the end of life, on a cleaner grid. On a flat grid this gives zero by construction, which is an artefact of assuming the grid never changes.</w:t>
      </w:r>
    </w:p>
    <w:p>
      <w:pPr>
        <w:pStyle w:val="Compact"/>
        <w:numPr>
          <w:ilvl w:val="0"/>
          <w:numId w:val="66"/>
        </w:numPr>
        <w:rPr/>
      </w:pPr>
      <w:r>
        <w:rPr>
          <w:b/>
          <w:bCs/>
        </w:rPr>
        <w:t>Break-even delay</w:t>
      </w:r>
      <w:r>
        <w:rPr/>
        <w:t xml:space="preserve"> for a saving S (t CO₂e) = S / (loss per day), on both bases.</w:t>
      </w:r>
    </w:p>
    <w:p>
      <w:pPr>
        <w:pStyle w:val="FirstParagraph"/>
        <w:rPr/>
      </w:pPr>
      <w:r>
        <w:rPr>
          <w:b/>
          <w:bCs/>
        </w:rPr>
        <w:t>Worked example (one of Units 2–4, start 2035, ON-avg-traj).</w:t>
      </w:r>
      <w:r>
        <w:rPr/>
        <w:t xml:space="preserve"> 1. Grid factor in 2035: EF(2035) = 73.8 − (73.8 − 15) × 11/16 = 33.4 g/kWh. 2. Gross loss: 6,480,000 × (33.4 − 4.2) / 10⁶ = </w:t>
      </w:r>
      <w:r>
        <w:rPr>
          <w:b/>
          <w:bCs/>
        </w:rPr>
        <w:t>189 t a day</w:t>
      </w:r>
      <w:r>
        <w:rPr/>
        <w:t xml:space="preserve">, so the break-even is 2,200 / 189 = </w:t>
      </w:r>
      <w:r>
        <w:rPr>
          <w:b/>
          <w:bCs/>
        </w:rPr>
        <w:t>11.6 days</w:t>
      </w:r>
      <w:r>
        <w:rPr/>
        <w:t xml:space="preserve">. 3. Net loss: 6,480,000 × (33.4 − 15) / 10⁶ = </w:t>
      </w:r>
      <w:r>
        <w:rPr>
          <w:b/>
          <w:bCs/>
        </w:rPr>
        <w:t>119 t a day</w:t>
      </w:r>
      <w:r>
        <w:rPr/>
        <w:t xml:space="preserve">, so the break-even is 2,200 / 119 = </w:t>
      </w:r>
      <w:r>
        <w:rPr>
          <w:b/>
          <w:bCs/>
        </w:rPr>
        <w:t>18.5 days</w:t>
      </w:r>
      <w:r>
        <w:rPr/>
        <w:t>.</w:t>
      </w:r>
    </w:p>
    <w:p>
      <w:pPr>
        <w:pStyle w:val="BodyText"/>
        <w:rPr/>
      </w:pPr>
      <w:r>
        <w:rPr>
          <w:b/>
          <w:bCs/>
        </w:rPr>
        <w:t>Marginal case.</w:t>
      </w:r>
      <w:r>
        <w:rPr/>
        <w:t xml:space="preserve"> EF(2035) = 343 − (343 − 15) × 11/26 = 204.2 g/kWh. The gross loss is 6,480,000 × 200.0 / 10⁶ = 1,296 t a day, so the break-even is 2,200 / 1,296 = </w:t>
      </w:r>
      <w:r>
        <w:rPr>
          <w:b/>
          <w:bCs/>
        </w:rPr>
        <w:t>1.7 days</w:t>
      </w:r>
      <w:r>
        <w:rPr/>
        <w:t>.</w:t>
      </w:r>
      <w:bookmarkEnd w:id="220"/>
    </w:p>
    <w:p>
      <w:pPr>
        <w:pStyle w:val="Heading5"/>
        <w:rPr/>
      </w:pPr>
      <w:bookmarkStart w:id="221" w:name="b5.2-co₂e-lost-per-month-of-delay"/>
      <w:r>
        <w:rPr/>
        <w:t>B5.2 CO₂e lost per month of delay</w:t>
      </w:r>
    </w:p>
    <w:p>
      <w:pPr>
        <w:pStyle w:val="FirstParagraph"/>
        <w:rPr/>
      </w:pPr>
      <w:r>
        <w:rPr>
          <w:i/>
          <w:iCs/>
        </w:rPr>
        <w:t>Table B20. CO₂e lost per month of delay, one unit.</w:t>
      </w:r>
      <w:r>
        <w:rPr/>
        <w:t xml:space="preserve"> </w:t>
      </w:r>
      <w:r>
        <w:rPr>
          <w:i/>
          <w:iCs/>
        </w:rPr>
        <w:t xml:space="preserve">Source: </w:t>
      </w:r>
      <w:r>
        <w:rPr>
          <w:rStyle w:val="VerbatimChar"/>
          <w:i/>
          <w:iCs/>
        </w:rPr>
        <w:t>results/schedule_value.md</w:t>
      </w:r>
      <w:r>
        <w:rPr>
          <w:i/>
          <w:iCs/>
        </w:rPr>
        <w:t xml:space="preserve"> section 2. “None” = flat grid, so the month is recovered at the end of life.</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 start year</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at start (g/kWh)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at end of life</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Gross t/month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Net t/month</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cancel 1 kt (gross / net)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9,372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7,243</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4.2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13,718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51,859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49,730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0.6 / 0.6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66,777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5,750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3,622</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5.3 / 8.4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39,426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37,297</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 / 0.8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66,777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125,316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32,831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27,746</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 / 1.1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77,224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72,139</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 / 0.4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125,316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5,085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6.0 / none</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53,178</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48,092</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0.6 / 0.6</w:t>
            </w:r>
          </w:p>
        </w:tc>
      </w:tr>
    </w:tbl>
    <w:p>
      <w:pPr>
        <w:pStyle w:val="BodyText"/>
        <w:rPr/>
      </w:pPr>
      <w:r>
        <w:rPr/>
        <w:t>A one-month slip of all three of Units 2–4 loses: - 17,251 t gross / 10,865 t net (ON-avg-traj); - 118,278 / 111,892 t (ON-marginal-declining); - 200,332 / 0 t (ON-marginal-flat).</w:t>
      </w:r>
    </w:p>
    <w:p>
      <w:pPr>
        <w:pStyle w:val="BodyText"/>
        <w:rPr/>
      </w:pPr>
      <w:r>
        <w:rPr>
          <w:b/>
          <w:bCs/>
        </w:rPr>
        <w:t>Break-even sensitivity</w:t>
      </w:r>
      <w:r>
        <w:rPr/>
        <w:t xml:space="preserve"> (Units 2–4, ON-marginal-declining; central 1,226 t a day net, 0.8 days per kt): - capacity factor 0.80 or 0.95: 0.9 or 0.8 days per kt; - marginal factor 472 g/kWh (gas generation): 0.6 days per kt; - gas off the margin by 2040: 1.5 days per kt; by 2060: 0.7 days per kt (</w:t>
      </w:r>
      <w:r>
        <w:rPr>
          <w:rStyle w:val="VerbatimChar"/>
        </w:rPr>
        <w:t>results/schedule_value.md</w:t>
      </w:r>
      <w:r>
        <w:rPr/>
        <w:t xml:space="preserve"> section 5).</w:t>
      </w:r>
      <w:bookmarkEnd w:id="221"/>
    </w:p>
    <w:p>
      <w:pPr>
        <w:pStyle w:val="Heading5"/>
        <w:rPr/>
      </w:pPr>
      <w:bookmarkStart w:id="222" w:name="b5.3-break-even-delay-for-c1"/>
      <w:r>
        <w:rPr/>
        <w:t>B5.3 Break-even delay for C1</w:t>
      </w:r>
    </w:p>
    <w:p>
      <w:pPr>
        <w:pStyle w:val="FirstParagraph"/>
        <w:rPr/>
      </w:pPr>
      <w:r>
        <w:rPr>
          <w:i/>
          <w:iCs/>
        </w:rPr>
        <w:t>Table B21. Days of delay that cancel C1’s LC³ saving (Units 2–4, start 2035).</w:t>
      </w:r>
      <w:r>
        <w:rPr/>
        <w:t xml:space="preserve"> </w:t>
      </w:r>
      <w:r>
        <w:rPr>
          <w:i/>
          <w:iCs/>
        </w:rPr>
        <w:t xml:space="preserve">Source: </w:t>
      </w:r>
      <w:r>
        <w:rPr>
          <w:rStyle w:val="VerbatimChar"/>
          <w:i/>
          <w:iCs/>
        </w:rPr>
        <w:t>results/schedule_value.md</w:t>
      </w:r>
      <w:r>
        <w:rPr>
          <w:i/>
          <w:iCs/>
        </w:rPr>
        <w:t xml:space="preserve"> section 6; </w:t>
      </w:r>
      <w:r>
        <w:rPr>
          <w:rStyle w:val="VerbatimChar"/>
          <w:i/>
          <w:iCs/>
        </w:rPr>
        <w:t>results/c1_deck_case.md</w:t>
      </w:r>
      <w:r>
        <w:rPr>
          <w:i/>
          <w:iCs/>
        </w:rPr>
        <w:t>. Saving 2,200 t per unit and 6,600 t for Units 2–4 at 40% eligible (BWRX-300 Ostrołęka sp. z o.o., 2023; Pillai et al., 2019). Brackets give the 20% and 60% eligibility cases (1,100 and 3,300 t per unit), not a Monte Carlo interval.</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 (factor type)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Gross t/day per unit</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Net t/day per unit</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Per unit, gross days</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Per unit, net days</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Programme saving, one unit late: gross days</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Net days</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 (average, declining to 2040)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189</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119</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18.5 (9.2–27.7)</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34.9 (17.5–52.4)</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55.4 (27.7–83.1)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 (average, held at 2024)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4.9 (2.4–7.3)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14.6 (7.3–22.0)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 (gas leaves the margin by 2050)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1,296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1,226</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 (0.9–2.7)</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(2.5–7.6)</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5.4 (2.7–8.1)</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(held at 2024)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2,195</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 (0.5–1.5)</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(1.5–4.5)</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r>
    </w:tbl>
    <w:p>
      <w:pPr>
        <w:pStyle w:val="BodyText"/>
        <w:rPr/>
      </w:pPr>
      <w:r>
        <w:rPr/>
        <w:t xml:space="preserve">The two cases: - </w:t>
      </w:r>
      <w:r>
        <w:rPr>
          <w:b/>
          <w:bCs/>
        </w:rPr>
        <w:t>(a)</w:t>
      </w:r>
      <w:r>
        <w:rPr/>
        <w:t xml:space="preserve"> compares one unit’s saving with a delay to that unit. All three units’ saving against a three-unit slip gives the same answer, because both scale by 3. - </w:t>
      </w:r>
      <w:r>
        <w:rPr>
          <w:b/>
          <w:bCs/>
        </w:rPr>
        <w:t>(b)</w:t>
      </w:r>
      <w:r>
        <w:rPr/>
        <w:t xml:space="preserve"> compares all of Units 2–4’s saving with a delay to only one unit, for example when the first LC³ pour holds one unit’s critical path.</w:t>
      </w:r>
    </w:p>
    <w:p>
      <w:pPr>
        <w:pStyle w:val="BodyText"/>
        <w:rPr/>
      </w:pPr>
      <w:r>
        <w:rPr>
          <w:b/>
          <w:bCs/>
        </w:rPr>
        <w:t>Cross-check (earlier geometric model, 20,700 m³ per unit).</w:t>
      </w:r>
      <w:r>
        <w:rPr/>
        <w:t xml:space="preserve"> Its saving of 1,734 t per unit (5,201 t for Units 2–4; Monte Carlo 90% interval 1,387–2,153 t) gives break-evens of 9.2–14.6 days on the average factor and 1.3–1.4 days on the marginal factor. The deck case lengthens them by about 27% (2,200 / 1,734).</w:t>
      </w:r>
      <w:bookmarkEnd w:id="222"/>
    </w:p>
    <w:p>
      <w:pPr>
        <w:pStyle w:val="Heading5"/>
        <w:rPr/>
      </w:pPr>
      <w:bookmarkStart w:id="223" w:name="Xaea02f89b8298bc8af300b41fdf9ad8acb92793"/>
      <w:r>
        <w:rPr/>
        <w:t>B5.4 C1’s carbon value against one month’s delay</w:t>
      </w:r>
    </w:p>
    <w:p>
      <w:pPr>
        <w:pStyle w:val="FirstParagraph"/>
        <w:rPr/>
      </w:pPr>
      <w:r>
        <w:rPr>
          <w:i/>
          <w:iCs/>
        </w:rPr>
        <w:t>Table B22. C1’s carbon value (Units 2–4, 6,600 t) against the value of the CO₂e lost in a one-month slip of all three units.</w:t>
      </w:r>
      <w:r>
        <w:rPr/>
        <w:t xml:space="preserve"> </w:t>
      </w:r>
      <w:r>
        <w:rPr>
          <w:i/>
          <w:iCs/>
        </w:rPr>
        <w:t xml:space="preserve">Source: </w:t>
      </w:r>
      <w:r>
        <w:rPr>
          <w:rStyle w:val="VerbatimChar"/>
          <w:i/>
          <w:iCs/>
        </w:rPr>
        <w:t>results/schedule_value.md</w:t>
      </w:r>
      <w:r>
        <w:rPr>
          <w:i/>
          <w:iCs/>
        </w:rPr>
        <w:t xml:space="preserve"> section 7. Carbon prices: federal headline industrial trajectory (Environment and Climate Change Canada, 2026); the superseded 2021 path is shown for comparison only. Brackets: 20–60% eligibility.</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Carbon price (C$/t)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carbon value, Units 2–4 (C$ m)</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in a one-month slip, average factor (C$ m, gross / net)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Same, marginal factor (C$ m, gross / net)</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95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2026, current path (used)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0.63 (0.31–0.94)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1.64 / 1.03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11.24 / 10.63</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2026, superseded path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0.73 (0.36–1.09)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1.90 / 1.20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13.01 / 12.31</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115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2030, current path (used)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0.76 (0.38–1.14)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1.98 / 1.25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13.60 / 12.87</w:t>
            </w:r>
          </w:p>
        </w:tc>
      </w:tr>
      <w:tr>
        <w:trPr/>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superseded path</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 (0.56–1.68)</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2.93 / 1.85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20.11 / 19.02</w:t>
            </w:r>
          </w:p>
        </w:tc>
      </w:tr>
    </w:tbl>
    <w:p>
      <w:pPr>
        <w:pStyle w:val="BodyText"/>
        <w:rPr/>
      </w:pPr>
      <w:r>
        <w:rPr/>
        <w:t>Working: carbon value = saving × price. For example, 6,600 t × C$95/t = C$0.63 m, and 6,600 × 115 = C$0.76 m. C1’s concrete would be placed in about 2029–2033, so the 2030 price is the relevant one; 2026 is today’s price.</w:t>
      </w:r>
    </w:p>
    <w:p>
      <w:pPr>
        <w:pStyle w:val="BodyText"/>
        <w:rPr/>
      </w:pPr>
      <w:r>
        <w:rPr>
          <w:b/>
          <w:bCs/>
        </w:rPr>
        <w:t>Direct cost of a one-month slip of Units 2–4</w:t>
      </w:r>
      <w:r>
        <w:rPr/>
        <w:t xml:space="preserve"> (inputs from </w:t>
      </w:r>
      <w:r>
        <w:rPr>
          <w:rStyle w:val="VerbatimChar"/>
        </w:rPr>
        <w:t>parameters_run5.yaml</w:t>
      </w:r>
      <w:r>
        <w:rPr/>
        <w:t xml:space="preserve">; assumptions where stated): - </w:t>
      </w:r>
      <w:r>
        <w:rPr>
          <w:b/>
          <w:bCs/>
        </w:rPr>
        <w:t>Deferred output:</w:t>
      </w:r>
      <w:r>
        <w:rPr/>
        <w:t xml:space="preserve"> 3 × 300 MW × 8,760 h × 0.90 / 12 = 591,300 MWh × C$149/MWh (OPG’s reported LCOE; Ontario Power Generation, 2026b) = </w:t>
      </w:r>
      <w:r>
        <w:rPr>
          <w:b/>
          <w:bCs/>
        </w:rPr>
        <w:t>C$88 m</w:t>
      </w:r>
      <w:r>
        <w:rPr/>
        <w:t xml:space="preserve">. The output is deferred, not lost, so this is a cash-flow cost to OPG and ratepayers, not a social loss of that size. - </w:t>
      </w:r>
      <w:r>
        <w:rPr>
          <w:b/>
          <w:bCs/>
        </w:rPr>
        <w:t>Carrying cost:</w:t>
      </w:r>
      <w:r>
        <w:rPr/>
        <w:t xml:space="preserve"> C$13.2 bn (Units 2–4: C$20.9 bn less C$7.7 bn for Unit 1 and common infrastructure) × r / 12. At r = 3, 5, 7 and 10%, that is </w:t>
      </w:r>
      <w:r>
        <w:rPr>
          <w:b/>
          <w:bCs/>
        </w:rPr>
        <w:t>C$33, 55, 77 and 110 m</w:t>
      </w:r>
      <w:r>
        <w:rPr/>
        <w:t>. It is an upper bound, because it assumes all the capital is already spent.</w:t>
      </w:r>
    </w:p>
    <w:p>
      <w:pPr>
        <w:pStyle w:val="BodyText"/>
        <w:rPr/>
      </w:pPr>
      <w:r>
        <w:rPr>
          <w:b/>
          <w:bCs/>
        </w:rPr>
        <w:t>How the 29–175× in Section 3.3 is derived (current carbon-price path):</w:t>
      </w:r>
      <w:r>
        <w:rPr/>
        <w:t xml:space="preserve"> - </w:t>
      </w:r>
      <w:r>
        <w:rPr>
          <w:b/>
          <w:bCs/>
        </w:rPr>
        <w:t>Low end:</w:t>
      </w:r>
      <w:r>
        <w:rPr/>
        <w:t xml:space="preserve"> the lowest monthly cost (C$33.0 m) over the largest carbon value on the current path (9,900 t × C$115/t = C$1.139 m) = 29.0×. - </w:t>
      </w:r>
      <w:r>
        <w:rPr>
          <w:b/>
          <w:bCs/>
        </w:rPr>
        <w:t>High end:</w:t>
      </w:r>
      <w:r>
        <w:rPr/>
        <w:t xml:space="preserve"> the highest cost (C$110.0 m) over the central value at C$95/t (C$0.627 m) = 175.4×. - </w:t>
      </w:r>
      <w:r>
        <w:rPr>
          <w:b/>
          <w:bCs/>
        </w:rPr>
        <w:t>Including the superseded C$170/t path,</w:t>
      </w:r>
      <w:r>
        <w:rPr/>
        <w:t xml:space="preserve"> the low end is C$33 m / 1.68 = 20×. The earlier 1,734 t model gave 30–223× (44–223× on the current path). - </w:t>
      </w:r>
      <w:r>
        <w:rPr>
          <w:b/>
          <w:bCs/>
        </w:rPr>
        <w:t>In carbon alone,</w:t>
      </w:r>
      <w:r>
        <w:rPr/>
        <w:t xml:space="preserve"> the slip loses 10,865–118,278 t against C1’s 6,600 t, which is 1.6–17.9 times the saving (earlier model: 2.1–22.7×).</w:t>
      </w:r>
    </w:p>
    <w:p>
      <w:pPr>
        <w:pStyle w:val="BodyText"/>
        <w:rPr/>
      </w:pPr>
      <w:r>
        <w:rPr/>
        <w:t>One day of delay costs C$1.8–2.9 m (</w:t>
      </w:r>
      <w:r>
        <w:rPr>
          <w:rStyle w:val="VerbatimChar"/>
        </w:rPr>
        <w:t>results/initiative_cost.md</w:t>
      </w:r>
      <w:r>
        <w:rPr/>
        <w:t xml:space="preserve"> section 5), against C1’s total carbon value of C$0.63–0.76 m (C$1.14 m at 60% eligibility and C$115/t).</w:t>
      </w:r>
      <w:bookmarkEnd w:id="223"/>
    </w:p>
    <w:p>
      <w:pPr>
        <w:pStyle w:val="Heading5"/>
        <w:rPr/>
      </w:pPr>
      <w:r>
        <w:rPr/>
        <w:t>B5.5 Year-scale delays</w:t>
      </w:r>
    </w:p>
    <w:p>
      <w:pPr>
        <w:pStyle w:val="FirstParagraph"/>
        <w:rPr/>
      </w:pPr>
      <w:r>
        <w:rPr>
          <w:i/>
          <w:iCs/>
        </w:rPr>
        <w:t>Table B23. CO₂e avoided to 2050 lost per year of delay, one unit.</w:t>
      </w:r>
      <w:r>
        <w:rPr/>
        <w:t xml:space="preserve"> </w:t>
      </w:r>
      <w:r>
        <w:rPr>
          <w:i/>
          <w:iCs/>
        </w:rPr>
        <w:t xml:space="preserve">Source: </w:t>
      </w:r>
      <w:r>
        <w:rPr>
          <w:rStyle w:val="VerbatimChar"/>
          <w:i/>
          <w:iCs/>
        </w:rPr>
        <w:t>results/schedule_value.md</w:t>
      </w:r>
      <w:r>
        <w:rPr>
          <w:i/>
          <w:iCs/>
        </w:rPr>
        <w:t xml:space="preserve"> section 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Start 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Start B</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to 2050 (A)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to 2050 (B)</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Lost</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Lost per year of delay</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24.06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7.52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0.67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0.19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0.81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2.61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 Mt</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2032</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5.59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 Mt</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0.61 Mt</w:t>
            </w:r>
            <w:bookmarkStart w:id="224" w:name="b5.5-year-scale-delays"/>
            <w:bookmarkEnd w:id="224"/>
          </w:p>
        </w:tc>
      </w:tr>
    </w:tbl>
    <w:p>
      <w:pPr>
        <w:pStyle w:val="Heading5"/>
        <w:rPr/>
      </w:pPr>
      <w:r>
        <w:rPr/>
        <w:t>B5.6 Limitations</w:t>
      </w:r>
    </w:p>
    <w:p>
      <w:pPr>
        <w:pStyle w:val="Compact"/>
        <w:numPr>
          <w:ilvl w:val="0"/>
          <w:numId w:val="67"/>
        </w:numPr>
        <w:rPr/>
      </w:pPr>
      <w:r>
        <w:rPr/>
        <w:t>Average factors understate what a late baseload unit would have displaced in Ontario, where gas is on the margin.</w:t>
      </w:r>
    </w:p>
    <w:p>
      <w:pPr>
        <w:pStyle w:val="Compact"/>
        <w:numPr>
          <w:ilvl w:val="0"/>
          <w:numId w:val="68"/>
        </w:numPr>
        <w:rPr/>
      </w:pPr>
      <w:r>
        <w:rPr/>
        <w:t>The net basis assumes the plant’s life is fixed in years, not extended.</w:t>
      </w:r>
    </w:p>
    <w:p>
      <w:pPr>
        <w:pStyle w:val="Compact"/>
        <w:numPr>
          <w:ilvl w:val="0"/>
          <w:numId w:val="69"/>
        </w:numPr>
        <w:rPr/>
      </w:pPr>
      <w:r>
        <w:rPr/>
        <w:t>The carbon value is realised only if someone prices it. Construction-material emissions appear to fall outside Ontario’s Emissions Performance Standards (our inference).</w:t>
      </w:r>
    </w:p>
    <w:p>
      <w:pPr>
        <w:pStyle w:val="Compact"/>
        <w:numPr>
          <w:ilvl w:val="0"/>
          <w:numId w:val="70"/>
        </w:numPr>
        <w:rPr/>
      </w:pPr>
      <w:r>
        <w:rPr/>
        <w:t>The carrying cost is an upper bound for an early slip.</w:t>
      </w:r>
    </w:p>
    <w:p>
      <w:pPr>
        <w:pStyle w:val="Compact"/>
        <w:numPr>
          <w:ilvl w:val="0"/>
          <w:numId w:val="71"/>
        </w:numPr>
        <w:rPr/>
      </w:pPr>
      <w:r>
        <w:rPr/>
        <w:t>The eligible share (20–60%) is an assumption; the saving per m³ (0.110 t) is fixed, so volume and saving move together.</w:t>
      </w:r>
    </w:p>
    <w:p>
      <w:pPr>
        <w:pStyle w:val="normal1"/>
        <w:rPr/>
      </w:pPr>
      <w:bookmarkStart w:id="225" w:name="X66860b851f2e133f81978e30598e738689cf6de"/>
      <w:r>
        <w:rPr/>
        <mc:AlternateContent>
          <mc:Choice Requires="wps">
            <w:drawing>
              <wp:inline distT="0" distB="0" distL="0" distR="0">
                <wp:extent cx="573151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25"/>
    </w:p>
    <w:p>
      <w:pPr>
        <w:pStyle w:val="Heading4"/>
        <w:rPr/>
      </w:pPr>
      <w:bookmarkStart w:id="226" w:name="Xe9bf8aa20110d892414618c9830b1120addc14d"/>
      <w:r>
        <w:rPr/>
        <w:t>B6. Same money: Darlington’s budget spent on firmed renewables</w:t>
      </w:r>
    </w:p>
    <w:p>
      <w:pPr>
        <w:pStyle w:val="FirstParagraph"/>
        <w:rPr/>
      </w:pPr>
      <w:r>
        <w:rPr>
          <w:b/>
          <w:bCs/>
        </w:rPr>
        <w:t>Result.</w:t>
      </w:r>
      <w:r>
        <w:rPr/>
        <w:t xml:space="preserve"> On GenCost 2023-24’s 2030 costs, the same annual spend as one SMR unit (A$0.72 bn a year) buys </w:t>
      </w:r>
      <w:r>
        <w:rPr>
          <w:b/>
          <w:bCs/>
        </w:rPr>
        <w:t>2.9×</w:t>
      </w:r>
      <w:r>
        <w:rPr/>
        <w:t xml:space="preserve"> the energy from firmed renewables (6.8 TWh a year against 2.37). For a Liddell SMR from 2040 on the slow trajectory, those renewables avoid </w:t>
      </w:r>
      <w:r>
        <w:rPr>
          <w:b/>
          <w:bCs/>
        </w:rPr>
        <w:t>10.9×</w:t>
      </w:r>
      <w:r>
        <w:rPr/>
        <w:t xml:space="preserve"> more CO₂e to 2050 (5.7× on the GenCost 2030 reading alone, with renewables at A$153). Across all Liddell cases tested the ratio is 4.9–26.0× (4.9× is the lowest, with the A$198 SMR lead and A$153 renewables), so renewables avoid more CO₂e by 2050 in every Liddell case tested. </w:t>
      </w:r>
      <w:r>
        <w:rPr>
          <w:b/>
          <w:bCs/>
        </w:rPr>
        <w:t>On Ontario’s average grid the SMR wins, on two assumptions</w:t>
      </w:r>
      <w:r>
        <w:rPr/>
        <w:t xml:space="preserve"> (the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 </w:t>
      </w:r>
      <w:r>
        <w:rPr>
          <w:rStyle w:val="VerbatimChar"/>
        </w:rPr>
        <w:t>python3 -I 03_LCA_Calculations/scripts/same_money.py</w:t>
      </w:r>
      <w:r>
        <w:rPr/>
        <w:t xml:space="preserve">, with output in </w:t>
      </w:r>
      <w:r>
        <w:rPr>
          <w:rStyle w:val="VerbatimChar"/>
        </w:rPr>
        <w:t>results/same_money.md</w:t>
      </w:r>
      <w:r>
        <w:rPr/>
        <w:t>.</w:t>
      </w:r>
    </w:p>
    <w:p>
      <w:pPr>
        <w:pStyle w:val="BodyText"/>
        <w:rPr/>
      </w:pPr>
      <w:r>
        <w:rPr>
          <w:b/>
          <w:bCs/>
        </w:rPr>
        <w:t>Basis of the tables.</w:t>
      </w:r>
      <w:r>
        <w:rPr/>
        <w:t xml:space="preserve"> The script runs on the 2030 reading: SMR A$306/MWh (range 230–382) and firmed renewables A$107/MWh (89–125), from a report of GenCost 2023-24 (Graham, Hayward and Foster, 2024, as reported) that gives A$387–641 as the SMR’s </w:t>
      </w:r>
      <w:r>
        <w:rPr>
          <w:b/>
          <w:bCs/>
        </w:rPr>
        <w:t>2023</w:t>
      </w:r>
      <w:r>
        <w:rPr/>
        <w:t xml:space="preserve"> value and A$230–382 as its </w:t>
      </w:r>
      <w:r>
        <w:rPr>
          <w:b/>
          <w:bCs/>
        </w:rPr>
        <w:t>2030</w:t>
      </w:r>
      <w:r>
        <w:rPr/>
        <w:t xml:space="preserve"> value. The A$514 (387–641) / A$102 reading is kept as the alternative, in the sensitivity rows of Table B28 only. If the GenCost table reads otherwise, change </w:t>
      </w:r>
      <w:r>
        <w:rPr>
          <w:rStyle w:val="VerbatimChar"/>
        </w:rPr>
        <w:t>smr_lcoe_aud</w:t>
      </w:r>
      <w:r>
        <w:rPr/>
        <w:t xml:space="preserve"> and </w:t>
      </w:r>
      <w:r>
        <w:rPr>
          <w:rStyle w:val="VerbatimChar"/>
        </w:rPr>
        <w:t>vre_firmed_lcoe_aud</w:t>
      </w:r>
      <w:r>
        <w:rPr/>
        <w:t xml:space="preserve"> in </w:t>
      </w:r>
      <w:r>
        <w:rPr>
          <w:rStyle w:val="VerbatimChar"/>
        </w:rPr>
        <w:t>parameters_run1.yaml</w:t>
      </w:r>
      <w:r>
        <w:rPr/>
        <w:t xml:space="preserve"> and re-run; every table here regenerates.</w:t>
      </w:r>
    </w:p>
    <w:p>
      <w:pPr>
        <w:pStyle w:val="Heading5"/>
        <w:rPr/>
      </w:pPr>
      <w:bookmarkStart w:id="227" w:name="b6.1-inputs-and-method"/>
      <w:r>
        <w:rPr/>
        <w:t>B6.1 Inputs and method</w:t>
      </w:r>
    </w:p>
    <w:p>
      <w:pPr>
        <w:pStyle w:val="FirstParagraph"/>
        <w:rPr/>
      </w:pPr>
      <w:r>
        <w:rPr>
          <w:i/>
          <w:iCs/>
        </w:rPr>
        <w:t>Table B24. Cost inputs and the two GenCost readings.</w:t>
      </w:r>
      <w:r>
        <w:rPr/>
        <w:t xml:space="preserve"> </w:t>
      </w:r>
      <w:r>
        <w:rPr>
          <w:i/>
          <w:iCs/>
        </w:rPr>
        <w:t xml:space="preserve">Source: </w:t>
      </w:r>
      <w:r>
        <w:rPr>
          <w:rStyle w:val="VerbatimChar"/>
          <w:i/>
          <w:iCs/>
        </w:rPr>
        <w:t>parameters_run1.yaml</w:t>
      </w:r>
      <w:r>
        <w:rPr>
          <w:i/>
          <w:iCs/>
        </w:rPr>
        <w:t xml:space="preserve">; </w:t>
      </w:r>
      <w:r>
        <w:rPr>
          <w:rStyle w:val="VerbatimChar"/>
          <w:i/>
          <w:iCs/>
        </w:rPr>
        <w:t>results/lcoe.md</w:t>
      </w:r>
      <w:r>
        <w:rPr>
          <w:i/>
          <w:iCs/>
        </w:rPr>
        <w:t xml:space="preserve"> section 5; references as named.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(used in Section 3.3)</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Alternative reading (sensitivity only)</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A$306/MWh (230–382), 2030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A$514 (387–641), the 2023 value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Graham, Hayward and Foster (2024), as reported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LCOE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A$107/MWh (89–125), solar and wind with integration costs, 2030; 153 = high case, assumption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A$102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Graham, Hayward and Foster (2024)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SMR lead (sensitivity)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A$198/MWh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Kim and Macfarlane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budget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C$20.9 bn for four units; Unit 1 plus common infrastructure C$7.7 bn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Ontario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Exchange rate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A$1.119 per C$1 (1.10–1.13)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Reserve Bank of Australia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Discount rate; annuity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real (3–10%); 30 years (30–60)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year of renewables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2028 (2027–2030)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life cycle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g/kWh (8–83)</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(range: UNECE PV, United Nations Economic Commission for Europe, 2021)</w:t>
            </w:r>
          </w:p>
        </w:tc>
      </w:tr>
    </w:tbl>
    <w:p>
      <w:pPr>
        <w:pStyle w:val="BodyText"/>
        <w:rPr/>
      </w:pPr>
      <w:r>
        <w:rPr>
          <w:b/>
          <w:bCs/>
        </w:rPr>
        <w:t>Method A: what the Darlington capital would buy.</w:t>
      </w:r>
      <w:r>
        <w:rPr/>
        <w:t xml:space="preserve"> 1. Capital recovery factor: CRF(r, n) = r(1 + r)ⁿ / ((1 + r)ⁿ − 1). CRF(7%, 30) = 0.07 × 7.612 / 6.612 = 0.0806. 2. Annual capital charge = budget (A$) × CRF. 3. Capital-only LCOE = charge / annual output. 4. Firmed renewables bought with that charge = charge / renewables LCOE.</w:t>
      </w:r>
    </w:p>
    <w:p>
      <w:pPr>
        <w:pStyle w:val="BodyText"/>
        <w:rPr/>
      </w:pPr>
      <w:r>
        <w:rPr/>
        <w:t xml:space="preserve">Worked example (one unit, simple share): 1. Budget: C$5.225 bn × 1.119 = A$5.85 bn. 2. Annual charge: 5.85 bn × 0.0806 = A$471 m a year. 3. Capital-only LCOE: 471 m / 2,365,200 MWh = </w:t>
      </w:r>
      <w:r>
        <w:rPr>
          <w:b/>
          <w:bCs/>
        </w:rPr>
        <w:t>A$199/MWh</w:t>
      </w:r>
      <w:r>
        <w:rPr/>
        <w:t xml:space="preserve">. 4. Renewables bought: 471 m / A$107 = 4.40 TWh, which is </w:t>
      </w:r>
      <w:r>
        <w:rPr>
          <w:b/>
          <w:bCs/>
        </w:rPr>
        <w:t>1.9×</w:t>
      </w:r>
      <w:r>
        <w:rPr/>
        <w:t xml:space="preserve"> the SMR’s 2.37 TWh.</w:t>
      </w:r>
    </w:p>
    <w:p>
      <w:pPr>
        <w:pStyle w:val="BodyText"/>
        <w:rPr/>
      </w:pPr>
      <w:r>
        <w:rPr/>
        <w:t>The result is a lower bound on the renewables’ advantage, because it ignores the SMR’s operating and fuel costs.</w:t>
      </w:r>
    </w:p>
    <w:p>
      <w:pPr>
        <w:pStyle w:val="BodyText"/>
        <w:rPr/>
      </w:pPr>
      <w:r>
        <w:rPr>
          <w:b/>
          <w:bCs/>
        </w:rPr>
        <w:t>Method B: LCOE ratio and CO₂e per dollar.</w:t>
      </w:r>
      <w:r>
        <w:rPr/>
        <w:t xml:space="preserve"> 1. Energy ratio = SMR LCOE / renewables LCOE: 306 / 107 = </w:t>
      </w:r>
      <w:r>
        <w:rPr>
          <w:b/>
          <w:bCs/>
        </w:rPr>
        <w:t>2.9×</w:t>
      </w:r>
      <w:r>
        <w:rPr/>
        <w:t>. 2. CO₂e per A$1 m = (10⁶ / LCOE) MWh × (EF_grid − EF_technology) kg/MWh / 1,000. Example (SMR, NSW 640 g/kWh, A$306): 3,268 MWh × 635.8 / 1,000 = 2,078 t. 3. Cumulative comparison: the annual spend = SMR output × SMR LCOE, and the renewables bought with it = spend / renewables LCOE, from 2028. Each technology’s avoided CO₂e is summed on the same trajectory (B4.1), net of its own life-cycle intensity (4.2 or 30 g/kWh).</w:t>
      </w:r>
      <w:bookmarkEnd w:id="227"/>
    </w:p>
    <w:p>
      <w:pPr>
        <w:pStyle w:val="Heading5"/>
        <w:rPr/>
      </w:pPr>
      <w:r>
        <w:rPr/>
        <w:t>B6.2 Results</w:t>
      </w:r>
    </w:p>
    <w:p>
      <w:pPr>
        <w:pStyle w:val="FirstParagraph"/>
        <w:rPr/>
      </w:pPr>
      <w:r>
        <w:rPr>
          <w:i/>
          <w:iCs/>
        </w:rPr>
        <w:t>Table B25. Method A: what Darlington’s capital would buy (7%, 30-year annuity).</w:t>
      </w:r>
      <w:r>
        <w:rPr/>
        <w:t xml:space="preserve"> </w:t>
      </w:r>
      <w:r>
        <w:rPr>
          <w:i/>
          <w:iCs/>
        </w:rPr>
        <w:t xml:space="preserve">Source: </w:t>
      </w:r>
      <w:r>
        <w:rPr>
          <w:rStyle w:val="VerbatimChar"/>
          <w:i/>
          <w:iCs/>
        </w:rPr>
        <w:t>results/same_money.md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Budget case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Annual capital charge (A$ m)</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capital-only LCOE (A$/MWh)</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output (TWh a year)</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 bought (TWh a year)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energy</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Four units, C$20.9 bn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1,885</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9.46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unit, simple share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plus common infrastructure, C$7.7 bn</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694</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294</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6.49</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r>
    </w:tbl>
    <w:p>
      <w:pPr>
        <w:pStyle w:val="BodyText"/>
        <w:rPr/>
      </w:pPr>
      <w:r>
        <w:rPr/>
        <w:t>Capital-only LCOE for one unit across discount rates (30-year / 60-year annuity): 3%, A$126 / 89; 7%, A$199 / 176; 10%, A$262 / 248 per MWh (</w:t>
      </w:r>
      <w:r>
        <w:rPr>
          <w:rStyle w:val="VerbatimChar"/>
        </w:rPr>
        <w:t>results/same_money.md</w:t>
      </w:r>
      <w:r>
        <w:rPr/>
        <w:t xml:space="preserve"> section 2).</w:t>
      </w:r>
    </w:p>
    <w:p>
      <w:pPr>
        <w:pStyle w:val="BodyText"/>
        <w:rPr/>
      </w:pPr>
      <w:r>
        <w:rPr>
          <w:i/>
          <w:iCs/>
        </w:rPr>
        <w:t>Table B26. Method B (SMR A$306, renewables A$107 per MWh): CO₂e avoided per dollar, Liddell/NEM.</w:t>
      </w:r>
      <w:r>
        <w:rPr/>
        <w:t xml:space="preserve"> </w:t>
      </w:r>
      <w:r>
        <w:rPr>
          <w:i/>
          <w:iCs/>
        </w:rPr>
        <w:t xml:space="preserve">Source: </w:t>
      </w:r>
      <w:r>
        <w:rPr>
          <w:rStyle w:val="VerbatimChar"/>
          <w:i/>
          <w:iCs/>
        </w:rPr>
        <w:t>results/same_money.md</w:t>
      </w:r>
      <w:r>
        <w:rPr>
          <w:i/>
          <w:iCs/>
        </w:rPr>
        <w:t xml:space="preserve"> section 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Displaced grid intensity (g/kWh)</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 CO₂e per A$1 m</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 CO₂e per A$1 m</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A$/t (gross)</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A$/t (gross)</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2025 average</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2,078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175</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in 2040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1,134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w:t>
            </w:r>
          </w:p>
        </w:tc>
      </w:tr>
      <w:tr>
        <w:trPr/>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Post-coal mix + 50 (illustrative)</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248</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467</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4,037</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2,140</w:t>
            </w:r>
          </w:p>
        </w:tc>
      </w:tr>
    </w:tbl>
    <w:p>
      <w:pPr>
        <w:pStyle w:val="BodyText"/>
        <w:rPr/>
      </w:pPr>
      <w:r>
        <w:rPr>
          <w:i/>
          <w:iCs/>
        </w:rPr>
        <w:t>Table B27. Cumulative CO₂e avoided for the same annual spend as one SMR unit (A$0.72 bn a year buys 6.8 TWh a year of firmed renewables from 2028, against the SMR’s 2.37 TWh).</w:t>
      </w:r>
      <w:r>
        <w:rPr/>
        <w:t xml:space="preserve"> </w:t>
      </w:r>
      <w:r>
        <w:rPr>
          <w:i/>
          <w:iCs/>
        </w:rPr>
        <w:t xml:space="preserve">Source: </w:t>
      </w:r>
      <w:r>
        <w:rPr>
          <w:rStyle w:val="VerbatimChar"/>
          <w:i/>
          <w:iCs/>
        </w:rPr>
        <w:t>results/same_money.md</w:t>
      </w:r>
      <w:r>
        <w:rPr>
          <w:i/>
          <w:iCs/>
        </w:rPr>
        <w:t xml:space="preserve"> section 4. The alternative reading (A$514 / A$102; A$1.22 bn buys 11.9 TWh) gives Liddell ratios of 10.1×, 45.8×, 19.1× and 9.3× for the first four rows (</w:t>
      </w:r>
      <w:r>
        <w:rPr>
          <w:rStyle w:val="VerbatimChar"/>
          <w:i/>
          <w:iCs/>
        </w:rPr>
        <w:t>same_money.md</w:t>
      </w:r>
      <w:r>
        <w:rPr>
          <w:i/>
          <w:iCs/>
        </w:rPr>
        <w:t xml:space="preserve"> section 4; the NEM-T2 slow rows are in Table B28).</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start</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to 2035</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to 2050</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to 2035</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to 2050</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to 2050</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94.90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0.67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17.46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24.43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10.9×</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24.43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(indicative, GenCost costs)</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0.88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0.39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0.4×</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(indicative, GenCost costs)</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11.82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19.26 Mt</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bl>
    <w:p>
      <w:pPr>
        <w:pStyle w:val="BodyText"/>
        <w:rPr/>
      </w:pPr>
      <w:r>
        <w:rPr/>
        <w:t>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rPr/>
      </w:pPr>
      <w:r>
        <w:rPr>
          <w:i/>
          <w:iCs/>
        </w:rPr>
        <w:t>Table B28. Sensitivity of the same-money result (Liddell, NEM-T2 slow, SMR from 2040). Figure F7 data.</w:t>
      </w:r>
      <w:r>
        <w:rPr/>
        <w:t xml:space="preserve"> </w:t>
      </w:r>
      <w:r>
        <w:rPr>
          <w:i/>
          <w:iCs/>
        </w:rPr>
        <w:t xml:space="preserve">Source: </w:t>
      </w:r>
      <w:r>
        <w:rPr>
          <w:rStyle w:val="VerbatimChar"/>
          <w:i/>
          <w:iCs/>
        </w:rPr>
        <w:t>results/same_money.md</w:t>
      </w:r>
      <w:r>
        <w:rPr>
          <w:i/>
          <w:iCs/>
        </w:rPr>
        <w:t xml:space="preserve"> section 5. Bold row is the central case Section 3.3 uses; the last six rows are the alternative reading (SMR A$514).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 (SMR / renewables LCOE, A$/MWh)</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Energy ratio</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CO₂e to 2050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Central: GenCost 2023-24, 2030 midpoints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 2030 low (230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 2030 high (382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LCOE 2030 low (306 / 89)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LCOE 2030 high (306 / 125)</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high, assumption (306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Worst case for renewables on the 2030 reading (230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SMR lead (198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Lowest SMR lead, worst case tested (198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starts 2035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start 2030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life cycle 83 g/kWh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5.8 g/kWh, our 95th percentile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central (514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low (387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high (641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renewables low (514 / 91)</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renewables high, assumption (514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12.8×</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starts 2035</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w:t>
            </w:r>
            <w:bookmarkStart w:id="228" w:name="b6.2-results"/>
            <w:bookmarkEnd w:id="228"/>
          </w:p>
        </w:tc>
      </w:tr>
    </w:tbl>
    <w:p>
      <w:pPr>
        <w:pStyle w:val="Heading5"/>
        <w:rPr/>
      </w:pPr>
      <w:r>
        <w:rPr/>
        <w:t>B6.3 Capital cost alone, and the check against our own LCOE and OPG’s figure</w:t>
      </w:r>
    </w:p>
    <w:p>
      <w:pPr>
        <w:pStyle w:val="FirstParagraph"/>
        <w:rPr/>
      </w:pPr>
      <w:r>
        <w:rPr>
          <w:b/>
          <w:bCs/>
        </w:rPr>
        <w:t>Capital cost alone (moved from Section 3.3.3).</w:t>
      </w:r>
      <w:r>
        <w:rPr/>
        <w:t xml:space="preserve"> 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rPr/>
      </w:pPr>
      <w:r>
        <w:rPr/>
        <w:t>Our Darlington LCOE (</w:t>
      </w:r>
      <w:r>
        <w:rPr>
          <w:rStyle w:val="VerbatimChar"/>
        </w:rPr>
        <w:t>results/lcoe.md</w:t>
      </w:r>
      <w:r>
        <w:rPr/>
        <w:t xml:space="preserve">; case B, 60 years, vendor operating costs, CF 0.90) is C$112/151/198/280 per MWh at 3/5/7/10% real (A$125/169/221/313). - </w:t>
      </w:r>
      <w:r>
        <w:rPr>
          <w:b/>
          <w:bCs/>
        </w:rPr>
        <w:t>Against GenCost:</w:t>
      </w:r>
      <w:r>
        <w:rPr/>
        <w:t xml:space="preserve"> 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 </w:t>
      </w:r>
      <w:r>
        <w:rPr>
          <w:rStyle w:val="VerbatimChar"/>
        </w:rPr>
        <w:t>results/lcoe.md</w:t>
      </w:r>
      <w:r>
        <w:rPr/>
        <w:t xml:space="preserve"> section 5), so A$221 is below the GenCost ranges we found. GenCost 2025-26 still ranks SMRs as the highest-cost option (Graham and Hayward, 2026), and its SMR range was not retrieved. - </w:t>
      </w:r>
      <w:r>
        <w:rPr>
          <w:b/>
          <w:bCs/>
        </w:rPr>
        <w:t>Against OPG:</w:t>
      </w:r>
      <w:r>
        <w:rPr/>
        <w:t xml:space="preserve"> OPG’s reported four-unit average of C$149/MWh (Ontario Power Generation, 2026b) is reproduced at a real discount rate of 4.9%. That rate is consistent with a ratepayer-backed Crown utility, not with merchant finance. - </w:t>
      </w:r>
      <w:r>
        <w:rPr>
          <w:b/>
          <w:bCs/>
        </w:rPr>
        <w:t>Cost ratio:</w:t>
      </w:r>
      <w:r>
        <w:rPr/>
        <w:t xml:space="preserve"> on our 7% value against GenCost 2024-25’s firmed-renewables lead, the SMR/renewables cost ratio is 221 / 101 = 2.2× (</w:t>
      </w:r>
      <w:r>
        <w:rPr>
          <w:rStyle w:val="VerbatimChar"/>
        </w:rPr>
        <w:t>results/lcoe.md</w:t>
      </w:r>
      <w:r>
        <w:rPr/>
        <w:t xml:space="preserve"> section 5). On GenCost 2023-24’s 2030 values it is about 2.9× (1.8–4.3×), or 5.0× on the alternative reading. - </w:t>
      </w:r>
      <w:r>
        <w:rPr>
          <w:b/>
          <w:bCs/>
        </w:rPr>
        <w:t>Overrun:</w:t>
      </w:r>
      <w:r>
        <w:rPr/>
        <w:t xml:space="preserve"> a NuScale-sized capital overrun (×1.75) at 7% gives C$317/MWh (Section 3.5.1), the largest single input, ahead of the discount rate. - </w:t>
      </w:r>
      <w:r>
        <w:rPr>
          <w:b/>
          <w:bCs/>
        </w:rPr>
        <w:t>Market value against revenue (NuScale, 2025):</w:t>
      </w:r>
      <w:r>
        <w:rPr/>
        <w:t xml:space="preserve"> US$5.3 bn public float against US$31.5 m revenue, 168× (NuScale Power Corporation, 2026). Equity prices future orders; it does not finance first plants. - </w:t>
      </w:r>
      <w:r>
        <w:rPr>
          <w:b/>
          <w:bCs/>
        </w:rPr>
        <w:t>Full working:</w:t>
      </w:r>
      <w:r>
        <w:rPr/>
        <w:t xml:space="preserve"> in </w:t>
      </w:r>
      <w:r>
        <w:rPr>
          <w:rStyle w:val="VerbatimChar"/>
        </w:rPr>
        <w:t>results/lcoe.md</w:t>
      </w:r>
      <w:r>
        <w:rPr/>
        <w:t>.</w:t>
      </w:r>
    </w:p>
    <w:p>
      <w:pPr>
        <w:pStyle w:val="Heading5"/>
        <w:rPr/>
      </w:pPr>
      <w:bookmarkStart w:id="229" w:name="b6.4-limitations"/>
      <w:r>
        <w:rPr/>
        <w:t>B6.4 Limitations</w:t>
      </w:r>
    </w:p>
    <w:p>
      <w:pPr>
        <w:pStyle w:val="Compact"/>
        <w:numPr>
          <w:ilvl w:val="0"/>
          <w:numId w:val="72"/>
        </w:numPr>
        <w:rPr/>
      </w:pPr>
      <w:r>
        <w:rPr/>
        <w:t>Adding several TWh a year of firmed renewables would itself change the NEM trajectory, so the comparison holds only at the margin of the stated trajectory.</w:t>
      </w:r>
    </w:p>
    <w:p>
      <w:pPr>
        <w:pStyle w:val="Compact"/>
        <w:numPr>
          <w:ilvl w:val="0"/>
          <w:numId w:val="73"/>
        </w:numPr>
        <w:rPr/>
      </w:pPr>
      <w:r>
        <w:rPr/>
        <w:t>The LCOE of firmed renewables rises with their share, and GenCost’s integration costs cover this only up to the shares it models.</w:t>
      </w:r>
    </w:p>
    <w:p>
      <w:pPr>
        <w:pStyle w:val="Compact"/>
        <w:numPr>
          <w:ilvl w:val="0"/>
          <w:numId w:val="74"/>
        </w:numPr>
        <w:rPr/>
      </w:pPr>
      <w:r>
        <w:rPr/>
        <w:t>Darlington’s budget is in nominal Canadian dollars (2025 announcement), while GenCost is in real Australian dollars. Method A is therefore an order-of-magnitude cross-check, not a precise conversion.</w:t>
      </w:r>
    </w:p>
    <w:p>
      <w:pPr>
        <w:pStyle w:val="Compact"/>
        <w:numPr>
          <w:ilvl w:val="0"/>
          <w:numId w:val="75"/>
        </w:numPr>
        <w:rPr/>
      </w:pPr>
      <w:r>
        <w:rPr/>
        <w:t>Renewable assets last about 25–30 years (GenCost). No replacement falls before 2050, but a whole-life comparison would need one.</w:t>
      </w:r>
    </w:p>
    <w:p>
      <w:pPr>
        <w:pStyle w:val="Compact"/>
        <w:numPr>
          <w:ilvl w:val="0"/>
          <w:numId w:val="76"/>
        </w:numPr>
        <w:rPr/>
      </w:pPr>
      <w:r>
        <w:rPr/>
        <w:t>The Ontario rows use Australian costs and are indicative only. Ontario-specific costs were a stretch item in the plan and were not done.</w:t>
      </w:r>
    </w:p>
    <w:p>
      <w:pPr>
        <w:pStyle w:val="normal1"/>
        <w:rPr/>
      </w:pPr>
      <w:bookmarkStart w:id="230" w:name="Xe9bf8aa20110d892414618c9830b1120addc14d"/>
      <w:bookmarkStart w:id="231" w:name="b6.4-limitations"/>
      <w:r>
        <w:rPr/>
        <mc:AlternateContent>
          <mc:Choice Requires="wps">
            <w:drawing>
              <wp:inline distT="0" distB="0" distL="0" distR="0">
                <wp:extent cx="573151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bookmarkEnd w:id="231"/>
    </w:p>
    <w:p>
      <w:pPr>
        <w:pStyle w:val="Heading4"/>
        <w:rPr/>
      </w:pPr>
      <w:bookmarkStart w:id="232" w:name="Xc131c5b7da9b849e6bc37677db63fd4f3349dcd"/>
      <w:r>
        <w:rPr/>
        <w:t>B7. Multi-criteria analysis (MCDA): status quo, SMR, SMR + C1 and firmed renewables</w:t>
      </w:r>
    </w:p>
    <w:p>
      <w:pPr>
        <w:pStyle w:val="FirstParagraph"/>
        <w:rPr/>
      </w:pPr>
      <w:r>
        <w:rPr>
          <w:b/>
          <w:bCs/>
        </w:rPr>
        <w:t>Result.</w:t>
      </w:r>
      <w:r>
        <w:rPr/>
        <w:t xml:space="preserve"> Firmed renewables for the same money score highest under all four weight sets (80.1, 85.9, 63.7 and 89.3 of 100). The status quo is second, and SMR and SMR + C1 tie for third (29.7, 24.0, 43.6 and 20.4). C1 moves the SMR’s score by under 0.005 point. </w:t>
      </w:r>
      <w:r>
        <w:rPr>
          <w:b/>
          <w:bCs/>
        </w:rPr>
        <w:t>The ranking is a structured comparison, not a measurement:</w:t>
      </w:r>
      <w:r>
        <w:rPr/>
        <w:t xml:space="preserve"> the social, legal and renewables-supply scores and the weights are our judgement. The main-text summary is Section 3.7 (the Section 3.7 tables). Source: </w:t>
      </w:r>
      <w:r>
        <w:rPr>
          <w:rStyle w:val="VerbatimChar"/>
        </w:rPr>
        <w:t>scripts/mcda.py</w:t>
      </w:r>
      <w:r>
        <w:rPr/>
        <w:t xml:space="preserve"> (C1 case </w:t>
      </w:r>
      <w:r>
        <w:rPr>
          <w:rStyle w:val="VerbatimChar"/>
        </w:rPr>
        <w:t>new_2200</w:t>
      </w:r>
      <w:r>
        <w:rPr/>
        <w:t xml:space="preserve">), </w:t>
      </w:r>
      <w:r>
        <w:rPr>
          <w:rStyle w:val="VerbatimChar"/>
        </w:rPr>
        <w:t>results/mcda.md</w:t>
      </w:r>
      <w:r>
        <w:rPr/>
        <w:t xml:space="preserve"> and </w:t>
      </w:r>
      <w:r>
        <w:rPr>
          <w:rStyle w:val="VerbatimChar"/>
        </w:rPr>
        <w:t>results/mcda_scores.csv</w:t>
      </w:r>
      <w:r>
        <w:rPr/>
        <w:t>, which holds every raw score, normalised score, weight set and perturbation (593 rows).</w:t>
      </w:r>
    </w:p>
    <w:p>
      <w:pPr>
        <w:pStyle w:val="Heading5"/>
        <w:rPr/>
      </w:pPr>
      <w:bookmarkStart w:id="233" w:name="b7.1-options-criteria-and-inputs"/>
      <w:r>
        <w:rPr/>
        <w:t>B7.1 Options, criteria and inputs</w:t>
      </w:r>
    </w:p>
    <w:p>
      <w:pPr>
        <w:pStyle w:val="FirstParagraph"/>
        <w:rPr/>
      </w:pPr>
      <w:r>
        <w:rPr/>
        <w:t>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rPr/>
      </w:pPr>
      <w:r>
        <w:rPr>
          <w:i/>
          <w:iCs/>
        </w:rPr>
        <w:t>Table B29. Performance matrix (raw values) and the source of each score.</w:t>
      </w:r>
      <w:r>
        <w:rPr/>
        <w:t xml:space="preserve"> </w:t>
      </w:r>
      <w:r>
        <w:rPr>
          <w:i/>
          <w:iCs/>
        </w:rPr>
        <w:t xml:space="preserve">Source: </w:t>
      </w:r>
      <w:r>
        <w:rPr>
          <w:rStyle w:val="VerbatimChar"/>
          <w:i/>
          <w:iCs/>
        </w:rPr>
        <w:t>results/mcda.md</w:t>
      </w:r>
      <w:r>
        <w:rPr>
          <w:i/>
          <w:iCs/>
        </w:rPr>
        <w:t xml:space="preserve"> section 2. SMR + C1 shown for the 2,200 t case.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Criterion</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 (status)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CO₂e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4.1845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team LCA median (Section 3.2). Renewables: 30 g/kWh assumption inside UNECE’s PV range of 8–83. Status quo: NSW grid factor 2025 (NGA Factors)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CO₂e avoided to 2050 (Mt per A$1 bn/yr)</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B6 frame (</w:t>
            </w:r>
            <w:r>
              <w:rPr>
                <w:rStyle w:val="VerbatimChar"/>
                <w:rFonts w:eastAsia="Aptos" w:cs="Aptos"/>
                <w:kern w:val="0"/>
                <w:lang w:val="en-US"/>
              </w:rPr>
              <w:t>same_money.py</w:t>
            </w:r>
            <w:r>
              <w:rPr>
                <w:rFonts w:eastAsia="Aptos" w:cs="Aptos"/>
                <w:kern w:val="0"/>
                <w:lang w:val="en-US"/>
              </w:rPr>
              <w:t>); GenCost 2030 LCOEs; NEM trajectory T2, slow (assumption)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Cost, LCOE (A$/MWh)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306.04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midpoints: SMR 230–382, firmed renewables 89–125. C1 adds A$0.038/MWh (assumptions)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full year of new supply</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2050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CSIRO’s 2040 for nuclear (Graham, Hayward and Foster, 2024). Renewables: 2028 (assumption). Status quo: no new supply by 2050 (convention)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Supply concentration (HHI)</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enrichment, B2. Renewables: lower bound from China’s share, above 80% of every PV stage (International Energy Agency, 2022). Status quo: convention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 (Table B39 total, 5–15)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3.4.2 and Table B39 (our judgement)</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feasibility (Table B13 total, 4–12)</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B3, best SMR route under equal weights (route C, 8); route A scores 6, which leaves this input unchanged (our judgement)</w:t>
            </w:r>
          </w:p>
        </w:tc>
      </w:tr>
    </w:tbl>
    <w:p>
      <w:pPr>
        <w:pStyle w:val="BodyText"/>
        <w:rPr/>
      </w:pPr>
      <w:r>
        <w:rPr>
          <w:b/>
          <w:bCs/>
        </w:rPr>
        <w:t>Conventions for the status quo (a do-nothing reference).</w:t>
      </w:r>
      <w:r>
        <w:rPr/>
        <w:t xml:space="preserve"> It takes the NSW grid factor as its “life cycle” (a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rPr/>
      </w:pPr>
      <w:r>
        <w:rPr>
          <w:b/>
          <w:bCs/>
        </w:rPr>
        <w:t>Not scored.</w:t>
      </w:r>
      <w:r>
        <w:rPr/>
        <w:t xml:space="preserve"> Technology readiness level (TRL) is not scored. Schedule risk enters through the first-power year (tested at 2035 and 2045) and the C1 delay case.</w:t>
      </w:r>
      <w:bookmarkEnd w:id="233"/>
    </w:p>
    <w:p>
      <w:pPr>
        <w:pStyle w:val="Heading5"/>
        <w:rPr/>
      </w:pPr>
      <w:r>
        <w:rPr/>
        <w:t>B7.2 Method</w:t>
      </w:r>
    </w:p>
    <w:p>
      <w:pPr>
        <w:pStyle w:val="Compact"/>
        <w:numPr>
          <w:ilvl w:val="0"/>
          <w:numId w:val="77"/>
        </w:numPr>
        <w:rPr/>
      </w:pPr>
      <w:r>
        <w:rPr>
          <w:b/>
          <w:bCs/>
        </w:rPr>
        <w:t>Model.</w:t>
      </w:r>
      <w:r>
        <w:rPr/>
        <w:t xml:space="preserve"> Linear additive (weighted-sum) MCDA, the standard compensatory model in the UK government manual (Dodgson et al., 2009).</w:t>
      </w:r>
    </w:p>
    <w:p>
      <w:pPr>
        <w:pStyle w:val="Compact"/>
        <w:numPr>
          <w:ilvl w:val="0"/>
          <w:numId w:val="78"/>
        </w:numPr>
        <w:rPr/>
      </w:pPr>
      <w:r>
        <w:rPr>
          <w:b/>
          <w:bCs/>
        </w:rPr>
        <w:t>Normalisation.</w:t>
      </w:r>
      <w:r>
        <w:rPr/>
        <w:t xml:space="preserve"> Each criterion is min–max normalised across the four options: s = (x − worst) / (best − worst), so the best option scores 1 and the worst 0.</w:t>
      </w:r>
    </w:p>
    <w:p>
      <w:pPr>
        <w:pStyle w:val="Compact"/>
        <w:numPr>
          <w:ilvl w:val="0"/>
          <w:numId w:val="79"/>
        </w:numPr>
        <w:rPr/>
      </w:pPr>
      <w:r>
        <w:rPr>
          <w:b/>
          <w:bCs/>
        </w:rPr>
        <w:t>Total.</w:t>
      </w:r>
      <w:r>
        <w:rPr/>
        <w:t xml:space="preserve"> T = 100 × Σ w_c s_c, with weights renormalised to sum to 1.</w:t>
      </w:r>
    </w:p>
    <w:p>
      <w:pPr>
        <w:pStyle w:val="Compact"/>
        <w:numPr>
          <w:ilvl w:val="0"/>
          <w:numId w:val="80"/>
        </w:numPr>
        <w:rPr/>
      </w:pPr>
      <w:r>
        <w:rPr>
          <w:b/>
          <w:bCs/>
        </w:rPr>
        <w:t>CO₂e avoided per dollar.</w:t>
      </w:r>
      <w:r>
        <w:rPr/>
        <w:t xml:space="preserve"> 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pStyle w:val="Compact"/>
        <w:numPr>
          <w:ilvl w:val="0"/>
          <w:numId w:val="81"/>
        </w:numPr>
        <w:rPr/>
      </w:pPr>
      <w:r>
        <w:rPr>
          <w:b/>
          <w:bCs/>
        </w:rPr>
        <w:t>C1 in the model.</w:t>
      </w:r>
      <w:r>
        <w:rPr/>
        <w:t xml:space="preserve"> Life-cycle reduction = saving / lifetime output. For 2,200 t: 2,200 × 10⁶ g / (2,365,200 MWh × 1,000 × 60 years = 1.419 × 10¹¹ kWh) = </w:t>
      </w:r>
      <w:r>
        <w:rPr>
          <w:b/>
          <w:bCs/>
        </w:rPr>
        <w:t>0.0155 g/kWh</w:t>
      </w:r>
      <w:r>
        <w:rPr/>
        <w:t xml:space="preserve"> (0.37% of 4.2). For the earlier 1,734 t it is 0.0122 g/kWh (0.29%). C1’s cost is a premium (base 0%) × C$229/m³ × 20,000 m³ plus qualification (base C$1.0 m), × 1.119 AUD/CAD, annualised at a capital recovery factor of 0.0806 (7%, 30 years) over 2,365,200 MWh: </w:t>
      </w:r>
      <w:r>
        <w:rPr>
          <w:b/>
          <w:bCs/>
        </w:rPr>
        <w:t>+A$0.038/MWh</w:t>
      </w:r>
      <w:r>
        <w:rPr/>
        <w:t>. The base case is schedule-neutral (the Section 3.6.2 condition).</w:t>
      </w:r>
    </w:p>
    <w:p>
      <w:pPr>
        <w:pStyle w:val="FirstParagraph"/>
        <w:rPr/>
      </w:pPr>
      <w:r>
        <w:rPr>
          <w:b/>
          <w:bCs/>
        </w:rPr>
        <w:t>Worked example (equal weights, SMR).</w:t>
      </w:r>
      <w:r>
        <w:rPr/>
        <w:t xml:space="preserve"> Life cycle: (640 − 4.2) / (640 − 4.1845) = 0.99998. Avoided per dollar: 5.31 / 57.69 = 0.0921. Cost: (306.04 − 306.00) / 306.04 = 0.0001. Time: (2050 − 2040) / (2050 − 2028) = 0.4545. Supply: (6,400 − 3,009) / 6,400 = 0.5298. Social: (11 − 11) / (14 − 11) = 0. Legal: (8 − 8) / (12 − 8) = 0. The sum is 2.0766, and T = 100 × 2.0766 / 7 = </w:t>
      </w:r>
      <w:r>
        <w:rPr>
          <w:b/>
          <w:bCs/>
        </w:rPr>
        <w:t>29.7</w:t>
      </w:r>
      <w:r>
        <w:rPr/>
        <w:t>.</w:t>
      </w:r>
    </w:p>
    <w:p>
      <w:pPr>
        <w:pStyle w:val="BodyText"/>
        <w:rPr/>
      </w:pPr>
      <w:r>
        <w:rPr>
          <w:i/>
          <w:iCs/>
        </w:rPr>
        <w:t>Table B30. Normalised scores (1 = best of the four options).</w:t>
      </w:r>
      <w:r>
        <w:rPr/>
        <w:t xml:space="preserve"> </w:t>
      </w:r>
      <w:r>
        <w:rPr>
          <w:i/>
          <w:iCs/>
        </w:rPr>
        <w:t xml:space="preserve">Source: </w:t>
      </w:r>
      <w:r>
        <w:rPr>
          <w:rStyle w:val="VerbatimChar"/>
          <w:i/>
          <w:iCs/>
        </w:rPr>
        <w:t>results/mcda.md</w:t>
      </w:r>
      <w:r>
        <w:rPr>
          <w:i/>
          <w:iCs/>
        </w:rPr>
        <w:t xml:space="preserve"> section 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Criterion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0.9594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Avoided per dollar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0.0921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0.0921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Cost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0.6504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Time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0.4545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0.4545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Supply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0.5298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0.5298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0.6667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feasibility</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bookmarkStart w:id="234" w:name="b7.2-method"/>
            <w:bookmarkEnd w:id="234"/>
          </w:p>
        </w:tc>
      </w:tr>
    </w:tbl>
    <w:p>
      <w:pPr>
        <w:pStyle w:val="Heading5"/>
        <w:rPr/>
      </w:pPr>
      <w:r>
        <w:rPr/>
        <w:t>B7.3 Weights and results</w:t>
      </w:r>
    </w:p>
    <w:p>
      <w:pPr>
        <w:pStyle w:val="FirstParagraph"/>
        <w:rPr/>
      </w:pPr>
      <w:r>
        <w:rPr/>
        <w:t>The weights are our reading of each group’s stated priorities (</w:t>
      </w:r>
      <w:r>
        <w:rPr>
          <w:rStyle w:val="VerbatimChar"/>
        </w:rPr>
        <w:t>parameters_run9.yaml</w:t>
      </w:r>
      <w:r>
        <w:rPr/>
        <w:t>), not elicited from them.</w:t>
      </w:r>
    </w:p>
    <w:p>
      <w:pPr>
        <w:pStyle w:val="BodyText"/>
        <w:rPr/>
      </w:pPr>
      <w:r>
        <w:rPr>
          <w:i/>
          <w:iCs/>
        </w:rPr>
        <w:t>Table B31. Weight sets and total scores (0–100).</w:t>
      </w:r>
      <w:r>
        <w:rPr/>
        <w:t xml:space="preserve"> </w:t>
      </w:r>
      <w:r>
        <w:rPr>
          <w:i/>
          <w:iCs/>
        </w:rPr>
        <w:t xml:space="preserve">Source: </w:t>
      </w:r>
      <w:r>
        <w:rPr>
          <w:rStyle w:val="VerbatimChar"/>
          <w:i/>
          <w:iCs/>
        </w:rPr>
        <w:t>results/mcda.md</w:t>
      </w:r>
      <w:r>
        <w:rPr>
          <w:i/>
          <w:iCs/>
        </w:rPr>
        <w:t xml:space="preserve"> section 4. Rationale sources: Bowen’s statements; the Liberal Party 2026 energy plan; Section 3.4.2.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879"/>
        <w:gridCol w:w="880"/>
        <w:gridCol w:w="880"/>
        <w:gridCol w:w="880"/>
        <w:gridCol w:w="881"/>
        <w:gridCol w:w="880"/>
        <w:gridCol w:w="880"/>
        <w:gridCol w:w="880"/>
        <w:gridCol w:w="879"/>
      </w:tblGrid>
      <w:tr>
        <w:trPr>
          <w:tblHeader w:val="true"/>
        </w:trPr>
        <w:tc>
          <w:tcPr>
            <w:tcW w:w="8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Life cycle</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per $</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Cost</w:t>
            </w:r>
          </w:p>
        </w:tc>
        <w:tc>
          <w:tcPr>
            <w:tcW w:w="88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Time</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Supply</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Legal</w:t>
            </w:r>
          </w:p>
        </w:tc>
        <w:tc>
          <w:tcPr>
            <w:tcW w:w="8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Rationale</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view privileged</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Government and AEMO lens: cost and speed of decarbonisation</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 and advocate lens: zero-emission firm supply and security. The most SMR-favourable set we could justify, as a stress test</w:t>
            </w:r>
          </w:p>
        </w:tc>
      </w:tr>
      <w:tr>
        <w:trPr/>
        <w:tc>
          <w:tcPr>
            <w:tcW w:w="8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Hunter community, Traditional Owners and unions: consent, legal certainty, early jobs</w:t>
            </w:r>
          </w:p>
        </w:tc>
      </w:tr>
    </w:tbl>
    <w:p>
      <w:pPr>
        <w:pStyle w:val="normal1"/>
        <w:rPr/>
      </w:pPr>
      <w:r>
        <w:rPr/>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Ranking</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&gt; status quo &gt; SMR ≈ SMR + C1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bl>
    <w:p>
      <w:pPr>
        <w:pStyle w:val="Heading5"/>
        <w:rPr/>
      </w:pPr>
      <w:r>
        <w:rPr/>
        <w:t>B7.4 Rank reversal and input sensitivity</w:t>
      </w:r>
    </w:p>
    <w:p>
      <w:pPr>
        <w:pStyle w:val="FirstParagraph"/>
        <w:rPr/>
      </w:pPr>
      <w:r>
        <w:rPr>
          <w:i/>
          <w:iCs/>
        </w:rPr>
        <w:t>Table B32. Each weight varied by ±50% (then renormalised): 14 tests per weight set.</w:t>
      </w:r>
      <w:r>
        <w:rPr/>
        <w:t xml:space="preserve"> </w:t>
      </w:r>
      <w:r>
        <w:rPr>
          <w:i/>
          <w:iCs/>
        </w:rPr>
        <w:t xml:space="preserve">Source: </w:t>
      </w:r>
      <w:r>
        <w:rPr>
          <w:rStyle w:val="VerbatimChar"/>
          <w:i/>
          <w:iCs/>
        </w:rPr>
        <w:t>results/mcda.md</w:t>
      </w:r>
      <w:r>
        <w:rPr>
          <w:i/>
          <w:iCs/>
        </w:rPr>
        <w:t xml:space="preserve"> section 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Tests</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First place changes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Cases that change the order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 0.5 and supply × 1.5: both give status quo &gt; renewables &gt; SMR</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bl>
    <w:p>
      <w:pPr>
        <w:pStyle w:val="Compact"/>
        <w:numPr>
          <w:ilvl w:val="0"/>
          <w:numId w:val="82"/>
        </w:numPr>
        <w:rPr/>
      </w:pPr>
      <w:r>
        <w:rPr>
          <w:b/>
          <w:bCs/>
        </w:rPr>
        <w:t>Random weights.</w:t>
      </w:r>
      <w:r>
        <w:rPr/>
        <w:t xml:space="preserve"> In 20,000 Dirichlet(1,…,1) draws (seed 20261021), first place goes to renewables in 85.4%, the status quo in 14.5%, SMR + C1 in 0.1% and SMR in 0.0%. An SMR option is above renewables in 1.1% of draws.</w:t>
      </w:r>
    </w:p>
    <w:p>
      <w:pPr>
        <w:pStyle w:val="Compact"/>
        <w:numPr>
          <w:ilvl w:val="0"/>
          <w:numId w:val="83"/>
        </w:numPr>
        <w:rPr/>
      </w:pPr>
      <w:r>
        <w:rPr>
          <w:b/>
          <w:bCs/>
        </w:rPr>
        <w:t>Threshold.</w:t>
      </w:r>
      <w:r>
        <w:rPr/>
        <w:t xml:space="preserve"> Putting one criterion’s weight at w and sharing the rest equally, an SMR option first ranks first only when life cycle carries at least 0.936. For the other six criteria it never does.</w:t>
      </w:r>
    </w:p>
    <w:p>
      <w:pPr>
        <w:pStyle w:val="Compact"/>
        <w:numPr>
          <w:ilvl w:val="0"/>
          <w:numId w:val="84"/>
        </w:numPr>
        <w:rPr/>
      </w:pPr>
      <w:r>
        <w:rPr>
          <w:b/>
          <w:bCs/>
        </w:rPr>
        <w:t>SMR versus SMR + C1.</w:t>
      </w:r>
      <w:r>
        <w:rPr/>
        <w:t xml:space="preserve"> They never swap places in any of the 56 tests.</w:t>
      </w:r>
    </w:p>
    <w:p>
      <w:pPr>
        <w:pStyle w:val="FirstParagraph"/>
        <w:rPr/>
      </w:pPr>
      <w:r>
        <w:rPr>
          <w:i/>
          <w:iCs/>
        </w:rPr>
        <w:t>Table B33. Input changes that alter first place or the order (base weights). All other changes leave “renewables &gt; status quo &gt; SMR” in all four sets.</w:t>
      </w:r>
      <w:r>
        <w:rPr/>
        <w:t xml:space="preserve"> </w:t>
      </w:r>
      <w:r>
        <w:rPr>
          <w:i/>
          <w:iCs/>
        </w:rPr>
        <w:t xml:space="preserve">Source: </w:t>
      </w:r>
      <w:r>
        <w:rPr>
          <w:rStyle w:val="VerbatimChar"/>
          <w:i/>
          <w:iCs/>
        </w:rPr>
        <w:t>results/mcda.md</w:t>
      </w:r>
      <w:r>
        <w:rPr>
          <w:i/>
          <w:iCs/>
        </w:rPr>
        <w:t xml:space="preserve"> section 6 (17 input cases × 4 weight sets = 68 tests).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Change</w:t>
            </w:r>
          </w:p>
        </w:tc>
        <w:tc>
          <w:tcPr>
            <w:tcW w:w="395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Worst case for renewables (SMR A$198, renewables A$153)</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status quo first; others unchanged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 social licence at 14 (instead of 13)</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status quo first; others unchanged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 supply = renewables’ HHI (6,400)</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renewables &gt; SMR &gt; status quo; others unchanged</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Fixed global scales (best and worst fixed in advance)</w:t>
            </w:r>
          </w:p>
        </w:tc>
        <w:tc>
          <w:tcPr>
            <w:tcW w:w="395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All four sets: renewables &gt; SMR &gt; status quo</w:t>
            </w:r>
          </w:p>
        </w:tc>
      </w:tr>
    </w:tbl>
    <w:p>
      <w:pPr>
        <w:pStyle w:val="BodyText"/>
        <w:rPr/>
      </w:pPr>
      <w:r>
        <w:rP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 </w:t>
      </w:r>
      <w:r>
        <w:rPr>
          <w:b/>
          <w:bCs/>
        </w:rPr>
        <w:t>The status quo above the SMR is not:</w:t>
      </w:r>
      <w:r>
        <w:rPr/>
        <w:t xml:space="preserve"> it comes from the four-option scale, where doing nothing scores full marks on cost, supply and legal feasibility.</w:t>
      </w:r>
    </w:p>
    <w:p>
      <w:pPr>
        <w:pStyle w:val="Heading5"/>
        <w:rPr/>
      </w:pPr>
      <w:bookmarkStart w:id="235" w:name="X655acef3214253160cddaea55a74ab651fff5b4"/>
      <w:r>
        <w:rPr/>
        <w:t>B7.5 SMR versus SMR + C1 under each C1 case</w:t>
      </w:r>
    </w:p>
    <w:p>
      <w:pPr>
        <w:pStyle w:val="FirstParagraph"/>
        <w:rPr/>
      </w:pPr>
      <w:r>
        <w:rPr>
          <w:i/>
          <w:iCs/>
        </w:rPr>
        <w:t>Table B34. Effect of C1 on the SMR’s life cycle and score, by C1 case.</w:t>
      </w:r>
      <w:r>
        <w:rPr/>
        <w:t xml:space="preserve"> </w:t>
      </w:r>
      <w:r>
        <w:rPr>
          <w:i/>
          <w:iCs/>
        </w:rPr>
        <w:t xml:space="preserve">Source: </w:t>
      </w:r>
      <w:r>
        <w:rPr>
          <w:rStyle w:val="VerbatimChar"/>
          <w:i/>
          <w:iCs/>
        </w:rPr>
        <w:t>results/mcda.md</w:t>
      </w:r>
      <w:r>
        <w:rPr>
          <w:i/>
          <w:iCs/>
        </w:rPr>
        <w:t xml:space="preserve"> section 7. The 1,100, 2,200 and 3,300 t cases (eligibility of 20/40/60%) are the deck case (BWRX-300 Ostrołęka sp. z o.o., 2023; Pillai et al., 2019). The 1,734 t row is the earlier-model cross-check.</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case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Saving (t/unit)</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Life cycle, SMR → SMR + C1 (g/kWh)</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Change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Score gap, equal weights (points)</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Score gap if qualification is free</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 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4.1922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0.0078 g/kWh (0.18%)</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+0.00024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 t (central)</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4.1845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0.0155 g/kWh (0.37%)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+0.00049</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 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4.1767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0.0233 g/kWh (0.55%)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+0.00073</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1,734 t (earlier model, cross-check)</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1,734</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4.1878</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0.0122 g/kWh (0.29%)</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0.0016</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+0.00038</w:t>
            </w:r>
          </w:p>
        </w:tc>
      </w:tr>
    </w:tbl>
    <w:p>
      <w:pPr>
        <w:pStyle w:val="BodyText"/>
        <w:rPr/>
      </w:pPr>
      <w:r>
        <w:rP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 </w:t>
      </w:r>
      <w:r>
        <w:rPr>
          <w:b/>
          <w:bCs/>
        </w:rPr>
        <w:t>Delay case.</w:t>
      </w:r>
      <w:r>
        <w:rPr/>
        <w:t xml:space="preserve"> 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bookmarkEnd w:id="235"/>
    </w:p>
    <w:p>
      <w:pPr>
        <w:pStyle w:val="Heading5"/>
        <w:rPr/>
      </w:pPr>
      <w:bookmarkStart w:id="236" w:name="b7.6-limitations"/>
      <w:r>
        <w:rPr/>
        <w:t>B7.6 Limitations</w:t>
      </w:r>
    </w:p>
    <w:p>
      <w:pPr>
        <w:pStyle w:val="Compact"/>
        <w:numPr>
          <w:ilvl w:val="0"/>
          <w:numId w:val="85"/>
        </w:numPr>
        <w:rPr/>
      </w:pPr>
      <w:r>
        <w:rPr/>
        <w:t>Social licence, legal feasibility and the renewables supply score are our scored judgement (Table B39; Table B13; B7.1). The weights are our reading, not elicited. A stakeholder survey would replace them.</w:t>
      </w:r>
    </w:p>
    <w:p>
      <w:pPr>
        <w:pStyle w:val="Compact"/>
        <w:numPr>
          <w:ilvl w:val="0"/>
          <w:numId w:val="86"/>
        </w:numPr>
        <w:rPr/>
      </w:pPr>
      <w:r>
        <w:rPr/>
        <w:t>Local min–max scaling makes each score depend on which options are compared. The status quo’s second place changes on fixed global scales (B7.4).</w:t>
      </w:r>
    </w:p>
    <w:p>
      <w:pPr>
        <w:pStyle w:val="Compact"/>
        <w:numPr>
          <w:ilvl w:val="0"/>
          <w:numId w:val="87"/>
        </w:numPr>
        <w:rPr/>
      </w:pPr>
      <w:r>
        <w:rPr/>
        <w:t>Renewables’ supply HHI uses solar PV only; batteries, wind turbines and transmission are not assessed, and the IEA (2022) report was not opened in full.</w:t>
      </w:r>
    </w:p>
    <w:p>
      <w:pPr>
        <w:pStyle w:val="Compact"/>
        <w:numPr>
          <w:ilvl w:val="0"/>
          <w:numId w:val="88"/>
        </w:numPr>
        <w:rPr/>
      </w:pPr>
      <w:r>
        <w:rPr/>
        <w:t>TRL is not scored, and first-power years depend on CSIRO’s 2040 and the Coalition’s 2035 (as reported).</w:t>
      </w:r>
    </w:p>
    <w:p>
      <w:pPr>
        <w:pStyle w:val="Compact"/>
        <w:numPr>
          <w:ilvl w:val="0"/>
          <w:numId w:val="89"/>
        </w:numPr>
        <w:rPr/>
      </w:pPr>
      <w:r>
        <w:rPr/>
        <w:t>Renewables’ 30 g/kWh and 2028 start are assumptions, and the GenCost reading is the one stated in B6. Adding several TWh of renewables would itself change the grid trajectory (B6.4).</w:t>
      </w:r>
    </w:p>
    <w:p>
      <w:pPr>
        <w:pStyle w:val="Compact"/>
        <w:numPr>
          <w:ilvl w:val="0"/>
          <w:numId w:val="90"/>
        </w:numPr>
        <w:rPr/>
      </w:pPr>
      <w:r>
        <w:rPr/>
        <w:t>The UK government manual (Dodgson et al., 2009) was not opened in full.</w:t>
      </w:r>
    </w:p>
    <w:p>
      <w:pPr>
        <w:pStyle w:val="FirstParagraph"/>
        <w:rPr/>
      </w:pPr>
      <w:r>
        <w:rPr>
          <w:b/>
          <w:bCs/>
        </w:rPr>
        <w:t>Reproduce.</w:t>
      </w:r>
      <w:r>
        <w:rPr/>
        <w:t xml:space="preserve"> From the repository root: </w:t>
      </w:r>
      <w:r>
        <w:rPr>
          <w:rStyle w:val="VerbatimChar"/>
        </w:rPr>
        <w:t>python3 -I 03_LCA_Calculations/scripts/mcda.py --c1-case new_2200</w:t>
      </w:r>
      <w:r>
        <w:rPr/>
        <w:t xml:space="preserve"> (cases: </w:t>
      </w:r>
      <w:r>
        <w:rPr>
          <w:rStyle w:val="VerbatimChar"/>
        </w:rPr>
        <w:t>old_1734</w:t>
      </w:r>
      <w:r>
        <w:rPr/>
        <w:t xml:space="preserve">, </w:t>
      </w:r>
      <w:r>
        <w:rPr>
          <w:rStyle w:val="VerbatimChar"/>
        </w:rPr>
        <w:t>new_1100</w:t>
      </w:r>
      <w:r>
        <w:rPr/>
        <w:t xml:space="preserve">, </w:t>
      </w:r>
      <w:r>
        <w:rPr>
          <w:rStyle w:val="VerbatimChar"/>
        </w:rPr>
        <w:t>new_2200</w:t>
      </w:r>
      <w:r>
        <w:rPr/>
        <w:t xml:space="preserve">, </w:t>
      </w:r>
      <w:r>
        <w:rPr>
          <w:rStyle w:val="VerbatimChar"/>
        </w:rPr>
        <w:t>new_3300</w:t>
      </w:r>
      <w:r>
        <w:rPr/>
        <w:t xml:space="preserve">). Inputs are in </w:t>
      </w:r>
      <w:r>
        <w:rPr>
          <w:rStyle w:val="VerbatimChar"/>
        </w:rPr>
        <w:t>03_LCA_Calculations/parameters_run9.yaml</w:t>
      </w:r>
      <w:r>
        <w:rPr/>
        <w:t xml:space="preserve">; outputs are </w:t>
      </w:r>
      <w:r>
        <w:rPr>
          <w:rStyle w:val="VerbatimChar"/>
        </w:rPr>
        <w:t>results/mcda.md</w:t>
      </w:r>
      <w:r>
        <w:rPr/>
        <w:t xml:space="preserve"> and </w:t>
      </w:r>
      <w:r>
        <w:rPr>
          <w:rStyle w:val="VerbatimChar"/>
        </w:rPr>
        <w:t>results/mcda_scores.csv</w:t>
      </w:r>
      <w:r>
        <w:rPr/>
        <w:t>.</w:t>
      </w:r>
    </w:p>
    <w:p>
      <w:pPr>
        <w:pStyle w:val="normal1"/>
        <w:rPr/>
      </w:pPr>
      <w:bookmarkStart w:id="237" w:name="Xc131c5b7da9b849e6bc37677db63fd4f3349dcd"/>
      <w:bookmarkStart w:id="238" w:name="b7.6-limitations"/>
      <w:r>
        <w:rPr/>
        <mc:AlternateContent>
          <mc:Choice Requires="wps">
            <w:drawing>
              <wp:inline distT="0" distB="0" distL="0" distR="0">
                <wp:extent cx="573151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37"/>
      <w:bookmarkEnd w:id="238"/>
    </w:p>
    <w:p>
      <w:pPr>
        <w:pStyle w:val="Heading4"/>
        <w:rPr/>
      </w:pPr>
      <w:bookmarkStart w:id="239" w:name="Xf511f31261708a0052acbe2a7ca6790c4cfa87f"/>
      <w:r>
        <w:rPr/>
        <w:t>B8. Social licence and stakeholder working (for Section 3.4.2 and Section 3.4.1)</w:t>
      </w:r>
    </w:p>
    <w:p>
      <w:pPr>
        <w:pStyle w:val="FirstParagraph"/>
        <w:rPr/>
      </w:pPr>
      <w:r>
        <w:rPr>
          <w:b/>
          <w:bCs/>
        </w:rPr>
        <w:t>Result.</w:t>
      </w:r>
      <w:r>
        <w:rPr/>
        <w:t xml:space="preserve"> 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 </w:t>
      </w:r>
      <w:r>
        <w:rPr>
          <w:b/>
          <w:bCs/>
        </w:rPr>
        <w:t>The stance scores and route scores are our judgement, not measurements.</w:t>
      </w:r>
      <w:r>
        <w:rPr/>
        <w:t xml:space="preserve"> Script: </w:t>
      </w:r>
      <w:r>
        <w:rPr>
          <w:rStyle w:val="VerbatimChar"/>
        </w:rPr>
        <w:t>python3 -I 03_LCA_Calculations/scripts/social_licence.py</w:t>
      </w:r>
      <w:r>
        <w:rPr/>
        <w:t xml:space="preserve"> (</w:t>
      </w:r>
      <w:r>
        <w:rPr>
          <w:rStyle w:val="VerbatimChar"/>
        </w:rPr>
        <w:t>parameters_run6.yaml</w:t>
      </w:r>
      <w:r>
        <w:rPr/>
        <w:t xml:space="preserve">; output </w:t>
      </w:r>
      <w:r>
        <w:rPr>
          <w:rStyle w:val="VerbatimChar"/>
        </w:rPr>
        <w:t>results/social_licence.md</w:t>
      </w:r>
      <w:r>
        <w:rPr/>
        <w:t>).</w:t>
      </w:r>
    </w:p>
    <w:p>
      <w:pPr>
        <w:pStyle w:val="BodyText"/>
        <w:rPr/>
      </w:pPr>
      <w:r>
        <w:rPr/>
        <w:t xml:space="preserve">Sources for the Section 3.4.2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 </w:t>
      </w:r>
      <w:r>
        <w:rPr>
          <w:i/>
          <w:iCs/>
        </w:rPr>
        <w:t>Barngarla</w:t>
      </w:r>
      <w:r>
        <w:rPr/>
        <w:t xml:space="preserve"> [2023] FCA 809; Nuclear Waste Management Organization (2024a; 2024b; 2024c; n.d.); Department of Industry, Science, Energy and Resources (2020); Power Workers’ Union (2021); Conference Board of Canada (2021); Joint Standing Committee on Treaties (2024); Slovic (1987).</w:t>
      </w:r>
    </w:p>
    <w:p>
      <w:pPr>
        <w:pStyle w:val="Heading5"/>
        <w:rPr/>
      </w:pPr>
      <w:bookmarkStart w:id="240" w:name="X8871295422bcc52b42d843e419a224e284f0009"/>
      <w:r>
        <w:rPr/>
        <w:t>B8.1 Perceived and actual safety, and deaths avoided</w:t>
      </w:r>
    </w:p>
    <w:p>
      <w:pPr>
        <w:pStyle w:val="Compact"/>
        <w:numPr>
          <w:ilvl w:val="0"/>
          <w:numId w:val="91"/>
        </w:numPr>
        <w:rPr/>
      </w:pPr>
      <w:r>
        <w:rPr/>
        <w:t>Death rates per TWh (Ritchie, 2020; Markandya and Wilkinson, 2007): coal 24.62, brown coal 32.72, gas 2.82, wind 0.04, nuclear 0.03, solar 0.02. Coal is 24.62 / 0.03 = about 820 times nuclear (gas about 94 times).</w:t>
      </w:r>
    </w:p>
    <w:p>
      <w:pPr>
        <w:pStyle w:val="Compact"/>
        <w:numPr>
          <w:ilvl w:val="0"/>
          <w:numId w:val="92"/>
        </w:numPr>
        <w:rPr/>
      </w:pPr>
      <w:r>
        <w:rPr/>
        <w:t>Output of one unit: 300 MWe × 8,760 h × 0.9 = 2.365 TWh a year (2.102–2.497 at capacity factors of 0.80–0.95).</w:t>
      </w:r>
    </w:p>
    <w:p>
      <w:pPr>
        <w:pStyle w:val="Compact"/>
        <w:numPr>
          <w:ilvl w:val="0"/>
          <w:numId w:val="93"/>
        </w:numPr>
        <w:rPr/>
      </w:pPr>
      <w:r>
        <w:rPr/>
        <w:t xml:space="preserve">Deaths avoided a year = output × (death rate of the displaced source − nuclear’s rate). Example (black coal): 2.365 × (24.62 − 0.03) = </w:t>
      </w:r>
      <w:r>
        <w:rPr>
          <w:b/>
          <w:bCs/>
        </w:rPr>
        <w:t>58.2</w:t>
      </w:r>
      <w:r>
        <w:rPr/>
        <w:t>.</w:t>
      </w:r>
    </w:p>
    <w:p>
      <w:pPr>
        <w:pStyle w:val="FirstParagraph"/>
        <w:rPr/>
      </w:pPr>
      <w:r>
        <w:rPr>
          <w:i/>
          <w:iCs/>
        </w:rPr>
        <w:t>Table B36. Statistical deaths avoided a year by one unit, by displaced source.</w:t>
      </w:r>
      <w:r>
        <w:rPr/>
        <w:t xml:space="preserve"> </w:t>
      </w:r>
      <w:r>
        <w:rPr>
          <w:i/>
          <w:iCs/>
        </w:rPr>
        <w:t xml:space="preserve">Source: </w:t>
      </w:r>
      <w:r>
        <w:rPr>
          <w:rStyle w:val="VerbatimChar"/>
          <w:i/>
          <w:iCs/>
        </w:rPr>
        <w:t>results/social_licence.md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Displaced source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0.80</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0.90 (central)</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0.95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Black coal (Liddell; upper bound, because coal leaves the grid by 2038 in AEMO’s central scenario)</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58.2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Brown coal (stretch case)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77.3</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81.6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(Darlington, per unit; Ontario has no coal)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5.9</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four units</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Wind</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Solar</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r>
    </w:tbl>
    <w:p>
      <w:pPr>
        <w:pStyle w:val="BodyText"/>
        <w:rPr/>
      </w:pPr>
      <w:bookmarkStart w:id="241" w:name="X8871295422bcc52b42d843e419a224e284f0009"/>
      <w:r>
        <w:rPr/>
        <w:t>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bookmarkEnd w:id="241"/>
    </w:p>
    <w:p>
      <w:pPr>
        <w:pStyle w:val="Heading5"/>
        <w:rPr/>
      </w:pPr>
      <w:bookmarkStart w:id="242" w:name="X92849018d318b05d1619841a208001b9b5d443e"/>
      <w:r>
        <w:rPr/>
        <w:t>B8.2 Stakeholder power, interest and stance (Figure F8)</w:t>
      </w:r>
    </w:p>
    <w:p>
      <w:pPr>
        <w:pStyle w:val="FirstParagraph"/>
        <w:rPr/>
      </w:pPr>
      <w:r>
        <w:rPr/>
        <w:t xml:space="preserve">Each actor is scored for power (1–5), interest (1–5) and stance (−2 strongly against to +2 strongly for) from the evidence in Sections 3.4–3.6 (evidence keys in </w:t>
      </w:r>
      <w:r>
        <w:rPr>
          <w:rStyle w:val="VerbatimChar"/>
        </w:rPr>
        <w:t>parameters_run6.yaml</w:t>
      </w:r>
      <w:r>
        <w:rPr/>
        <w:t xml:space="preserve">). “High power” is a score of 4 or more. Quadrant: power ≥ 4 and interest ≥ 4, manage closely; power ≥ 4 only, keep satisfied; interest ≥ 4 only, keep informed; neither, monitor. </w:t>
      </w:r>
      <w:r>
        <w:rPr>
          <w:b/>
          <w:bCs/>
        </w:rPr>
        <w:t>Power-weighted stance</w:t>
      </w:r>
      <w:r>
        <w:rPr/>
        <w:t xml:space="preserve"> = Σ(power × stance) / Σ(power).</w:t>
      </w:r>
    </w:p>
    <w:p>
      <w:pPr>
        <w:pStyle w:val="BodyText"/>
        <w:rPr/>
      </w:pPr>
      <w:r>
        <w:rPr>
          <w:i/>
          <w:iCs/>
        </w:rPr>
        <w:t>Table B37. Stakeholder scores, Darlington Units 2–4 with C1.</w:t>
      </w:r>
      <w:r>
        <w:rPr/>
        <w:t xml:space="preserve"> </w:t>
      </w:r>
      <w:r>
        <w:rPr>
          <w:i/>
          <w:iCs/>
        </w:rPr>
        <w:t xml:space="preserve">Source: our judgement from Sections 3.4–3.6 evidence; </w:t>
      </w:r>
      <w:r>
        <w:rPr>
          <w:rStyle w:val="VerbatimChar"/>
          <w:i/>
          <w:iCs/>
        </w:rPr>
        <w:t>results/social_licence.md</w:t>
      </w:r>
      <w:r>
        <w:rPr>
          <w:i/>
          <w:iCs/>
        </w:rPr>
        <w:t xml:space="preserve"> section 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Power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Interest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Stance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Quadrant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Government (shareholder)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(licensee, owner)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(safety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Canada (CIB, CGF, CILGC)</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(vendor)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Energy Board (rate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and Durham (host)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Unions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NGOs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suppliers (no source found)</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bl>
    <w:p>
      <w:pPr>
        <w:pStyle w:val="BodyText"/>
        <w:rPr/>
      </w:pPr>
      <w:r>
        <w:rPr/>
        <w:t xml:space="preserve">Working: Σ(power × stance) = 10 + 10 + 0 + 4 + 8 + 4 + 0 + 6 + 6 − 4 + 2 + 0 = 46; Σ(power) = 43; 46 / 43 = </w:t>
      </w:r>
      <w:r>
        <w:rPr>
          <w:b/>
          <w:bCs/>
        </w:rPr>
        <w:t>+1.07</w:t>
      </w:r>
      <w:r>
        <w:rPr/>
        <w:t>. Seven actors have high power and none is opposed.</w:t>
      </w:r>
    </w:p>
    <w:p>
      <w:pPr>
        <w:pStyle w:val="BodyText"/>
        <w:rPr/>
      </w:pPr>
      <w:r>
        <w:rPr>
          <w:i/>
          <w:iCs/>
        </w:rPr>
        <w:t>Table B38. Stakeholder scores, a hypothetical BWRX-300 at Liddell.</w:t>
      </w:r>
      <w:r>
        <w:rPr/>
        <w:t xml:space="preserve"> </w:t>
      </w:r>
      <w:r>
        <w:rPr>
          <w:i/>
          <w:iCs/>
        </w:rPr>
        <w:t>Source: as Table B37.</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Power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Interest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Stance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Quadrant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Government (Labor)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Government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(site owner)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ARPANSA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NGOs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found; scored neutral by default)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Unions (ACTU, ETU)</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Investors in NEM renewables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Coalition</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Hunter community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vendors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bl>
    <w:p>
      <w:pPr>
        <w:pStyle w:val="BodyText"/>
        <w:rPr/>
      </w:pPr>
      <w:r>
        <w:rPr/>
        <w:t xml:space="preserve">Working: Σ(power × stance) = −10 − 10 − 8 + 0 − 6 + 0 − 6 − 3 + 4 + 0 + 2 = −37; Σ(power) = 36; −37 / 36 = </w:t>
      </w:r>
      <w:r>
        <w:rPr>
          <w:b/>
          <w:bCs/>
        </w:rPr>
        <w:t>−1.03</w:t>
      </w:r>
      <w:r>
        <w:rPr/>
        <w:t>. Four actors have high power and three are opposed. Scoring the Wonnarua people at −2 or +2 would move the Liddell result by −0.17 or +0.17 (3 × 2 / 36), which does not change its sign.</w:t>
      </w:r>
      <w:bookmarkEnd w:id="242"/>
    </w:p>
    <w:p>
      <w:pPr>
        <w:pStyle w:val="Heading5"/>
        <w:rPr/>
      </w:pPr>
      <w:bookmarkStart w:id="243" w:name="X896d2bfe54b9a94cdd26775c3af798143bf33da"/>
      <w:r>
        <w:rPr/>
        <w:t>B8.3 Social-licence routes for an SMR at Liddell</w:t>
      </w:r>
    </w:p>
    <w:p>
      <w:pPr>
        <w:pStyle w:val="FirstParagraph"/>
        <w:rPr/>
      </w:pPr>
      <w:r>
        <w:rPr/>
        <w:t>Four routes are scored 1–3 (3 best) on legitimacy (chance of durable consent), legal risk (low risk scores high), speed, public cost (low cost scores high) and fairness. Each weighted column doubles one criterion.</w:t>
      </w:r>
    </w:p>
    <w:p>
      <w:pPr>
        <w:pStyle w:val="BodyText"/>
        <w:rPr/>
      </w:pPr>
      <w:r>
        <w:rPr>
          <w:i/>
          <w:iCs/>
        </w:rPr>
        <w:t>Table B39. Route scores by criterion and totals.</w:t>
      </w:r>
      <w:r>
        <w:rPr/>
        <w:t xml:space="preserve"> </w:t>
      </w:r>
      <w:r>
        <w:rPr>
          <w:i/>
          <w:iCs/>
        </w:rPr>
        <w:t>Source: our judgement (</w:t>
      </w:r>
      <w:r>
        <w:rPr>
          <w:rStyle w:val="VerbatimChar"/>
          <w:i/>
          <w:iCs/>
        </w:rPr>
        <w:t>parameters_run6.yaml</w:t>
      </w:r>
      <w:r>
        <w:rPr>
          <w:i/>
          <w:iCs/>
        </w:rPr>
        <w:t xml:space="preserve">); totals by </w:t>
      </w:r>
      <w:r>
        <w:rPr>
          <w:rStyle w:val="VerbatimChar"/>
          <w:i/>
          <w:iCs/>
        </w:rPr>
        <w:t>social_licence.py</w:t>
      </w:r>
      <w:r>
        <w:rPr>
          <w:i/>
          <w:iCs/>
        </w:rPr>
        <w:t>; route models from Newcastle Herald (2024b), NWMO (2024a; 2024c) and Williams Treaties First Nations et al.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719"/>
        <w:gridCol w:w="720"/>
        <w:gridCol w:w="720"/>
        <w:gridCol w:w="720"/>
        <w:gridCol w:w="720"/>
        <w:gridCol w:w="721"/>
        <w:gridCol w:w="720"/>
        <w:gridCol w:w="720"/>
        <w:gridCol w:w="720"/>
        <w:gridCol w:w="720"/>
        <w:gridCol w:w="719"/>
      </w:tblGrid>
      <w:tr>
        <w:trPr>
          <w:tblHeader w:val="true"/>
        </w:trPr>
        <w:tc>
          <w:tcPr>
            <w:tcW w:w="7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Legitimacy</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Legal</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Public cost</w:t>
            </w:r>
          </w:p>
        </w:tc>
        <w:tc>
          <w:tcPr>
            <w:tcW w:w="7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Fairness</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Legitimacy ×2</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 ×2</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Fairness ×2</w:t>
            </w:r>
          </w:p>
        </w:tc>
        <w:tc>
          <w:tcPr>
            <w:tcW w:w="7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Public cost ×2</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R1. Commonwealth-led siting</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R2. Volunteer host plus willingness test (NWMO model)</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R3. R2 plus First Nations equity and loan guarantee</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r>
      <w:tr>
        <w:trPr/>
        <w:tc>
          <w:tcPr>
            <w:tcW w:w="7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R4. No SMR: firmed renewables</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7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r>
    </w:tbl>
    <w:p>
      <w:pPr>
        <w:pStyle w:val="BodyText"/>
        <w:rPr/>
      </w:pPr>
      <w:bookmarkStart w:id="244" w:name="X896d2bfe54b9a94cdd26775c3af798143bf33da"/>
      <w:r>
        <w:rPr/>
        <w:t>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(Section 3.7).</w:t>
      </w:r>
      <w:bookmarkEnd w:id="244"/>
    </w:p>
    <w:p>
      <w:pPr>
        <w:pStyle w:val="Heading5"/>
        <w:rPr/>
      </w:pPr>
      <w:bookmarkStart w:id="245" w:name="X7094c050e1e3614f8863513705ad571ff5d7276"/>
      <w:r>
        <w:rPr/>
        <w:t>B8.4 Who finances the Darlington New Nuclear Project</w:t>
      </w:r>
    </w:p>
    <w:p>
      <w:pPr>
        <w:pStyle w:val="FirstParagraph"/>
        <w:rPr/>
      </w:pPr>
      <w:r>
        <w:rPr>
          <w:i/>
          <w:iCs/>
        </w:rPr>
        <w:t>Table B40. Shares of the C$20.9 bn budget.</w:t>
      </w:r>
      <w:r>
        <w:rPr/>
        <w:t xml:space="preserve"> </w:t>
      </w:r>
      <w:r>
        <w:rPr>
          <w:i/>
          <w:iCs/>
        </w:rPr>
        <w:t xml:space="preserve">Source: </w:t>
      </w:r>
      <w:r>
        <w:rPr>
          <w:rStyle w:val="VerbatimChar"/>
          <w:i/>
          <w:iCs/>
        </w:rPr>
        <w:t>results/social_licence.md</w:t>
      </w:r>
      <w:r>
        <w:rPr>
          <w:i/>
          <w:iCs/>
        </w:rPr>
        <w:t xml:space="preserve"> section 4, from Government of Ontario (2025), Canada Growth Fund and Building Ontario Fund (2025), Canada Infrastructure Bank (2022), Williams Treaties First Nations et al.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Financier</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 bn</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of C$20.9 bn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Growth Fund equity (federal)</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Building Ontario Fund equity (Ontario)</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phase 1 (federal)</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loan converting to equity</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Remainder: OPG’s balance sheet, recovered through Ontario Energy Board rates</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16.23</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77.7%</w:t>
            </w:r>
          </w:p>
        </w:tc>
      </w:tr>
    </w:tbl>
    <w:p>
      <w:pPr>
        <w:pStyle w:val="BodyText"/>
        <w:rPr/>
      </w:pPr>
      <w:r>
        <w:rPr/>
        <w:t>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rPr/>
      </w:pPr>
      <w:r>
        <w:rPr>
          <w:b/>
          <w:bCs/>
        </w:rPr>
        <w:t>Limits.</w:t>
      </w:r>
      <w:r>
        <w:rPr/>
        <w:t xml:space="preserve"> All scores are judgements from secondary summaries. Local min–max scaling and the MCDA use of these scores are in B7. Job and waste figures in the Section 3.4.2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pPr>
        <w:pStyle w:val="normal1"/>
        <w:rPr/>
      </w:pPr>
      <w:bookmarkStart w:id="246" w:name="X7e33b522909f8daae3037d2691d3cd94d9b7c55"/>
      <w:bookmarkStart w:id="247" w:name="Xf511f31261708a0052acbe2a7ca6790c4cfa87f"/>
      <w:bookmarkStart w:id="248" w:name="X7094c050e1e3614f8863513705ad571ff5d7276"/>
      <w:r>
        <w:rPr/>
        <mc:AlternateContent>
          <mc:Choice Requires="wps">
            <w:drawing>
              <wp:inline distT="0" distB="0" distL="0" distR="0">
                <wp:extent cx="573151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46"/>
      <w:bookmarkEnd w:id="247"/>
      <w:bookmarkEnd w:id="248"/>
    </w:p>
    <w:p>
      <w:pPr>
        <w:pStyle w:val="Heading2"/>
        <w:rPr/>
      </w:pPr>
      <w:bookmarkStart w:id="249" w:name="__RefHeading___Toc52994_3211584216"/>
      <w:bookmarkStart w:id="250" w:name="X2538f2b2fc20c8063ffc88885f2cb513202a3b3"/>
      <w:bookmarkEnd w:id="249"/>
      <w:r>
        <w:rPr/>
        <w:t>Appendix C. Sensitivity: tornado and Monte Carlo set-up and results</w:t>
      </w:r>
    </w:p>
    <w:p>
      <w:pPr>
        <w:pStyle w:val="FirstParagraph"/>
        <w:rPr/>
      </w:pPr>
      <w:r>
        <w:rPr/>
        <w:t xml:space="preserve">This appendix shows how uncertain the Section 3.2 results are and which inputs drive them. </w:t>
      </w:r>
      <w:r>
        <w:rPr>
          <w:b/>
          <w:bCs/>
        </w:rPr>
        <w:t>The life-cycle intensity is uncertain mainly through the fuel inputs (conversion heat, mining, back end, burnup, enrichment); C1’s saving is uncertain mainly through the eligible share, the LC³ cut and the plant concrete volume.</w:t>
      </w:r>
      <w:r>
        <w:rPr/>
        <w:t xml:space="preserve"> All ranges come from </w:t>
      </w:r>
      <w:r>
        <w:rPr>
          <w:rStyle w:val="VerbatimChar"/>
        </w:rPr>
        <w:t>parameters_lca.yaml</w:t>
      </w:r>
      <w:r>
        <w:rPr/>
        <w:t>. The Ostrołęka and Pillai tables could not be opened and other inputs are as reported by secondary sources, assumptions or placeholders, so the intervals describe the uncertainty in our inputs as found, not in verified data.</w:t>
      </w:r>
    </w:p>
    <w:p>
      <w:pPr>
        <w:pStyle w:val="Heading4"/>
        <w:rPr/>
      </w:pPr>
      <w:bookmarkStart w:id="251" w:name="c1.-set-up"/>
      <w:r>
        <w:rPr/>
        <w:t>C1. Set-up</w:t>
      </w:r>
    </w:p>
    <w:p>
      <w:pPr>
        <w:pStyle w:val="Compact"/>
        <w:numPr>
          <w:ilvl w:val="0"/>
          <w:numId w:val="94"/>
        </w:numPr>
        <w:rPr/>
      </w:pPr>
      <w:r>
        <w:rPr>
          <w:b/>
          <w:bCs/>
        </w:rPr>
        <w:t>Tornado (one at a time).</w:t>
      </w:r>
      <w:r>
        <w:rPr/>
        <w:t xml:space="preserve"> Each of the 45 ranged inputs is set to its low and then its high value, with every other input at its central value. Outputs: life-cycle g CO₂e/kWh and C1’s saving (t CO₂e per unit, at 40% eligibility).</w:t>
      </w:r>
    </w:p>
    <w:p>
      <w:pPr>
        <w:pStyle w:val="Compact"/>
        <w:numPr>
          <w:ilvl w:val="0"/>
          <w:numId w:val="95"/>
        </w:numPr>
        <w:rPr/>
      </w:pPr>
      <w:r>
        <w:rPr>
          <w:b/>
          <w:bCs/>
        </w:rPr>
        <w:t>Monte Carlo.</w:t>
      </w:r>
      <w:r>
        <w:rPr/>
        <w:t xml:space="preserve"> N = 20,000 draws; seed 20261021; generator </w:t>
      </w:r>
      <w:r>
        <w:rPr>
          <w:rStyle w:val="VerbatimChar"/>
        </w:rPr>
        <w:t>numpy.random.default_rng</w:t>
      </w:r>
      <w:r>
        <w:rPr/>
        <w:t xml:space="preserve">. All 45 inputs are drawn </w:t>
      </w:r>
      <w:r>
        <w:rPr>
          <w:b/>
          <w:bCs/>
        </w:rPr>
        <w:t>independently</w:t>
      </w:r>
      <w:r>
        <w:rPr/>
        <w:t>: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pStyle w:val="Compact"/>
        <w:numPr>
          <w:ilvl w:val="0"/>
          <w:numId w:val="96"/>
        </w:numPr>
        <w:rPr/>
      </w:pPr>
      <w:r>
        <w:rPr>
          <w:b/>
          <w:bCs/>
        </w:rPr>
        <w:t>C1 in the draws.</w:t>
      </w:r>
      <w:r>
        <w:rPr/>
        <w:t xml:space="preserve"> Eligibility is drawn (triangular 0.2/0.4/0.6) in the headline saving; the 20/40/60% scenarios hold it fixed while everything else varies. Each draw’s saving is divided by the same draw’s life-cycle total.</w:t>
      </w:r>
    </w:p>
    <w:p>
      <w:pPr>
        <w:pStyle w:val="Compact"/>
        <w:numPr>
          <w:ilvl w:val="0"/>
          <w:numId w:val="97"/>
        </w:numPr>
        <w:rPr/>
      </w:pPr>
      <w:r>
        <w:rPr>
          <w:b/>
          <w:bCs/>
        </w:rPr>
        <w:t>Cross-check rule.</w:t>
      </w:r>
      <w:r>
        <w:rPr/>
        <w:t xml:space="preserve"> If a bottom-up draw’s whole-plant concrete falls below the cross-check C1 volume, the plant volume is set equal to it: 696 of 20,000 draws (3.5%). The main case never clips.</w:t>
      </w:r>
    </w:p>
    <w:p>
      <w:pPr>
        <w:pStyle w:val="Compact"/>
        <w:numPr>
          <w:ilvl w:val="0"/>
          <w:numId w:val="98"/>
        </w:numPr>
        <w:rPr/>
      </w:pPr>
      <w:r>
        <w:rPr>
          <w:b/>
          <w:bCs/>
        </w:rPr>
        <w:t>Outputs.</w:t>
      </w:r>
      <w:r>
        <w:rPr/>
        <w:t xml:space="preserve"> 5th, 50th and 95th percentiles and the mean. Stage means are additive, so they sum to the expected total.</w:t>
      </w:r>
    </w:p>
    <w:p>
      <w:pPr>
        <w:pStyle w:val="Compact"/>
        <w:numPr>
          <w:ilvl w:val="0"/>
          <w:numId w:val="99"/>
        </w:numPr>
        <w:rPr/>
      </w:pPr>
      <w:r>
        <w:rPr>
          <w:b/>
          <w:bCs/>
        </w:rPr>
        <w:t>Reproduce:</w:t>
      </w:r>
      <w:r>
        <w:rPr/>
        <w:t xml:space="preserve"> </w:t>
      </w:r>
      <w:r>
        <w:rPr>
          <w:rStyle w:val="VerbatimChar"/>
        </w:rPr>
        <w:t>python3 -I 03_LCA_Calculations/scripts/lca_uncertainty.py</w:t>
      </w:r>
      <w:r>
        <w:rPr/>
        <w:t>.</w:t>
      </w:r>
      <w:bookmarkEnd w:id="251"/>
    </w:p>
    <w:p>
      <w:pPr>
        <w:pStyle w:val="Heading4"/>
        <w:rPr/>
      </w:pPr>
      <w:bookmarkStart w:id="252" w:name="c2.-ranged-inputs-and-tornado-results"/>
      <w:r>
        <w:rPr/>
        <w:t>C2. Ranged inputs and tornado results</w:t>
      </w:r>
    </w:p>
    <w:p>
      <w:pPr>
        <w:pStyle w:val="FirstParagraph"/>
        <w:rPr/>
      </w:pPr>
      <w:r>
        <w:rPr>
          <w:b/>
          <w:bCs/>
        </w:rPr>
        <w:t>Result.</w:t>
      </w:r>
      <w:r>
        <w:rPr/>
        <w:t xml:space="preserve"> Five fuel-cycle inputs each move the life-cycle total by more than 0.6 g/kWh. No concrete input moves it by more than 0.06 g/kWh; plant steel moves it by 0.11 and the construction uplift by 0.34.</w:t>
      </w:r>
    </w:p>
    <w:p>
      <w:pPr>
        <w:pStyle w:val="BodyText"/>
        <w:rPr/>
      </w:pPr>
      <w:r>
        <w:rPr>
          <w:i/>
          <w:iCs/>
        </w:rPr>
        <w:t>Table C2. The 29 ranged inputs that affect the main case, their basis and tornado results (ranked by swing in life-cycle intensity; the other 16 are listed below).</w:t>
      </w:r>
      <w:r>
        <w:rPr/>
        <w:t xml:space="preserve"> </w:t>
      </w:r>
      <w:r>
        <w:rPr>
          <w:i/>
          <w:iCs/>
        </w:rPr>
        <w:t xml:space="preserve">Source: </w:t>
      </w:r>
      <w:r>
        <w:rPr>
          <w:rStyle w:val="VerbatimChar"/>
          <w:i/>
          <w:iCs/>
        </w:rPr>
        <w:t>parameters_lca.yaml</w:t>
      </w:r>
      <w:r>
        <w:rPr>
          <w:i/>
          <w:iCs/>
        </w:rPr>
        <w:t xml:space="preserve">; </w:t>
      </w:r>
      <w:r>
        <w:rPr>
          <w:rStyle w:val="VerbatimChar"/>
          <w:i/>
          <w:iCs/>
        </w:rPr>
        <w:t>results/lca_tornado.csv</w:t>
      </w:r>
      <w:r>
        <w:rPr>
          <w:i/>
          <w:iCs/>
        </w:rPr>
        <w:t>. P = placeholder, A = assumption; other rows are as reported by the source named. Distribution triangular unless stated. “—” = no effect on C1’s saving (2,200 t at 40% eligibility). Low, central and high are model input bounds, not result intervals.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(unit)</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Low / central / high</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Life-cycle g/kWh at low → high (swing)</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saving t at low → high</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 26 / 665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5.533 (2.669)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(kg CO₂e/kg U₃O₈)</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 / 42 / 81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2.425 → 3.815 (1.390)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0.28 / 0.56 / 1.11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2.584 → 3.414 (0.830)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(GWd/t)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45 / 55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3.281 → 2.599 (0.682)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 U-235)</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 / 3.8 / 4.95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Sun and Kurosaki (2025); low A; 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2.694 → 3.357 (0.663)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0.17 / 0.33 / 0.67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2.704 → 3.204 (0.500)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Enrichment-plant grid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0.05 / 0.373 / 0.637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CO₂ only; low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2.629 → 3.056 (0.427)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construction uplift (fraction)</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0.25 / 0.5 / 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2.797 → 3.135 (0.338)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energy (kWh/SWU)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 50 / 100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2.810 → 3.136 (0.326)</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 life (years)</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 60 / 80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Canadian Nuclear Safety Commission (2024); bounds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3.067 → 2.763 (0.304)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 / 0.11 / 0.33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2.814 → 3.084 (0.270)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Tails assay (% U-235)</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 / 0.25 / 0.30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2.800 → 2.960 (0.160)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steel per unit (t)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11,200 / 14,000 / 16,800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2.812 → 2.917 (0.105)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 (MWe), uniform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 300 / 315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Nuclear Energy (n.d.); Ontario Power Generation (2025b); 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2.775 (0.089)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 (t CO₂e/t)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1.22 / 1.73 / 2.50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 high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2.829 → 2.917 (0.088)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factor (t CO₂e/t)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0.89 / 0.97 / 1.99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American Institute of Steel Construction (2022); Circular Ecology (2019)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2.858 → 2.945 (0.087)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Conversion-plant grid, Ontario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0.035 / 0.0738 / 0.343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Canada Energy Regulator (n.d.)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2.855 → 2.930 (0.075)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 / 0.90 / 0.95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2.915 → 2.843 (0.072)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ratio (t/m³)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 / 0.15 / 0.25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(high = forebay)</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2.884 → 2.824 (0.060)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per unit (m³)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40,000 / 50,000 / 60,000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2.836 → 2.893 (0.057)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1,760 → 2,640</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OPC concrete factor (kg CO₂e/m³)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 / 380 / 420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2.838 → 2.885 (0.048)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1,911 → 2,432</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Fabrication-plant grid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 / 0.373 / 0.637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CO₂ only; low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2.848 → 2.890 (0.042)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haul distance (km)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 / 500 / 1,500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2.858 → 2.879 (0.021)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 energy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 / 36 / 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2.878 (0.014)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electricity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10.3 / 11.8 / 16.9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2.862 → 2.872 (0.010)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Truck factor (kg CO₂e/t-km)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 / 0.10 / 0.15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2.861 → 2.869 (0.008)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haul distance (km)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 15 / 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2.863 → 2.869 (0.006)</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cut in concrete emissions</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0.22 / 0.289 / 0.39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change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1,672 → 2,964</w:t>
            </w:r>
          </w:p>
        </w:tc>
      </w:tr>
      <w:tr>
        <w:trPr/>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Eligible share of plant concrete</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0.4 / 0.6</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non-safety works first</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change</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 → 3,300</w:t>
            </w:r>
          </w:p>
        </w:tc>
      </w:tr>
    </w:tbl>
    <w:p>
      <w:pPr>
        <w:pStyle w:val="BodyText"/>
        <w:rPr/>
      </w:pPr>
      <w:bookmarkStart w:id="253" w:name="c2.-ranged-inputs-and-tornado-results"/>
      <w:r>
        <w:rPr/>
        <w:t>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bookmarkEnd w:id="253"/>
    </w:p>
    <w:p>
      <w:pPr>
        <w:pStyle w:val="Heading4"/>
        <w:rPr/>
      </w:pPr>
      <w:bookmarkStart w:id="254" w:name="X8f754cc28aabff45bd5ffa0c19e17af6b52329b"/>
      <w:r>
        <w:rPr/>
        <w:t>C3. What the tornado shows, and where the emissions arise</w:t>
      </w:r>
    </w:p>
    <w:p>
      <w:pPr>
        <w:pStyle w:val="FirstParagraph"/>
        <w:rPr/>
      </w:pPr>
      <w:r>
        <w:rPr>
          <w:b/>
          <w:bCs/>
        </w:rPr>
        <w:t>Life-cycle intensity (Figure F3, left).</w:t>
      </w:r>
      <w:r>
        <w:rPr/>
        <w:t xml:space="preserve"> The ranking is dominated by the fuel chain. Conversion heat alone could double the result, because the published heat demand spans a factor of 25 (26–665 kWh/kg U). The mining factor ranks second because ore grade varies widely between Saskatchewan mines. Higher burnup </w:t>
      </w:r>
      <w:r>
        <w:rPr>
          <w:i/>
          <w:iCs/>
        </w:rPr>
        <w:t>lowers</w:t>
      </w:r>
      <w:r>
        <w:rPr/>
        <w:t xml:space="preserve"> the result (less uranium per MWh) and higher enrichment raises it (more separative work). Of the construction inputs, only the uplift (0.34) and plant steel (0.11) exceed 0.1 g/kWh.</w:t>
      </w:r>
    </w:p>
    <w:p>
      <w:pPr>
        <w:pStyle w:val="BodyText"/>
        <w:rPr/>
      </w:pPr>
      <w:r>
        <w:rPr>
          <w:b/>
          <w:bCs/>
        </w:rPr>
        <w:t>C1’s saving (Figure F3, right).</w:t>
      </w:r>
      <w:r>
        <w:rPr/>
        <w:t xml:space="preserve"> 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rPr/>
      </w:pPr>
      <w:r>
        <w:rPr>
          <w:i/>
          <w:iCs/>
        </w:rPr>
        <w:t>Table C3. Expected life-cycle emissions by stage (Monte Carlo mean) against the mode case.</w:t>
      </w:r>
      <w:r>
        <w:rPr/>
        <w:t xml:space="preserve"> </w:t>
      </w:r>
      <w:r>
        <w:rPr>
          <w:i/>
          <w:iCs/>
        </w:rPr>
        <w:t xml:space="preserve">Source: </w:t>
      </w:r>
      <w:r>
        <w:rPr>
          <w:rStyle w:val="VerbatimChar"/>
          <w:i/>
          <w:iCs/>
        </w:rPr>
        <w:t>results/lca_uncertainty.md</w:t>
      </w:r>
      <w:r>
        <w:rPr>
          <w:i/>
          <w:iCs/>
        </w:rPr>
        <w:t>; last column is our subtraction (mean − mode).</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 g/kWh</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g/kWh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of mean</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 mode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mining and milling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1.261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0.760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+0.237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conversion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2.392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24.6%</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spent fuel and disposal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0.651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0.387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0.961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0.390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0.233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+0.060</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enrichment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0.634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other materials and site energy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0.386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0.167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0.178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rebar</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plate, structural and equipment steel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0.079</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0.064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transport to site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+0.003</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4.487</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+1.623</w:t>
            </w:r>
          </w:p>
        </w:tc>
      </w:tr>
    </w:tbl>
    <w:p>
      <w:pPr>
        <w:pStyle w:val="BodyText"/>
        <w:rPr/>
      </w:pPr>
      <w:bookmarkStart w:id="255" w:name="X8f754cc28aabff45bd5ffa0c19e17af6b52329b"/>
      <w:r>
        <w:rPr/>
        <w:t>Grouped (expected basis): fuel front end 61.6%, back end and decommissioning 18.2%, O&amp;M 8.7%, construction 11.5% (0.515 / 4.487). Mode-case shares are 50.9, 23.4, 11.5 and 14.2%. Construction’s share has a Monte Carlo median of 11.5% (P5–P95 7.2–17.8%). All concrete is 3.0–4.7% of the total.</w:t>
      </w:r>
      <w:bookmarkEnd w:id="255"/>
    </w:p>
    <w:p>
      <w:pPr>
        <w:pStyle w:val="Heading4"/>
        <w:rPr/>
      </w:pPr>
      <w:r>
        <w:rPr/>
        <w:t>C4. Monte Carlo results</w:t>
      </w:r>
    </w:p>
    <w:p>
      <w:pPr>
        <w:pStyle w:val="FirstParagraph"/>
        <w:rPr/>
      </w:pPr>
      <w:r>
        <w:rPr>
          <w:b/>
          <w:bCs/>
        </w:rPr>
        <w:t>Result.</w:t>
      </w:r>
      <w:r>
        <w:rPr/>
        <w:t xml:space="preserve"> Life-cycle intensity: </w:t>
      </w:r>
      <w:r>
        <w:rPr>
          <w:b/>
          <w:bCs/>
        </w:rPr>
        <w:t>median 4.40, 90% interval 3.24–6.05 g CO₂e/kWh</w:t>
      </w:r>
      <w:r>
        <w:rPr/>
        <w:t xml:space="preserve">. C1’s saving at central eligibility: </w:t>
      </w:r>
      <w:r>
        <w:rPr>
          <w:b/>
          <w:bCs/>
        </w:rPr>
        <w:t>median 2,217 t per unit (1,375–3,294)</w:t>
      </w:r>
      <w:r>
        <w:rPr/>
        <w:t xml:space="preserve"> and </w:t>
      </w:r>
      <w:r>
        <w:rPr>
          <w:b/>
          <w:bCs/>
        </w:rPr>
        <w:t>6,651 t for Units 2–4 (4,124–9,881)</w:t>
      </w:r>
      <w:r>
        <w:rPr/>
        <w:t xml:space="preserve">. LC³ saves more than slag in </w:t>
      </w:r>
      <w:r>
        <w:rPr>
          <w:b/>
          <w:bCs/>
        </w:rPr>
        <w:t>55%</w:t>
      </w:r>
      <w:r>
        <w:rPr/>
        <w:t xml:space="preserve"> of draws.</w:t>
      </w:r>
    </w:p>
    <w:p>
      <w:pPr>
        <w:pStyle w:val="BodyText"/>
        <w:rPr/>
      </w:pPr>
      <w:r>
        <w:rPr>
          <w:i/>
          <w:iCs/>
        </w:rPr>
        <w:t>Table C4a. Monte Carlo outputs (20,000 draws, seed 20261021).</w:t>
      </w:r>
      <w:r>
        <w:rPr/>
        <w:t xml:space="preserve"> </w:t>
      </w:r>
      <w:r>
        <w:rPr>
          <w:i/>
          <w:iCs/>
        </w:rPr>
        <w:t xml:space="preserve">Source: </w:t>
      </w:r>
      <w:r>
        <w:rPr>
          <w:rStyle w:val="VerbatimChar"/>
          <w:i/>
          <w:iCs/>
        </w:rPr>
        <w:t>results/lca_uncertainty.md</w:t>
      </w:r>
      <w:r>
        <w:rPr>
          <w:i/>
          <w:iCs/>
        </w:rPr>
        <w:t xml:space="preserve">, </w:t>
      </w:r>
      <w:r>
        <w:rPr>
          <w:rStyle w:val="VerbatimChar"/>
          <w:i/>
          <w:iCs/>
        </w:rPr>
        <w:t>lca_montecarlo_summary.csv</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intensity (g CO₂e/kWh)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4.487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front end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1.586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of which mining and milling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0.760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0.515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0.347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0.736</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share of life cycle (%)</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14.17</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11.83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7.19</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11.45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17.78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(m³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43,224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56,772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 (m³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12,886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19,879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27,540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LC³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2,259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 CO₂e)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as share of the unit’s life cycle (%)</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0.373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0.195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0.614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saving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2,193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minus slag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588</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766</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life-cycle intensity (g/kWh)</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2.701</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4.293</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3.050</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4.199</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5.863</w:t>
            </w:r>
          </w:p>
        </w:tc>
      </w:tr>
    </w:tbl>
    <w:p>
      <w:pPr>
        <w:pStyle w:val="BodyText"/>
        <w:rPr/>
      </w:pPr>
      <w:r>
        <w:rPr/>
        <w:t>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rPr/>
      </w:pPr>
      <w:r>
        <w:rPr>
          <w:i/>
          <w:iCs/>
        </w:rPr>
        <w:t>Table C4b. Scenario savings and life-cycle shares on the Monte Carlo basis (the basis of Table T5 in Section 3.2.3 and Table A7b).</w:t>
      </w:r>
      <w:r>
        <w:rPr/>
        <w:t xml:space="preserve"> </w:t>
      </w:r>
      <w:r>
        <w:rPr>
          <w:i/>
          <w:iCs/>
        </w:rPr>
        <w:t xml:space="preserve">Source: </w:t>
      </w:r>
      <w:r>
        <w:rPr>
          <w:rStyle w:val="VerbatimChar"/>
          <w:i/>
          <w:iCs/>
        </w:rPr>
        <w:t>results/lca_uncertainty.md</w:t>
      </w:r>
      <w:r>
        <w:rPr>
          <w:i/>
          <w:iCs/>
        </w:rPr>
        <w:t>. Each draw’s saving is divided by the same draw’s S0 life-cycle total. S3 rows are steel sensitivities, not part of C1; S3 world-average is negative (adds emissions).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Saving, t per unit: median (5th–95th)</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 %: median (5th–95th)</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Mode-case share, %</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LC³ on 40% (eligibility drawn)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2,217 (1,375–3,294)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0.355 (0.195–0.614)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S1 slag blend on the same 40% (fallback)</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2,140 (1,310–3,238)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0.343 (0.185–0.602)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0.563</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LC³ in infill and forebay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1,750 (1,389–2,152)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0.293 (0.187–0.458)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S2b LC³ on 40% plus slag elsewhere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5,517 (4,346–6,841)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0.886 (0.566–1.357)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1.386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like-for-like (target-structure steel)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940 (415–1,580)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0.149 (0.062–0.283)</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upper bound (all steel, sections factors)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6,428 (2,521–11,486)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1.025 (0.382–2.041)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0.963</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world-average steel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9,914 (−14,037 to −4,904)</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1.559 (−2.700 to −0.717)</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3.114</w:t>
            </w:r>
            <w:bookmarkStart w:id="256" w:name="c4.-monte-carlo-results"/>
            <w:bookmarkEnd w:id="256"/>
          </w:p>
        </w:tc>
      </w:tr>
    </w:tbl>
    <w:p>
      <w:pPr>
        <w:pStyle w:val="Heading4"/>
        <w:rPr/>
      </w:pPr>
      <w:r>
        <w:rPr/>
        <w:t>C5. Why the median (4.40) sits above the mode case (2.86)</w:t>
      </w:r>
    </w:p>
    <w:p>
      <w:pPr>
        <w:pStyle w:val="FirstParagraph"/>
        <w:rPr/>
      </w:pPr>
      <w:r>
        <w:rPr>
          <w:b/>
          <w:bCs/>
        </w:rPr>
        <w:t>Result.</w:t>
      </w:r>
      <w:r>
        <w:rPr/>
        <w:t xml:space="preserve"> The gap is real information, not an error: the inputs we know least about have long upper tails, so they can mostly push the result up.</w:t>
      </w:r>
    </w:p>
    <w:p>
      <w:pPr>
        <w:pStyle w:val="Compact"/>
        <w:numPr>
          <w:ilvl w:val="0"/>
          <w:numId w:val="100"/>
        </w:numPr>
        <w:rPr/>
      </w:pPr>
      <w:r>
        <w:rPr/>
        <w:t>A triangular distribution’s mean is (low + mode + high) / 3. For conversion heat that is (26 + 26 + 665) / 3 ≈ 239 kWh/kg U, nine times the mode of 26.</w:t>
      </w:r>
    </w:p>
    <w:p>
      <w:pPr>
        <w:pStyle w:val="Compact"/>
        <w:numPr>
          <w:ilvl w:val="0"/>
          <w:numId w:val="101"/>
        </w:numPr>
        <w:rPr/>
      </w:pPr>
      <w:r>
        <w:rPr/>
        <w:t>Conversion therefore contributes +0.98 of the +1.62 g/kWh gap (Table C3). Mining (+0.24), the back end (+0.09), enrichment (+0.08), the construction uplift (+0.09), O&amp;M (+0.06) and decommissioning (+0.06) add most of the rest.</w:t>
      </w:r>
    </w:p>
    <w:p>
      <w:pPr>
        <w:pStyle w:val="Compact"/>
        <w:numPr>
          <w:ilvl w:val="0"/>
          <w:numId w:val="102"/>
        </w:numPr>
        <w:rPr/>
      </w:pPr>
      <w:r>
        <w:rPr/>
        <w:t>C1’s saving is almost symmetric (mode 2,200 t, median 2,217 t), so its share of the total falls from 0.54% at the mode case to 0.36%.</w:t>
      </w:r>
    </w:p>
    <w:p>
      <w:pPr>
        <w:pStyle w:val="Compact"/>
        <w:numPr>
          <w:ilvl w:val="0"/>
          <w:numId w:val="103"/>
        </w:numPr>
        <w:rPr/>
      </w:pPr>
      <w:r>
        <w:rPr/>
        <w:t>We quote the median as the result and the mode case only as “every input at its most likely value”. A measured conversion value would collapse most of the gap.</w:t>
      </w:r>
    </w:p>
    <w:p>
      <w:pPr>
        <w:pStyle w:val="Compact"/>
        <w:numPr>
          <w:ilvl w:val="0"/>
          <w:numId w:val="104"/>
        </w:numPr>
        <w:rPr/>
      </w:pPr>
      <w:r>
        <w:rP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Section 3.2 reports the </w:t>
      </w:r>
      <w:r>
        <w:rPr>
          <w:b/>
          <w:bCs/>
        </w:rPr>
        <w:t>range of medians, 3.51–4.40 g CO₂e/kWh</w:t>
      </w:r>
      <w:r>
        <w:rPr/>
        <w:t>. Conversion heat accounts for about 0.9 g/kWh of the median (4.40 − 3.51) and decides how skewed the result is.</w:t>
      </w:r>
    </w:p>
    <w:p>
      <w:pPr>
        <w:pStyle w:val="FirstParagraph"/>
        <w:rPr/>
      </w:pPr>
      <w:r>
        <w:rPr>
          <w:i/>
          <w:iCs/>
        </w:rPr>
        <w:t>Table C5. Conversion-heat distribution test (life-cycle g CO₂e/kWh).</w:t>
      </w:r>
      <w:r>
        <w:rPr/>
        <w:t xml:space="preserve"> </w:t>
      </w:r>
      <w:r>
        <w:rPr>
          <w:i/>
          <w:iCs/>
        </w:rPr>
        <w:t xml:space="preserve">Source: </w:t>
      </w:r>
      <w:r>
        <w:rPr>
          <w:rStyle w:val="VerbatimChar"/>
          <w:i/>
          <w:iCs/>
        </w:rPr>
        <w:t>results/lca_uncertainty.md</w:t>
      </w:r>
      <w:r>
        <w:rPr>
          <w:i/>
          <w:iCs/>
        </w:rPr>
        <w:t>. C1’s share is the headline saving with eligibility drawn.</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Conversion-heat distribution</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heat (kWh/kg U)</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share, % median (P5–P95)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Triangular 26 / 26 / 665 (headline)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4.487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0.355 (0.195–0.614)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Fixed at 26 (Gibon and Hahn Menacho, 2023)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2.797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3.506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4.391</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0.446 (0.258–0.734)</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Log-uniform 26–665</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4.294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4.113</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6.116</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0.373 (0.200–0.650)</w:t>
            </w:r>
          </w:p>
        </w:tc>
      </w:tr>
    </w:tbl>
    <w:p>
      <w:pPr>
        <w:pStyle w:val="Heading4"/>
        <w:rPr/>
      </w:pPr>
      <w:r>
        <w:rPr/>
        <w:t>C6. Limitations of the uncertainty analysis</w:t>
      </w:r>
    </w:p>
    <w:p>
      <w:pPr>
        <w:pStyle w:val="Compact"/>
        <w:numPr>
          <w:ilvl w:val="0"/>
          <w:numId w:val="105"/>
        </w:numPr>
        <w:rPr/>
      </w:pPr>
      <w:r>
        <w:rPr>
          <w:b/>
          <w:bCs/>
        </w:rPr>
        <w:t>Independence.</w:t>
      </w:r>
      <w:r>
        <w:rPr/>
        <w:t xml:space="preserve"> Inputs are drawn independently. Concrete and steel quantities are probably positively correlated, and enrichment and burnup are linked in practice; the effect on the total is small because construction is about 11.5%.</w:t>
      </w:r>
    </w:p>
    <w:p>
      <w:pPr>
        <w:pStyle w:val="Compact"/>
        <w:numPr>
          <w:ilvl w:val="0"/>
          <w:numId w:val="106"/>
        </w:numPr>
        <w:rPr/>
      </w:pPr>
      <w:r>
        <w:rPr>
          <w:b/>
          <w:bCs/>
        </w:rPr>
        <w:t>Ranges partly judgement.</w:t>
      </w:r>
      <w:r>
        <w:rPr/>
        <w:t xml:space="preserve"> The ±20% on the Ostrołęka quantities, the eligible share, the LC³ cut range and the ×0.5 to ×2 transfer ranges on the EDF stages are assumptions, not data.</w:t>
      </w:r>
    </w:p>
    <w:p>
      <w:pPr>
        <w:pStyle w:val="Compact"/>
        <w:numPr>
          <w:ilvl w:val="0"/>
          <w:numId w:val="107"/>
        </w:numPr>
        <w:rPr/>
      </w:pPr>
      <w:r>
        <w:rPr>
          <w:b/>
          <w:bCs/>
        </w:rPr>
        <w:t>Triangular shape.</w:t>
      </w:r>
      <w:r>
        <w:rPr/>
        <w:t xml:space="preserve"> A convention, not a fitted distribution; Table C5 tests it for conversion heat only.</w:t>
      </w:r>
    </w:p>
    <w:p>
      <w:pPr>
        <w:pStyle w:val="Compact"/>
        <w:numPr>
          <w:ilvl w:val="0"/>
          <w:numId w:val="108"/>
        </w:numPr>
        <w:rPr/>
      </w:pPr>
      <w:r>
        <w:rPr>
          <w:b/>
          <w:bCs/>
        </w:rPr>
        <w:t>Inputs as found.</w:t>
      </w:r>
      <w:r>
        <w:rPr/>
        <w:t xml:space="preserve"> The Ostrołęka and Pillai tables were not opened. The intervals will move when they are.</w:t>
      </w:r>
    </w:p>
    <w:p>
      <w:pPr>
        <w:pStyle w:val="Compact"/>
        <w:numPr>
          <w:ilvl w:val="0"/>
          <w:numId w:val="109"/>
        </w:numPr>
        <w:rPr/>
      </w:pPr>
      <w:r>
        <w:rPr>
          <w:b/>
          <w:bCs/>
        </w:rPr>
        <w:t>Model structure not varied.</w:t>
      </w:r>
      <w:r>
        <w:rPr/>
        <w:t xml:space="preserve"> The boundary (process-based stages plus three stages transferred as per-kWh values) and the cut-offs (Section 3.2.1) are not sampled; they bias the result low (C7).</w:t>
      </w:r>
    </w:p>
    <w:p>
      <w:pPr>
        <w:pStyle w:val="Heading4"/>
        <w:rPr/>
      </w:pPr>
      <w:bookmarkStart w:id="257" w:name="X35b5ee5f237d4555b3db06902854d0e23ac87dc"/>
      <w:r>
        <w:rPr/>
        <w:t>C7. Why our result differs from the benchmarks</w:t>
      </w:r>
    </w:p>
    <w:p>
      <w:pPr>
        <w:pStyle w:val="FirstParagraph"/>
        <w:rPr/>
      </w:pPr>
      <w:r>
        <w:rPr>
          <w:b/>
          <w:bCs/>
        </w:rPr>
        <w:t>Result.</w:t>
      </w:r>
      <w:r>
        <w:rPr/>
        <w:t xml:space="preserve"> Our median is below UNECE’s range but our 90% interval overlaps it; the main reasons are ore grade, enrichment technology and cut-offs.</w:t>
      </w:r>
    </w:p>
    <w:p>
      <w:pPr>
        <w:pStyle w:val="BodyText"/>
        <w:rPr/>
      </w:pPr>
      <w:r>
        <w:rPr>
          <w:i/>
          <w:iCs/>
        </w:rPr>
        <w:t>Table C7a. Published life-cycle values against ours (g CO₂e/kWh).</w:t>
      </w:r>
      <w:r>
        <w:rPr/>
        <w:t xml:space="preserve"> </w:t>
      </w:r>
      <w:r>
        <w:rPr>
          <w:i/>
          <w:iCs/>
        </w:rPr>
        <w:t>Source: this study; references as listed. Benchmark values are as reported in the sources named and were not independently checked.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Ours against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This study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4.40 median (3.24–6.05); range of medians 3.51–4.40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United Nations Economic Commission for Europe (2021), nuclear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5.1–6.4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below the range; our 90% interval overlaps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IPCC AR5 Annex III (Schlömer et al., 2014)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3.7 / 12 / 110 (minimum / median / maximum, as commonly quoted)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Near the minimum, well below the median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Warner and Heath (2012), harmonised light-water reactors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12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a third of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French fleet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3.7 (2.9–4.6)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Overlaps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 global 2020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Carless, Griffin and Fischbeck (2016), Westinghouse SMR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9.1 (5.9–13.2)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gas combined cycle (United Nations Economic Commission for Europe, 2021)</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751–1,095; 403–513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170–250 and 90–120 times higher than ours</w:t>
            </w:r>
          </w:p>
        </w:tc>
      </w:tr>
    </w:tbl>
    <w:p>
      <w:pPr>
        <w:pStyle w:val="BodyText"/>
        <w:rPr/>
      </w:pPr>
      <w:r>
        <w:rPr>
          <w:i/>
          <w:iCs/>
        </w:rPr>
        <w:t>Table C7b. Why our result differs from the benchmarks: direction and size of each reason.</w:t>
      </w:r>
      <w:r>
        <w:rPr/>
        <w:t xml:space="preserve"> </w:t>
      </w:r>
      <w:r>
        <w:rPr>
          <w:i/>
          <w:iCs/>
        </w:rPr>
        <w:t>Source: this study (Appendices A and C), with the references as listed.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Reason</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our 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Size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High-grade Canadian ore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mining is 1.0–1.3 g/kWh; at global-average grades Gibon and Hahn Menacho (2023) attribute 46% of 6.1, about 2.8 g/kWh, to it. This explains most of the gap to UNECE and Gibon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enrichment only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than older studies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kWh/SWU against about 2,500 for the diffusion plants in older study sets (Gibon and Hahn Menacho, 2023; Warner and Heath, 2012)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Energy-only fuel inventory (cut-offs)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quantified (chemicals, cladding, upstream gas, fuel-plant capital goods excluded)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 close to large reactors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0.41 g/kWh at the mode case, 0.50 median (0.35–0.74), against about 0.59 for large reactors (16% of 3.7; EDF R&amp;D, 2024). The SMR scale penalty shows: 167 m³ of concrete per MWe against 69 for the ESBWR and 138 for the ABWR (Peterson, Zhao and Petroski, 2005)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 life and high capacity factor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At 40 years instead of 60, the mode case rises from 2.86 to 3.07 g/kWh</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and back end transferred from France (reprocessing)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Possibly higher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plans direct disposal; back-end range 0.28–1.11 g/kWh tested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rather than large reactor</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Small</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Carless, Griffin and Fischbeck (2016) give 9.1 for an SMR against 8.4 for the AP1000, mainly through the fuel cycle; our construction share is too small for scale effects to move the total much</w:t>
            </w:r>
          </w:p>
        </w:tc>
      </w:tr>
    </w:tbl>
    <w:p>
      <w:pPr>
        <w:pStyle w:val="BodyText"/>
        <w:rPr/>
      </w:pPr>
      <w:r>
        <w:rPr/>
        <w:t>The sources disagree mainly about the fuel front end (ore grade, enrichment technology and grid), not construction, and that is where our result departs from them. The known low bias would raise the total and make C1’s share smaller still, so it does not weaken Section 3.2.3.</w:t>
      </w:r>
    </w:p>
    <w:p>
      <w:pPr>
        <w:pStyle w:val="normal1"/>
        <w:rPr/>
      </w:pPr>
      <w:bookmarkStart w:id="258" w:name="X2538f2b2fc20c8063ffc88885f2cb513202a3b3"/>
      <w:bookmarkStart w:id="259" w:name="X35b5ee5f237d4555b3db06902854d0e23ac87dc"/>
      <w:r>
        <w:rPr/>
        <mc:AlternateContent>
          <mc:Choice Requires="wps">
            <w:drawing>
              <wp:inline distT="0" distB="0" distL="0" distR="0">
                <wp:extent cx="573151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58"/>
      <w:bookmarkEnd w:id="259"/>
    </w:p>
    <w:p>
      <w:pPr>
        <w:pStyle w:val="Heading2"/>
        <w:rPr/>
      </w:pPr>
      <w:bookmarkStart w:id="260" w:name="__RefHeading___Toc52996_3211584216"/>
      <w:bookmarkStart w:id="261" w:name="appendix-e.-search-log"/>
      <w:bookmarkEnd w:id="260"/>
      <w:r>
        <w:rPr/>
        <w:t>Appendix E. Search log</w:t>
      </w:r>
    </w:p>
    <w:p>
      <w:pPr>
        <w:pStyle w:val="Heading4"/>
        <w:rPr/>
      </w:pPr>
      <w:bookmarkStart w:id="262" w:name="e1.-method-and-access"/>
      <w:r>
        <w:rPr/>
        <w:t>E1. Method and access</w:t>
      </w:r>
    </w:p>
    <w:p>
      <w:pPr>
        <w:pStyle w:val="FirstParagraph"/>
        <w:rPr/>
      </w:pPr>
      <w:r>
        <w:rPr/>
        <w:t>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rPr/>
      </w:pPr>
      <w:r>
        <w:rPr/>
        <w:t xml:space="preserve">Google Patents (patents.google.com) </w:t>
      </w:r>
      <w:r>
        <w:rPr>
          <w:b/>
          <w:bCs/>
        </w:rPr>
        <w:t>could not be reached</w:t>
      </w:r>
      <w:r>
        <w:rPr/>
        <w:t xml:space="preserve"> from the research environment (DNS failure). Justia, Espacenet, Lens, PatentsView, USPTO Patent Public Search and Google Scholar also failed to connect. Google Patents result counts are therefore </w:t>
      </w:r>
      <w:r>
        <w:rPr>
          <w:b/>
          <w:bCs/>
        </w:rPr>
        <w:t>not available</w:t>
      </w:r>
      <w:r>
        <w:rPr/>
        <w:t>. Instead, each string was run through a general web search, which returns about 9–10 links per query. Patent records were identified from those links and their summaries. The “hits” column below counts the patent records found, not database hits. Assignees, dates and claims are as given in search summaries; the patent pages were not opened, so they are indicative only.</w:t>
      </w:r>
      <w:bookmarkEnd w:id="262"/>
    </w:p>
    <w:p>
      <w:pPr>
        <w:pStyle w:val="Heading4"/>
        <w:rPr/>
      </w:pPr>
      <w:bookmarkStart w:id="263" w:name="e2.-search-strings-and-results"/>
      <w:r>
        <w:rPr/>
        <w:t>E2. Search strings and results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Area</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Search string (web search)</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Links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Patent records found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patent isolation condenser small modular boiling water reactor US patent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(US 10,867,712 B2; US 12,308,130)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US10867712B2 isolation condenser systems … assignee GE-Hitachi inventors</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(one family: US, WO, CA, JP, PL)</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US12308130 simplified nuclear reactor isolation condenser integrally isolatable connections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(US 12,308,130 B2; US 11,139,087; US 11,955,248)</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Nuclear Energy patent “reactor building” below grade vertical shaft small modular reactor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(US 2020/0208517 A1; US 11,842,821)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US20200208517 “Underground vertical shafts and nuclear reactors using the same”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family (EP 3906566), plus 2 older underground-reactor patents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steel-plate composite modular wall nuclear “steel plate composite” diaphragm plate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“steel-concrete composite” module nuclear plant construction Westinghouse OR GE-Hitachi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 plate concrete composite wall modules “diaphragm plates” flow holes nuclear GE Hitachi Purdue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limestone calcined clay cement LC3 Scrivener EPFL patent WO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patents.google.com “calcined clay” limestone cement composition patent kaolinite clinker replacement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(US 8,906,155 B2; US 2014/0000491; KR 10-2843101 B1; US 2023/0312412 A1; WO 2022/043349 A1)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US20230312412A1 limestone calcined clay cement construction composition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(US 11,939,273 B2; US 2023/0202926 A1; US 2023/0036470 A1)</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 “increase of workability” binder … calcined clay limestone assignee</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(EP 3925941 A1; EP 4168371; US 2025/0187980 A1)</w:t>
            </w:r>
          </w:p>
        </w:tc>
      </w:tr>
    </w:tbl>
    <w:p>
      <w:pPr>
        <w:pStyle w:val="BodyText"/>
        <w:rPr/>
      </w:pPr>
      <w:r>
        <w:rPr>
          <w:b/>
          <w:bCs/>
        </w:rPr>
        <w:t>Result for (ii).</w:t>
      </w:r>
      <w:r>
        <w:rPr/>
        <w:t xml:space="preserve"> 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 </w:t>
      </w:r>
      <w:r>
        <w:rPr>
          <w:b/>
          <w:bCs/>
        </w:rPr>
        <w:t>Gap: search Google Patents for “diaphragm plate” with assignee GE-Hitachi Nuclear Energy Americas when the host is reachable.</w:t>
      </w:r>
      <w:bookmarkEnd w:id="263"/>
    </w:p>
    <w:p>
      <w:pPr>
        <w:pStyle w:val="Heading4"/>
        <w:rPr/>
      </w:pPr>
      <w:bookmarkStart w:id="264" w:name="e3.-patents-kept"/>
      <w:r>
        <w:rPr/>
        <w:t>E3. Patents kept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Title</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Year</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 to this report</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 (family WO 2019/005465 A1, CA 3067552 A1, JP 7234150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systems for nuclear reactor commercial electricity generation</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Nuclear Energy Americas LLC</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Filed 2017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passive decay-heat system behind the BWRX-300’s 7-day no-power claim (Section 3.1.2)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Reactor condition controlled check valve permits coolant to flow from a reservoir to an isolation condenser chamber</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 (search summary only); inventors named as Hunt, Dahlgren and Marquino</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Passive make-up of the condenser pool: how cooling extends beyond 7 days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 (EP 3906566)</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shafts and nuclear reactors using the same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 inventors include Kirby and McDonald (GE-Hitachi staff)</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below-grade shaft reactor building and the basemat poured at the bottom of the shaft (Section 3.1.2; C1’s infill location)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Clinker substitute based on calcined clay</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 (as listed)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Reported to cover calcined clays of lower kaolinite content (below 40%), which would widen the clay supply for LC³ (Section 3.1.5)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using low-temperature calcined clay (title as listed by ZKG)</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Listed by ZKG as LC³ using low-temperature calcined clay; details not seen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 (US 2023/0312412 A1; WO 2022/043349 A1)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(LC3) construction composition</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 GmbH</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Filed 2021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Admixture-modified LC³ binder: an admixture supplier is patenting LC³ compositions (Section 3.8)</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 (EP 3925941 A1)</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Method for the increase of workability of a binder composition comprising Portland cement, calcined clay, and limestone</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 AG</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Directly addresses the main RB.7 barrier: LC³ workability for self-consolidating DP-SC infill (Section 3.8)</w:t>
            </w:r>
          </w:p>
        </w:tc>
      </w:tr>
    </w:tbl>
    <w:p>
      <w:pPr>
        <w:pStyle w:val="BodyText"/>
        <w:rPr/>
      </w:pPr>
      <w:r>
        <w:rPr/>
        <w:t>Seven patents are kept. Excluded: US 11,139,087 and US 11,955,248 (isolation condenser and feedwater control; assignee not seen), US 11,842,821 (title and date inconsistent between summaries), and US 2023/0036470 A1 and US 2025/0187980 A1 (not LC³-specific).</w:t>
      </w:r>
    </w:p>
    <w:p>
      <w:pPr>
        <w:pStyle w:val="BodyText"/>
        <w:rPr/>
      </w:pPr>
      <w:r>
        <w:rPr>
          <w:b/>
          <w:bCs/>
        </w:rPr>
        <w:t>What the patents show (R1.3).</w:t>
      </w:r>
      <w:r>
        <w:rPr/>
        <w:t xml:space="preserve"> The BWRX-300’s distinctive systems (isolation condensers, shaft construction) sit in GEH’s own patent families. LC³ itself, developed through EPFL’s public research programme, appears in no core composition patent in these results. The patenting is around it: clay processing (Outotec) and </w:t>
      </w:r>
      <w:r>
        <w:rPr>
          <w:b/>
          <w:bCs/>
        </w:rPr>
        <w:t>admixtures for workability</w:t>
      </w:r>
      <w:r>
        <w:rPr/>
        <w:t xml:space="preserve"> (Sika,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bookmarkEnd w:id="264"/>
    </w:p>
    <w:p>
      <w:pPr>
        <w:pStyle w:val="Heading4"/>
        <w:rPr/>
      </w:pPr>
      <w:bookmarkStart w:id="265" w:name="X6772717928f13429d4d4f50caaf7675f61535b4"/>
      <w:r>
        <w:rPr/>
        <w:t>E4. Literature searches (web-search substitute for Google Scholar)</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Topic</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String</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Kept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Radiation in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Field Remec Le Pape 2015 radiation effects in concrete … Nuclear Engineering and Design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Field, Remec and Le Pape (2015)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concrete decommissioning Eu-152 Co-60 biological shield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Greifswald shield study (HZDR); a Belgian BR3 decommissioning study</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Clearance and recycling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decommissioning concrete clearance recycling percentage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Thierfeldt (2019)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chloride and SCC</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self-compacting concrete heat of hydration chloride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chloride study (2025); UniBw calcined-clay SCC</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heat of hydration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LC3 concrete heat of hydration lower than OPC semi-adiabatic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None LC³-specific (gap)</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SCC rheology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self-compacting concrete limestone calcined clay cement superplasticizer demand rheology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UniBw; IIT Madras (2020)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L7</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residuals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copper tramp element accumulation steel scrap recycling EAF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2025 review of copper in steel scrap</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RPV embrittlement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reactor pressure vessel steel SA-508 copper phosphorus irradiation embrittlement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(2023b); NRC RG 1.99 Rev. 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route intensity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worldsteel CO2 intensity BF-BOF … EAF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worldsteel (2025;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ANSTO Synroc … hot isostatic pressing</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ANSTO Synroc</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Projects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TVA Clinch River …; Linglong One …; HTR-PM …; NuScale US460 SDA …</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See </w:t>
            </w:r>
            <w:r>
              <w:rPr>
                <w:rStyle w:val="VerbatimChar"/>
                <w:rFonts w:eastAsia="Aptos" w:cs="Aptos"/>
                <w:kern w:val="0"/>
                <w:lang w:val="en-US"/>
              </w:rPr>
              <w:t>02_Research/briefs/technology-projects-trl.md</w:t>
            </w:r>
          </w:p>
        </w:tc>
      </w:tr>
    </w:tbl>
    <w:p>
      <w:pPr>
        <w:pStyle w:val="BodyText"/>
        <w:spacing w:before="180" w:after="180"/>
        <w:rPr/>
      </w:pPr>
      <w:bookmarkStart w:id="266" w:name="appendices"/>
      <w:bookmarkStart w:id="267" w:name="appendix-e.-search-log"/>
      <w:bookmarkStart w:id="268" w:name="X6772717928f13429d4d4f50caaf7675f61535b4"/>
      <w:r>
        <w:rPr/>
        <w:t>Literature sources are listed in the reference list.</w:t>
      </w:r>
      <w:bookmarkEnd w:id="266"/>
      <w:bookmarkEnd w:id="267"/>
      <w:bookmarkEnd w:id="268"/>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125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135">
          <wp:simplePos x="0" y="0"/>
          <wp:positionH relativeFrom="margin">
            <wp:posOffset>4845050</wp:posOffset>
          </wp:positionH>
          <wp:positionV relativeFrom="margin">
            <wp:posOffset>-457200</wp:posOffset>
          </wp:positionV>
          <wp:extent cx="887730" cy="318135"/>
          <wp:effectExtent l="0" t="0" r="0" b="0"/>
          <wp:wrapNone/>
          <wp:docPr id="59"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260">
          <wp:simplePos x="0" y="0"/>
          <wp:positionH relativeFrom="page">
            <wp:posOffset>752475</wp:posOffset>
          </wp:positionH>
          <wp:positionV relativeFrom="page">
            <wp:posOffset>314325</wp:posOffset>
          </wp:positionV>
          <wp:extent cx="1401445" cy="595630"/>
          <wp:effectExtent l="0" t="0" r="0" b="0"/>
          <wp:wrapNone/>
          <wp:docPr id="60"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9">
          <wp:simplePos x="0" y="0"/>
          <wp:positionH relativeFrom="page">
            <wp:posOffset>752475</wp:posOffset>
          </wp:positionH>
          <wp:positionV relativeFrom="page">
            <wp:posOffset>9858375</wp:posOffset>
          </wp:positionV>
          <wp:extent cx="1401445" cy="595630"/>
          <wp:effectExtent l="0" t="0" r="0" b="0"/>
          <wp:wrapNone/>
          <wp:docPr id="6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0"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0">
          <wp:simplePos x="0" y="0"/>
          <wp:positionH relativeFrom="margin">
            <wp:posOffset>4845050</wp:posOffset>
          </wp:positionH>
          <wp:positionV relativeFrom="margin">
            <wp:posOffset>9086850</wp:posOffset>
          </wp:positionV>
          <wp:extent cx="887730" cy="318135"/>
          <wp:effectExtent l="0" t="0" r="0" b="0"/>
          <wp:wrapSquare wrapText="bothSides"/>
          <wp:docPr id="6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9"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num>
  <w:num w:numId="25">
    <w:abstractNumId w:val="1"/>
  </w:num>
  <w:num w:numId="26">
    <w:abstractNumId w:val="1"/>
  </w:num>
  <w:num w:numId="27">
    <w:abstractNumId w:val="4"/>
    <w:lvlOverride w:ilvl="0">
      <w:startOverride w:val="1"/>
    </w:lvlOverride>
  </w:num>
  <w:num w:numId="28">
    <w:abstractNumId w:val="4"/>
    <w:lvlOverride w:ilvl="0">
      <w:startOverride w:val="1"/>
    </w:lvlOverride>
  </w:num>
  <w:num w:numId="29">
    <w:abstractNumId w:val="4"/>
  </w:num>
  <w:num w:numId="30">
    <w:abstractNumId w:val="4"/>
  </w:num>
  <w:num w:numId="31">
    <w:abstractNumId w:val="4"/>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4"/>
    <w:lvlOverride w:ilvl="0">
      <w:startOverride w:val="1"/>
    </w:lvlOverride>
  </w:num>
  <w:num w:numId="48">
    <w:abstractNumId w:val="4"/>
  </w:num>
  <w:num w:numId="49">
    <w:abstractNumId w:val="4"/>
  </w:num>
  <w:num w:numId="50">
    <w:abstractNumId w:val="4"/>
  </w:num>
  <w:num w:numId="51">
    <w:abstractNumId w:val="4"/>
  </w:num>
  <w:num w:numId="52">
    <w:abstractNumId w:val="4"/>
  </w:num>
  <w:num w:numId="53">
    <w:abstractNumId w:val="4"/>
  </w:num>
  <w:num w:numId="54">
    <w:abstractNumId w:val="4"/>
    <w:lvlOverride w:ilvl="0">
      <w:startOverride w:val="1"/>
    </w:lvlOverride>
  </w:num>
  <w:num w:numId="55">
    <w:abstractNumId w:val="4"/>
  </w:num>
  <w:num w:numId="56">
    <w:abstractNumId w:val="4"/>
  </w:num>
  <w:num w:numId="57">
    <w:abstractNumId w:val="4"/>
  </w:num>
  <w:num w:numId="58">
    <w:abstractNumId w:val="4"/>
    <w:lvlOverride w:ilvl="0">
      <w:startOverride w:val="1"/>
    </w:lvlOverride>
  </w:num>
  <w:num w:numId="59">
    <w:abstractNumId w:val="4"/>
  </w:num>
  <w:num w:numId="60">
    <w:abstractNumId w:val="4"/>
  </w:num>
  <w:num w:numId="61">
    <w:abstractNumId w:val="4"/>
  </w:num>
  <w:num w:numId="62">
    <w:abstractNumId w:val="4"/>
  </w:num>
  <w:num w:numId="63">
    <w:abstractNumId w:val="4"/>
    <w:lvlOverride w:ilvl="0">
      <w:startOverride w:val="1"/>
    </w:lvlOverride>
  </w:num>
  <w:num w:numId="64">
    <w:abstractNumId w:val="4"/>
  </w:num>
  <w:num w:numId="65">
    <w:abstractNumId w:val="4"/>
  </w:num>
  <w:num w:numId="66">
    <w:abstractNumId w:val="4"/>
  </w:num>
  <w:num w:numId="67">
    <w:abstractNumId w:val="4"/>
    <w:lvlOverride w:ilvl="0">
      <w:startOverride w:val="1"/>
    </w:lvlOverride>
  </w:num>
  <w:num w:numId="68">
    <w:abstractNumId w:val="4"/>
  </w:num>
  <w:num w:numId="69">
    <w:abstractNumId w:val="4"/>
  </w:num>
  <w:num w:numId="70">
    <w:abstractNumId w:val="4"/>
  </w:num>
  <w:num w:numId="71">
    <w:abstractNumId w:val="4"/>
  </w:num>
  <w:num w:numId="72">
    <w:abstractNumId w:val="4"/>
    <w:lvlOverride w:ilvl="0">
      <w:startOverride w:val="1"/>
    </w:lvlOverride>
  </w:num>
  <w:num w:numId="73">
    <w:abstractNumId w:val="4"/>
  </w:num>
  <w:num w:numId="74">
    <w:abstractNumId w:val="4"/>
  </w:num>
  <w:num w:numId="75">
    <w:abstractNumId w:val="4"/>
  </w:num>
  <w:num w:numId="76">
    <w:abstractNumId w:val="4"/>
  </w:num>
  <w:num w:numId="77">
    <w:abstractNumId w:val="4"/>
    <w:lvlOverride w:ilvl="0">
      <w:startOverride w:val="1"/>
    </w:lvlOverride>
  </w:num>
  <w:num w:numId="78">
    <w:abstractNumId w:val="4"/>
  </w:num>
  <w:num w:numId="79">
    <w:abstractNumId w:val="4"/>
  </w:num>
  <w:num w:numId="80">
    <w:abstractNumId w:val="4"/>
  </w:num>
  <w:num w:numId="81">
    <w:abstractNumId w:val="4"/>
  </w:num>
  <w:num w:numId="82">
    <w:abstractNumId w:val="1"/>
  </w:num>
  <w:num w:numId="83">
    <w:abstractNumId w:val="1"/>
  </w:num>
  <w:num w:numId="84">
    <w:abstractNumId w:val="1"/>
  </w:num>
  <w:num w:numId="85">
    <w:abstractNumId w:val="4"/>
    <w:lvlOverride w:ilvl="0">
      <w:startOverride w:val="1"/>
    </w:lvlOverride>
  </w:num>
  <w:num w:numId="86">
    <w:abstractNumId w:val="4"/>
  </w:num>
  <w:num w:numId="87">
    <w:abstractNumId w:val="4"/>
  </w:num>
  <w:num w:numId="88">
    <w:abstractNumId w:val="4"/>
  </w:num>
  <w:num w:numId="89">
    <w:abstractNumId w:val="4"/>
  </w:num>
  <w:num w:numId="90">
    <w:abstractNumId w:val="4"/>
  </w:num>
  <w:num w:numId="91">
    <w:abstractNumId w:val="4"/>
    <w:lvlOverride w:ilvl="0">
      <w:startOverride w:val="1"/>
    </w:lvlOverride>
  </w:num>
  <w:num w:numId="92">
    <w:abstractNumId w:val="4"/>
  </w:num>
  <w:num w:numId="93">
    <w:abstractNumId w:val="4"/>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4"/>
    <w:lvlOverride w:ilvl="0">
      <w:startOverride w:val="1"/>
    </w:lvlOverride>
  </w:num>
  <w:num w:numId="106">
    <w:abstractNumId w:val="4"/>
  </w:num>
  <w:num w:numId="107">
    <w:abstractNumId w:val="4"/>
  </w:num>
  <w:num w:numId="108">
    <w:abstractNumId w:val="4"/>
  </w:num>
  <w:num w:numId="109">
    <w:abstractNumId w:val="4"/>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TeamNote1" w:customStyle="1">
    <w:name w:val="TeamNote"/>
    <w:basedOn w:val="BodyTextChar"/>
    <w:qFormat/>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60" w:after="6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60" w:after="6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60" w:after="6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595959" w:sz="8" w:space="0"/>
        <w:bottom w:val="single" w:color="595959" w:sz="8" w:space="0"/>
        <w:insideH w:val="single" w:color="D0D7DE" w:sz="4"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126</Pages>
  <Words>36148</Words>
  <Characters>198403</Characters>
  <CharactersWithSpaces>229527</CharactersWithSpaces>
  <Paragraphs>4019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2026-10-25T11:59:39Z</dcterms:created>
  <dc:creator/>
  <dc:description/>
  <dc:language>en-US</dc:language>
  <cp:lastModifiedBy/>
  <dcterms:modified xsi:type="dcterms:W3CDTF">2026-10-25T11:59:50Z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