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bookmarkStart w:id="0" w:name="__RefHeading___Toc26401_3211584216"/>
      <w:bookmarkStart w:id="1" w:name="abstract"/>
      <w:bookmarkEnd w:id="0"/>
      <w:bookmarkEnd w:id="1"/>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bookmarkStart w:id="2" w:name="__RefHeading___Toc26403_3211584216"/>
      <w:bookmarkEnd w:id="2"/>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401_3211584216">
            <w:r>
              <w:rPr>
                <w:webHidden/>
                <w:rStyle w:val="IndexLink"/>
              </w:rPr>
              <w:t>Abstract</w:t>
              <w:tab/>
              <w:t>1</w:t>
            </w:r>
          </w:hyperlink>
        </w:p>
        <w:p>
          <w:pPr>
            <w:pStyle w:val="TOC1"/>
            <w:tabs>
              <w:tab w:val="clear" w:pos="9026"/>
              <w:tab w:val="right" w:pos="9025" w:leader="dot"/>
            </w:tabs>
            <w:rPr/>
          </w:pPr>
          <w:hyperlink w:anchor="__RefHeading___Toc26403_3211584216">
            <w:r>
              <w:rPr>
                <w:webHidden/>
                <w:rStyle w:val="IndexLink"/>
              </w:rPr>
              <w:t>Table of Contents</w:t>
              <w:tab/>
              <w:t>2</w:t>
            </w:r>
          </w:hyperlink>
        </w:p>
        <w:p>
          <w:pPr>
            <w:pStyle w:val="TOC1"/>
            <w:tabs>
              <w:tab w:val="clear" w:pos="9026"/>
              <w:tab w:val="right" w:pos="9025" w:leader="dot"/>
            </w:tabs>
            <w:rPr/>
          </w:pPr>
          <w:hyperlink w:anchor="__RefHeading___Toc26405_3211584216">
            <w:r>
              <w:rPr>
                <w:webHidden/>
                <w:rStyle w:val="IndexLink"/>
              </w:rPr>
              <w:t>1 Introduction</w:t>
              <w:tab/>
              <w:t>4</w:t>
            </w:r>
          </w:hyperlink>
        </w:p>
        <w:p>
          <w:pPr>
            <w:pStyle w:val="TOC1"/>
            <w:tabs>
              <w:tab w:val="clear" w:pos="9026"/>
              <w:tab w:val="right" w:pos="9025" w:leader="dot"/>
            </w:tabs>
            <w:rPr/>
          </w:pPr>
          <w:hyperlink w:anchor="__RefHeading___Toc26407_3211584216">
            <w:r>
              <w:rPr>
                <w:webHidden/>
                <w:rStyle w:val="IndexLink"/>
              </w:rPr>
              <w:t>2 Data Sources/Methodology</w:t>
              <w:tab/>
              <w:t>4</w:t>
            </w:r>
          </w:hyperlink>
        </w:p>
        <w:p>
          <w:pPr>
            <w:pStyle w:val="TOC1"/>
            <w:tabs>
              <w:tab w:val="clear" w:pos="9026"/>
              <w:tab w:val="right" w:pos="9025" w:leader="dot"/>
            </w:tabs>
            <w:rPr/>
          </w:pPr>
          <w:hyperlink w:anchor="__RefHeading___Toc26409_3211584216">
            <w:r>
              <w:rPr>
                <w:webHidden/>
                <w:rStyle w:val="IndexLink"/>
              </w:rPr>
              <w:t>3 Discussion</w:t>
              <w:tab/>
              <w:t>6</w:t>
            </w:r>
          </w:hyperlink>
        </w:p>
        <w:p>
          <w:pPr>
            <w:pStyle w:val="TOC2"/>
            <w:tabs>
              <w:tab w:val="clear" w:pos="9026"/>
              <w:tab w:val="right" w:pos="9025" w:leader="dot"/>
            </w:tabs>
            <w:rPr/>
          </w:pPr>
          <w:hyperlink w:anchor="__RefHeading___Toc26411_3211584216">
            <w:r>
              <w:rPr>
                <w:webHidden/>
                <w:rStyle w:val="IndexLink"/>
              </w:rPr>
              <w:t>3.1 Overview of SMR</w:t>
              <w:tab/>
              <w:t>6</w:t>
            </w:r>
          </w:hyperlink>
        </w:p>
        <w:p>
          <w:pPr>
            <w:pStyle w:val="TOC3"/>
            <w:tabs>
              <w:tab w:val="clear" w:pos="9026"/>
              <w:tab w:val="right" w:pos="9025" w:leader="dot"/>
            </w:tabs>
            <w:rPr/>
          </w:pPr>
          <w:hyperlink w:anchor="__RefHeading___Toc26413_3211584216">
            <w:r>
              <w:rPr>
                <w:webHidden/>
                <w:rStyle w:val="IndexLink"/>
              </w:rPr>
              <w:t>3.1.1 Current Projects and Patents</w:t>
              <w:tab/>
              <w:t>6</w:t>
            </w:r>
          </w:hyperlink>
        </w:p>
        <w:p>
          <w:pPr>
            <w:pStyle w:val="TOC3"/>
            <w:tabs>
              <w:tab w:val="clear" w:pos="9026"/>
              <w:tab w:val="right" w:pos="9025" w:leader="dot"/>
            </w:tabs>
            <w:rPr/>
          </w:pPr>
          <w:hyperlink w:anchor="__RefHeading___Toc26415_3211584216">
            <w:r>
              <w:rPr>
                <w:webHidden/>
                <w:rStyle w:val="IndexLink"/>
              </w:rPr>
              <w:t>3.1.2 Technical Descriptions: the BWRX-300 at Darlington</w:t>
              <w:tab/>
              <w:t>7</w:t>
            </w:r>
          </w:hyperlink>
        </w:p>
        <w:p>
          <w:pPr>
            <w:pStyle w:val="TOC3"/>
            <w:tabs>
              <w:tab w:val="clear" w:pos="9026"/>
              <w:tab w:val="right" w:pos="9025" w:leader="dot"/>
            </w:tabs>
            <w:rPr/>
          </w:pPr>
          <w:hyperlink w:anchor="__RefHeading___Toc26417_3211584216">
            <w:r>
              <w:rPr>
                <w:webHidden/>
                <w:rStyle w:val="IndexLink"/>
              </w:rPr>
              <w:t>3.1.3 Barriers to cutting emissions with small modular reactors</w:t>
              <w:tab/>
              <w:t>8</w:t>
            </w:r>
          </w:hyperlink>
        </w:p>
        <w:p>
          <w:pPr>
            <w:pStyle w:val="TOC3"/>
            <w:tabs>
              <w:tab w:val="clear" w:pos="9026"/>
              <w:tab w:val="right" w:pos="9025" w:leader="dot"/>
            </w:tabs>
            <w:rPr/>
          </w:pPr>
          <w:hyperlink w:anchor="__RefHeading___Toc26419_3211584216">
            <w:r>
              <w:rPr>
                <w:webHidden/>
                <w:rStyle w:val="IndexLink"/>
              </w:rPr>
              <w:t>3.1.4 The initiative: low-clinker concrete for the Darlington Units 2–4 infill</w:t>
              <w:tab/>
              <w:t>9</w:t>
            </w:r>
          </w:hyperlink>
        </w:p>
        <w:p>
          <w:pPr>
            <w:pStyle w:val="TOC3"/>
            <w:tabs>
              <w:tab w:val="clear" w:pos="9026"/>
              <w:tab w:val="right" w:pos="9025" w:leader="dot"/>
            </w:tabs>
            <w:rPr/>
          </w:pPr>
          <w:hyperlink w:anchor="__RefHeading___Toc26421_3211584216">
            <w:r>
              <w:rPr>
                <w:webHidden/>
                <w:rStyle w:val="IndexLink"/>
              </w:rPr>
              <w:t>3.1.5 Materials from extraction to end-of-life</w:t>
              <w:tab/>
              <w:t>10</w:t>
            </w:r>
          </w:hyperlink>
        </w:p>
        <w:p>
          <w:pPr>
            <w:pStyle w:val="TOC2"/>
            <w:tabs>
              <w:tab w:val="clear" w:pos="9026"/>
              <w:tab w:val="right" w:pos="9025" w:leader="dot"/>
            </w:tabs>
            <w:rPr/>
          </w:pPr>
          <w:hyperlink w:anchor="__RefHeading___Toc26423_3211584216">
            <w:r>
              <w:rPr>
                <w:webHidden/>
                <w:rStyle w:val="IndexLink"/>
              </w:rPr>
              <w:t>3.2 Lifecycle Analysis</w:t>
              <w:tab/>
              <w:t>11</w:t>
            </w:r>
          </w:hyperlink>
        </w:p>
        <w:p>
          <w:pPr>
            <w:pStyle w:val="TOC3"/>
            <w:tabs>
              <w:tab w:val="clear" w:pos="9026"/>
              <w:tab w:val="right" w:pos="9025" w:leader="dot"/>
            </w:tabs>
            <w:rPr/>
          </w:pPr>
          <w:hyperlink w:anchor="__RefHeading___Toc26425_3211584216">
            <w:r>
              <w:rPr>
                <w:webHidden/>
                <w:rStyle w:val="IndexLink"/>
              </w:rPr>
              <w:t>3.2.1 Goal, scope and method</w:t>
              <w:tab/>
              <w:t>12</w:t>
            </w:r>
          </w:hyperlink>
        </w:p>
        <w:p>
          <w:pPr>
            <w:pStyle w:val="TOC3"/>
            <w:tabs>
              <w:tab w:val="clear" w:pos="9026"/>
              <w:tab w:val="right" w:pos="9025" w:leader="dot"/>
            </w:tabs>
            <w:rPr/>
          </w:pPr>
          <w:hyperlink w:anchor="__RefHeading___Toc26427_3211584216">
            <w:r>
              <w:rPr>
                <w:webHidden/>
                <w:rStyle w:val="IndexLink"/>
              </w:rPr>
              <w:t>3.2.2 Baseline and hotspots</w:t>
              <w:tab/>
              <w:t>13</w:t>
            </w:r>
          </w:hyperlink>
        </w:p>
        <w:p>
          <w:pPr>
            <w:pStyle w:val="TOC3"/>
            <w:tabs>
              <w:tab w:val="clear" w:pos="9026"/>
              <w:tab w:val="right" w:pos="9025" w:leader="dot"/>
            </w:tabs>
            <w:rPr/>
          </w:pPr>
          <w:hyperlink w:anchor="__RefHeading___Toc26429_3211584216">
            <w:r>
              <w:rPr>
                <w:webHidden/>
                <w:rStyle w:val="IndexLink"/>
              </w:rPr>
              <w:t>3.2.3 The initiative against the baseline</w:t>
              <w:tab/>
              <w:t>14</w:t>
            </w:r>
          </w:hyperlink>
        </w:p>
        <w:p>
          <w:pPr>
            <w:pStyle w:val="TOC3"/>
            <w:tabs>
              <w:tab w:val="clear" w:pos="9026"/>
              <w:tab w:val="right" w:pos="9025" w:leader="dot"/>
            </w:tabs>
            <w:rPr/>
          </w:pPr>
          <w:hyperlink w:anchor="__RefHeading___Toc26431_3211584216">
            <w:r>
              <w:rPr>
                <w:webHidden/>
                <w:rStyle w:val="IndexLink"/>
              </w:rPr>
              <w:t>3.2.4 Uncertainty: tornado and Monte Carlo</w:t>
              <w:tab/>
              <w:t>15</w:t>
            </w:r>
          </w:hyperlink>
        </w:p>
        <w:p>
          <w:pPr>
            <w:pStyle w:val="TOC3"/>
            <w:tabs>
              <w:tab w:val="clear" w:pos="9026"/>
              <w:tab w:val="right" w:pos="9025" w:leader="dot"/>
            </w:tabs>
            <w:rPr/>
          </w:pPr>
          <w:hyperlink w:anchor="__RefHeading___Toc26433_3211584216">
            <w:r>
              <w:rPr>
                <w:webHidden/>
                <w:rStyle w:val="IndexLink"/>
              </w:rPr>
              <w:t>3.2.5 Comparison with published values</w:t>
              <w:tab/>
              <w:t>16</w:t>
            </w:r>
          </w:hyperlink>
        </w:p>
        <w:p>
          <w:pPr>
            <w:pStyle w:val="TOC2"/>
            <w:tabs>
              <w:tab w:val="clear" w:pos="9026"/>
              <w:tab w:val="right" w:pos="9025" w:leader="dot"/>
            </w:tabs>
            <w:rPr/>
          </w:pPr>
          <w:hyperlink w:anchor="__RefHeading___Toc26435_3211584216">
            <w:r>
              <w:rPr>
                <w:webHidden/>
                <w:rStyle w:val="IndexLink"/>
              </w:rPr>
              <w:t>3.3 National Strategies and Industrial Policies: Carbon Avoided in Ontario and Australia</w:t>
              <w:tab/>
              <w:t>17</w:t>
            </w:r>
          </w:hyperlink>
        </w:p>
        <w:p>
          <w:pPr>
            <w:pStyle w:val="TOC3"/>
            <w:tabs>
              <w:tab w:val="clear" w:pos="9026"/>
              <w:tab w:val="right" w:pos="9025" w:leader="dot"/>
            </w:tabs>
            <w:rPr/>
          </w:pPr>
          <w:hyperlink w:anchor="__RefHeading___Toc26437_3211584216">
            <w:r>
              <w:rPr>
                <w:webHidden/>
                <w:rStyle w:val="IndexLink"/>
              </w:rPr>
              <w:t>3.3.1 The value of schedule</w:t>
              <w:tab/>
              <w:t>17</w:t>
            </w:r>
          </w:hyperlink>
        </w:p>
        <w:p>
          <w:pPr>
            <w:pStyle w:val="TOC3"/>
            <w:tabs>
              <w:tab w:val="clear" w:pos="9026"/>
              <w:tab w:val="right" w:pos="9025" w:leader="dot"/>
            </w:tabs>
            <w:rPr/>
          </w:pPr>
          <w:hyperlink w:anchor="__RefHeading___Toc26439_3211584216">
            <w:r>
              <w:rPr>
                <w:webHidden/>
                <w:rStyle w:val="IndexLink"/>
              </w:rPr>
              <w:t>3.3.2 What one BWRX-300 displaces: Darlington vs Liddell</w:t>
              <w:tab/>
              <w:t>18</w:t>
            </w:r>
          </w:hyperlink>
        </w:p>
        <w:p>
          <w:pPr>
            <w:pStyle w:val="TOC3"/>
            <w:tabs>
              <w:tab w:val="clear" w:pos="9026"/>
              <w:tab w:val="right" w:pos="9025" w:leader="dot"/>
            </w:tabs>
            <w:rPr/>
          </w:pPr>
          <w:hyperlink w:anchor="__RefHeading___Toc26441_3211584216">
            <w:r>
              <w:rPr>
                <w:webHidden/>
                <w:rStyle w:val="IndexLink"/>
              </w:rPr>
              <w:t>3.3.3 The same money on firmed renewables</w:t>
              <w:tab/>
              <w:t>19</w:t>
            </w:r>
          </w:hyperlink>
        </w:p>
        <w:p>
          <w:pPr>
            <w:pStyle w:val="TOC2"/>
            <w:tabs>
              <w:tab w:val="clear" w:pos="9026"/>
              <w:tab w:val="right" w:pos="9025" w:leader="dot"/>
            </w:tabs>
            <w:rPr/>
          </w:pPr>
          <w:hyperlink w:anchor="__RefHeading___Toc26443_3211584216">
            <w:r>
              <w:rPr>
                <w:webHidden/>
                <w:rStyle w:val="IndexLink"/>
              </w:rPr>
              <w:t>3.4 Stakeholder Analysis</w:t>
              <w:tab/>
              <w:t>20</w:t>
            </w:r>
          </w:hyperlink>
        </w:p>
        <w:p>
          <w:pPr>
            <w:pStyle w:val="TOC3"/>
            <w:tabs>
              <w:tab w:val="clear" w:pos="9026"/>
              <w:tab w:val="right" w:pos="9025" w:leader="dot"/>
            </w:tabs>
            <w:rPr/>
          </w:pPr>
          <w:hyperlink w:anchor="__RefHeading___Toc26445_3211584216">
            <w:r>
              <w:rPr>
                <w:webHidden/>
                <w:rStyle w:val="IndexLink"/>
              </w:rPr>
              <w:t>3.4.1 Stakeholders and money flows</w:t>
              <w:tab/>
              <w:t>20</w:t>
            </w:r>
          </w:hyperlink>
        </w:p>
        <w:p>
          <w:pPr>
            <w:pStyle w:val="TOC3"/>
            <w:tabs>
              <w:tab w:val="clear" w:pos="9026"/>
              <w:tab w:val="right" w:pos="9025" w:leader="dot"/>
            </w:tabs>
            <w:rPr/>
          </w:pPr>
          <w:hyperlink w:anchor="__RefHeading___Toc26447_3211584216">
            <w:r>
              <w:rPr>
                <w:webHidden/>
                <w:rStyle w:val="IndexLink"/>
              </w:rPr>
              <w:t>3.4.2 Social licence</w:t>
              <w:tab/>
              <w:t>22</w:t>
            </w:r>
          </w:hyperlink>
        </w:p>
        <w:p>
          <w:pPr>
            <w:pStyle w:val="TOC2"/>
            <w:tabs>
              <w:tab w:val="clear" w:pos="9026"/>
              <w:tab w:val="right" w:pos="9025" w:leader="dot"/>
            </w:tabs>
            <w:rPr/>
          </w:pPr>
          <w:hyperlink w:anchor="__RefHeading___Toc26449_3211584216">
            <w:r>
              <w:rPr>
                <w:webHidden/>
                <w:rStyle w:val="IndexLink"/>
              </w:rPr>
              <w:t>3.5 Market Analysis and Economic Feasibility</w:t>
              <w:tab/>
              <w:t>24</w:t>
            </w:r>
          </w:hyperlink>
        </w:p>
        <w:p>
          <w:pPr>
            <w:pStyle w:val="TOC3"/>
            <w:tabs>
              <w:tab w:val="clear" w:pos="9026"/>
              <w:tab w:val="right" w:pos="9025" w:leader="dot"/>
            </w:tabs>
            <w:rPr/>
          </w:pPr>
          <w:hyperlink w:anchor="__RefHeading___Toc26451_3211584216">
            <w:r>
              <w:rPr>
                <w:webHidden/>
                <w:rStyle w:val="IndexLink"/>
              </w:rPr>
              <w:t>3.5.1 Economics, finance and market barriers</w:t>
              <w:tab/>
              <w:t>24</w:t>
            </w:r>
          </w:hyperlink>
        </w:p>
        <w:p>
          <w:pPr>
            <w:pStyle w:val="TOC3"/>
            <w:tabs>
              <w:tab w:val="clear" w:pos="9026"/>
              <w:tab w:val="right" w:pos="9025" w:leader="dot"/>
            </w:tabs>
            <w:rPr/>
          </w:pPr>
          <w:hyperlink w:anchor="__RefHeading___Toc26453_3211584216">
            <w:r>
              <w:rPr>
                <w:webHidden/>
                <w:rStyle w:val="IndexLink"/>
              </w:rPr>
              <w:t>3.5.2 Supply concentration and geopolitics</w:t>
              <w:tab/>
              <w:t>27</w:t>
            </w:r>
          </w:hyperlink>
        </w:p>
        <w:p>
          <w:pPr>
            <w:pStyle w:val="TOC2"/>
            <w:tabs>
              <w:tab w:val="clear" w:pos="9026"/>
              <w:tab w:val="right" w:pos="9025" w:leader="dot"/>
            </w:tabs>
            <w:rPr/>
          </w:pPr>
          <w:hyperlink w:anchor="__RefHeading___Toc26455_3211584216">
            <w:r>
              <w:rPr>
                <w:webHidden/>
                <w:rStyle w:val="IndexLink"/>
              </w:rPr>
              <w:t>3.6 Government Regulations Review</w:t>
              <w:tab/>
              <w:t>28</w:t>
            </w:r>
          </w:hyperlink>
        </w:p>
        <w:p>
          <w:pPr>
            <w:pStyle w:val="TOC3"/>
            <w:tabs>
              <w:tab w:val="clear" w:pos="9026"/>
              <w:tab w:val="right" w:pos="9025" w:leader="dot"/>
            </w:tabs>
            <w:rPr/>
          </w:pPr>
          <w:hyperlink w:anchor="__RefHeading___Toc26457_3211584216">
            <w:r>
              <w:rPr>
                <w:webHidden/>
                <w:rStyle w:val="IndexLink"/>
              </w:rPr>
              <w:t>3.6.1 Law, regulation and licensing</w:t>
              <w:tab/>
              <w:t>28</w:t>
            </w:r>
          </w:hyperlink>
        </w:p>
        <w:p>
          <w:pPr>
            <w:pStyle w:val="TOC3"/>
            <w:tabs>
              <w:tab w:val="clear" w:pos="9026"/>
              <w:tab w:val="right" w:pos="9025" w:leader="dot"/>
            </w:tabs>
            <w:rPr/>
          </w:pPr>
          <w:hyperlink w:anchor="__RefHeading___Toc26459_3211584216">
            <w:r>
              <w:rPr>
                <w:webHidden/>
                <w:rStyle w:val="IndexLink"/>
              </w:rPr>
              <w:t>3.6.2 Implementation pathway</w:t>
              <w:tab/>
              <w:t>30</w:t>
            </w:r>
          </w:hyperlink>
        </w:p>
        <w:p>
          <w:pPr>
            <w:pStyle w:val="TOC2"/>
            <w:tabs>
              <w:tab w:val="clear" w:pos="9026"/>
              <w:tab w:val="right" w:pos="9025" w:leader="dot"/>
            </w:tabs>
            <w:rPr/>
          </w:pPr>
          <w:hyperlink w:anchor="__RefHeading___Toc26461_3211584216">
            <w:r>
              <w:rPr>
                <w:webHidden/>
                <w:rStyle w:val="IndexLink"/>
              </w:rPr>
              <w:t>3.7 Triple-bottom-line evaluation and multi-criteria analysis</w:t>
              <w:tab/>
              <w:t>32</w:t>
            </w:r>
          </w:hyperlink>
        </w:p>
        <w:p>
          <w:pPr>
            <w:pStyle w:val="TOC3"/>
            <w:tabs>
              <w:tab w:val="clear" w:pos="9026"/>
              <w:tab w:val="right" w:pos="9025" w:leader="dot"/>
            </w:tabs>
            <w:rPr/>
          </w:pPr>
          <w:hyperlink w:anchor="__RefHeading___Toc26463_3211584216">
            <w:r>
              <w:rPr>
                <w:webHidden/>
                <w:rStyle w:val="IndexLink"/>
              </w:rPr>
              <w:t>3.7.1 Triple bottom line</w:t>
              <w:tab/>
              <w:t>33</w:t>
            </w:r>
          </w:hyperlink>
        </w:p>
        <w:p>
          <w:pPr>
            <w:pStyle w:val="TOC3"/>
            <w:tabs>
              <w:tab w:val="clear" w:pos="9026"/>
              <w:tab w:val="right" w:pos="9025" w:leader="dot"/>
            </w:tabs>
            <w:rPr/>
          </w:pPr>
          <w:hyperlink w:anchor="__RefHeading___Toc26465_3211584216">
            <w:r>
              <w:rPr>
                <w:webHidden/>
                <w:rStyle w:val="IndexLink"/>
              </w:rPr>
              <w:t>3.7.2 Multi-criteria analysis</w:t>
              <w:tab/>
              <w:t>34</w:t>
            </w:r>
          </w:hyperlink>
        </w:p>
        <w:p>
          <w:pPr>
            <w:pStyle w:val="TOC3"/>
            <w:tabs>
              <w:tab w:val="clear" w:pos="9026"/>
              <w:tab w:val="right" w:pos="9025" w:leader="dot"/>
            </w:tabs>
            <w:rPr/>
          </w:pPr>
          <w:hyperlink w:anchor="__RefHeading___Toc26467_3211584216">
            <w:r>
              <w:rPr>
                <w:webHidden/>
                <w:rStyle w:val="IndexLink"/>
              </w:rPr>
              <w:t>3.7.3 Verdict and limits</w:t>
              <w:tab/>
              <w:t>35</w:t>
            </w:r>
          </w:hyperlink>
        </w:p>
        <w:p>
          <w:pPr>
            <w:pStyle w:val="TOC2"/>
            <w:tabs>
              <w:tab w:val="clear" w:pos="9026"/>
              <w:tab w:val="right" w:pos="9025" w:leader="dot"/>
            </w:tabs>
            <w:rPr/>
          </w:pPr>
          <w:hyperlink w:anchor="__RefHeading___Toc26469_3211584216">
            <w:r>
              <w:rPr>
                <w:webHidden/>
                <w:rStyle w:val="IndexLink"/>
              </w:rPr>
              <w:t>3.8 Future material properties and processes</w:t>
              <w:tab/>
              <w:t>35</w:t>
            </w:r>
          </w:hyperlink>
        </w:p>
        <w:p>
          <w:pPr>
            <w:pStyle w:val="TOC1"/>
            <w:tabs>
              <w:tab w:val="clear" w:pos="9026"/>
              <w:tab w:val="right" w:pos="9025" w:leader="dot"/>
            </w:tabs>
            <w:rPr/>
          </w:pPr>
          <w:hyperlink w:anchor="__RefHeading___Toc26471_3211584216">
            <w:r>
              <w:rPr>
                <w:webHidden/>
                <w:rStyle w:val="IndexLink"/>
              </w:rPr>
              <w:t>4 Conclusion</w:t>
              <w:tab/>
              <w:t>36</w:t>
            </w:r>
          </w:hyperlink>
        </w:p>
        <w:p>
          <w:pPr>
            <w:pStyle w:val="TOC1"/>
            <w:tabs>
              <w:tab w:val="clear" w:pos="9026"/>
              <w:tab w:val="right" w:pos="9025" w:leader="dot"/>
            </w:tabs>
            <w:rPr/>
          </w:pPr>
          <w:hyperlink w:anchor="__RefHeading___Toc26473_3211584216">
            <w:r>
              <w:rPr>
                <w:webHidden/>
                <w:rStyle w:val="IndexLink"/>
              </w:rPr>
              <w:t>5 References</w:t>
              <w:tab/>
              <w:t>38</w:t>
            </w:r>
          </w:hyperlink>
        </w:p>
        <w:p>
          <w:pPr>
            <w:pStyle w:val="TOC1"/>
            <w:tabs>
              <w:tab w:val="clear" w:pos="9026"/>
              <w:tab w:val="right" w:pos="9025" w:leader="dot"/>
            </w:tabs>
            <w:rPr/>
          </w:pPr>
          <w:hyperlink w:anchor="__RefHeading___Toc26475_3211584216">
            <w:r>
              <w:rPr>
                <w:webHidden/>
                <w:rStyle w:val="IndexLink"/>
              </w:rPr>
              <w:t>Declaration of generative AI use</w:t>
              <w:tab/>
              <w:t>53</w:t>
            </w:r>
          </w:hyperlink>
        </w:p>
        <w:p>
          <w:pPr>
            <w:pStyle w:val="TOC1"/>
            <w:tabs>
              <w:tab w:val="clear" w:pos="9026"/>
              <w:tab w:val="right" w:pos="9025" w:leader="dot"/>
            </w:tabs>
            <w:rPr/>
          </w:pPr>
          <w:hyperlink w:anchor="__RefHeading___Toc26477_3211584216">
            <w:r>
              <w:rPr>
                <w:webHidden/>
                <w:rStyle w:val="IndexLink"/>
              </w:rPr>
              <w:t>Appendices</w:t>
              <w:tab/>
              <w:t>54</w:t>
            </w:r>
          </w:hyperlink>
        </w:p>
        <w:p>
          <w:pPr>
            <w:pStyle w:val="TOC2"/>
            <w:tabs>
              <w:tab w:val="clear" w:pos="9026"/>
              <w:tab w:val="right" w:pos="9025" w:leader="dot"/>
            </w:tabs>
            <w:rPr/>
          </w:pPr>
          <w:hyperlink w:anchor="__RefHeading___Toc26479_3211584216">
            <w:r>
              <w:rPr>
                <w:webHidden/>
                <w:rStyle w:val="IndexLink"/>
              </w:rPr>
              <w:t>Appendix A. LCA inventory and calculations</w:t>
              <w:tab/>
              <w:t>54</w:t>
            </w:r>
          </w:hyperlink>
        </w:p>
        <w:p>
          <w:pPr>
            <w:pStyle w:val="TOC2"/>
            <w:tabs>
              <w:tab w:val="clear" w:pos="9026"/>
              <w:tab w:val="right" w:pos="9025" w:leader="dot"/>
            </w:tabs>
            <w:rPr/>
          </w:pPr>
          <w:hyperlink w:anchor="__RefHeading___Toc26481_3211584216">
            <w:r>
              <w:rPr>
                <w:webHidden/>
                <w:rStyle w:val="IndexLink"/>
              </w:rPr>
              <w:t>Appendix B. Working for the policy and supply-chain analysis</w:t>
              <w:tab/>
              <w:t>64</w:t>
            </w:r>
          </w:hyperlink>
        </w:p>
        <w:p>
          <w:pPr>
            <w:pStyle w:val="TOC2"/>
            <w:tabs>
              <w:tab w:val="clear" w:pos="9026"/>
              <w:tab w:val="right" w:pos="9025" w:leader="dot"/>
            </w:tabs>
            <w:rPr/>
          </w:pPr>
          <w:hyperlink w:anchor="__RefHeading___Toc26483_3211584216">
            <w:r>
              <w:rPr>
                <w:webHidden/>
                <w:rStyle w:val="IndexLink"/>
              </w:rPr>
              <w:t>Appendix C. Sensitivity: tornado and Monte Carlo set-up and results</w:t>
              <w:tab/>
              <w:t>108</w:t>
            </w:r>
          </w:hyperlink>
        </w:p>
        <w:p>
          <w:pPr>
            <w:pStyle w:val="TOC2"/>
            <w:tabs>
              <w:tab w:val="clear" w:pos="9026"/>
              <w:tab w:val="right" w:pos="9025" w:leader="dot"/>
            </w:tabs>
            <w:rPr/>
          </w:pPr>
          <w:hyperlink w:anchor="__RefHeading___Toc26485_3211584216">
            <w:r>
              <w:rPr>
                <w:webHidden/>
                <w:rStyle w:val="IndexLink"/>
              </w:rPr>
              <w:t>Appendix E. Search log</w:t>
              <w:tab/>
              <w:t>118</w:t>
            </w:r>
          </w:hyperlink>
          <w:r>
            <w:rPr>
              <w:rStyle w:val="IndexLink"/>
            </w:rPr>
            <w:fldChar w:fldCharType="end"/>
          </w:r>
        </w:p>
      </w:sdtContent>
    </w:sdt>
    <w:p>
      <w:pPr>
        <w:pStyle w:val="normal1"/>
        <w:widowControl/>
        <w:bidi w:val="0"/>
        <w:spacing w:lineRule="auto" w:line="276" w:before="0" w:after="160"/>
        <w:jc w:val="left"/>
        <w:rPr/>
      </w:pPr>
      <w:r>
        <w:rPr/>
      </w:r>
      <w:bookmarkStart w:id="3" w:name="abstract"/>
      <w:bookmarkStart w:id="4" w:name="abstract"/>
      <w:bookmarkEnd w:id="4"/>
      <w:r>
        <w:br w:type="page"/>
      </w:r>
    </w:p>
    <w:p>
      <w:pPr>
        <w:pStyle w:val="Heading1"/>
        <w:spacing w:before="0" w:after="120"/>
        <w:rPr/>
      </w:pPr>
      <w:bookmarkStart w:id="5" w:name="__RefHeading___Toc26405_3211584216"/>
      <w:bookmarkStart w:id="6" w:name="introduction"/>
      <w:bookmarkEnd w:id="5"/>
      <w:r>
        <w:rPr/>
        <w:t>1 Introduction</w:t>
      </w:r>
    </w:p>
    <w:p>
      <w:pPr>
        <w:pStyle w:val="FirstParagraph"/>
        <w:rPr/>
      </w:pPr>
      <w:r>
        <w:rPr/>
        <w:t>When a coal plant closes, small modular reactors (SMRs) are one proposed replacement. We ask whether an SMR is feasible across the triple bottom line (environmental, economic, social), and whether a materials choice can make it cleaner without making it later.</w:t>
      </w:r>
    </w:p>
    <w:p>
      <w:pPr>
        <w:pStyle w:val="Heading4"/>
        <w:rPr/>
      </w:pPr>
      <w:bookmarkStart w:id="7" w:name="context"/>
      <w:r>
        <w:rPr/>
        <w:t>Context</w:t>
      </w:r>
    </w:p>
    <w:p>
      <w:pPr>
        <w:pStyle w:val="FirstParagraph"/>
        <w:rPr/>
      </w:pPr>
      <w:bookmarkStart w:id="8" w:name="context"/>
      <w:r>
        <w:rPr/>
        <w:t>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bookmarkEnd w:id="8"/>
    </w:p>
    <w:p>
      <w:pPr>
        <w:pStyle w:val="Heading4"/>
        <w:rPr/>
      </w:pPr>
      <w:bookmarkStart w:id="9" w:name="the-two-sites"/>
      <w:r>
        <w:rPr/>
        <w:t>The two sites</w:t>
      </w:r>
    </w:p>
    <w:p>
      <w:pPr>
        <w:pStyle w:val="FirstParagraph"/>
        <w:rPr/>
      </w:pPr>
      <w:r>
        <w:rPr>
          <w:i/>
          <w:iCs/>
        </w:rPr>
        <w:t>Darlington, Ontario</w:t>
      </w:r>
      <w:r>
        <w:rPr/>
        <w:t xml:space="preserve"> is the initiative site: Ontario Power Generation (OPG) plans four units for C$20.9 billion, Unit 1 in service in 2030 (Ontario Power Generation, 2025a); Units 2–4 need further licensing (Section 3.6.1). </w:t>
      </w:r>
      <w:r>
        <w:rPr>
          <w:i/>
          <w:iCs/>
        </w:rPr>
        <w:t>Liddell</w:t>
      </w:r>
      <w:r>
        <w:rPr/>
        <w:t xml:space="preserve"> is the Australian comparison, a closed coal site with a grid connection.</w:t>
      </w:r>
      <w:bookmarkEnd w:id="9"/>
    </w:p>
    <w:p>
      <w:pPr>
        <w:pStyle w:val="Heading4"/>
        <w:rPr/>
      </w:pPr>
      <w:bookmarkStart w:id="10" w:name="the-initiative-c1"/>
      <w:r>
        <w:rPr/>
        <w:t>The initiative (C1)</w:t>
      </w:r>
    </w:p>
    <w:p>
      <w:pPr>
        <w:pStyle w:val="FirstParagraph"/>
        <w:rPr/>
      </w:pPr>
      <w:bookmarkStart w:id="11" w:name="the-initiative-c1"/>
      <w:r>
        <w:rPr/>
        <w:t>OPG should pilot limestone calcined clay cement (LC³) in eligible non-safety works first, using it in the steel-composite infill only if qualified and schedule-neutral (Sections 3.1.1–3.1.4, Section 3.1.5).</w:t>
      </w:r>
      <w:bookmarkEnd w:id="11"/>
    </w:p>
    <w:p>
      <w:pPr>
        <w:pStyle w:val="Heading4"/>
        <w:rPr/>
      </w:pPr>
      <w:bookmarkStart w:id="12" w:name="research-questions"/>
      <w:r>
        <w:rPr/>
        <w:t>Research questions</w:t>
      </w:r>
    </w:p>
    <w:p>
      <w:pPr>
        <w:pStyle w:val="Compact"/>
        <w:numPr>
          <w:ilvl w:val="0"/>
          <w:numId w:val="21"/>
        </w:numPr>
        <w:rPr/>
      </w:pPr>
      <w:r>
        <w:rPr/>
        <w:t>What does one BWRX-300 emit, and where?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whether an SMR is built, and does it beat firmed renewables? (Section 3.1.3, Sections 3.4–3.7)</w:t>
      </w:r>
    </w:p>
    <w:p>
      <w:pPr>
        <w:pStyle w:val="normal1"/>
        <w:rPr/>
      </w:pPr>
      <w:bookmarkStart w:id="13" w:name="introduction"/>
      <w:bookmarkStart w:id="14" w:name="research-questions"/>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1"/>
        <w:rPr/>
      </w:pPr>
      <w:bookmarkStart w:id="15" w:name="__RefHeading___Toc26407_3211584216"/>
      <w:bookmarkStart w:id="16" w:name="data-sourcesmethodology"/>
      <w:bookmarkEnd w:id="15"/>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 “as reported”, from the secondary source named. Where readings differ we give the range, and our own assumptions and inferences are labelled as such.</w:t>
      </w:r>
    </w:p>
    <w:p>
      <w:pPr>
        <w:pStyle w:val="Heading4"/>
        <w:rPr/>
      </w:pPr>
      <w:bookmarkStart w:id="17" w:name="life-cycle-assessment"/>
      <w:r>
        <w:rPr/>
        <w:t>Life-cycle assessment</w:t>
      </w:r>
    </w:p>
    <w:p>
      <w:pPr>
        <w:pStyle w:val="FirstParagraph"/>
        <w:rPr/>
      </w:pPr>
      <w:bookmarkStart w:id="18" w:name="life-cycle-assessment"/>
      <w:r>
        <w:rPr/>
        <w:t>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bookmarkEnd w:id="18"/>
    </w:p>
    <w:p>
      <w:pPr>
        <w:pStyle w:val="Heading4"/>
        <w:rPr/>
      </w:pPr>
      <w:bookmarkStart w:id="19" w:name="displacement-and-schedule"/>
      <w:r>
        <w:rPr/>
        <w:t>Displacement and schedule</w:t>
      </w:r>
    </w:p>
    <w:p>
      <w:pPr>
        <w:pStyle w:val="FirstParagraph"/>
        <w:rPr/>
      </w:pPr>
      <w:r>
        <w:rPr/>
        <w:t xml:space="preserve">One unit (300 MWe net assumed; an OPG filing gives 315, within our sensitivity range)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bookmarkEnd w:id="19"/>
    </w:p>
    <w:p>
      <w:pPr>
        <w:pStyle w:val="Heading4"/>
        <w:rPr/>
      </w:pPr>
      <w:bookmarkStart w:id="20" w:name="supply-concentration"/>
      <w:r>
        <w:rPr/>
        <w:t>Supply concentration</w:t>
      </w:r>
    </w:p>
    <w:p>
      <w:pPr>
        <w:pStyle w:val="FirstParagraph"/>
        <w:rPr/>
      </w:pPr>
      <w:bookmarkStart w:id="21" w:name="supply-concentration"/>
      <w:r>
        <w:rPr/>
        <w:t>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 “without Russia” adds no capacity (Appendix B2).</w:t>
      </w:r>
      <w:bookmarkEnd w:id="21"/>
    </w:p>
    <w:p>
      <w:pPr>
        <w:pStyle w:val="Heading4"/>
        <w:rPr/>
      </w:pPr>
      <w:bookmarkStart w:id="22" w:name="multi-criteria-analysis-mcda"/>
      <w:r>
        <w:rPr/>
        <w:t>Multi-criteria analysis (MCDA)</w:t>
      </w:r>
    </w:p>
    <w:p>
      <w:pPr>
        <w:pStyle w:val="FirstParagraph"/>
        <w:rPr/>
      </w:pPr>
      <w:r>
        <w:rPr/>
        <w:t>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rPr/>
      </w:pPr>
      <w:r>
        <w:rPr/>
        <w:t>Search strategy and patent search: Appendix E.</w:t>
      </w:r>
    </w:p>
    <w:p>
      <w:pPr>
        <w:pStyle w:val="normal1"/>
        <w:rPr/>
      </w:pPr>
      <w:bookmarkStart w:id="23" w:name="data-sourcesmethodology"/>
      <w:bookmarkStart w:id="24" w:name="multi-criteria-analysis-mcda"/>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p>
    <w:p>
      <w:pPr>
        <w:pStyle w:val="Heading1"/>
        <w:rPr/>
      </w:pPr>
      <w:bookmarkStart w:id="25" w:name="__RefHeading___Toc26409_3211584216"/>
      <w:bookmarkEnd w:id="25"/>
      <w:r>
        <w:rPr/>
        <w:t>3 Discussion</w:t>
      </w:r>
    </w:p>
    <w:p>
      <w:pPr>
        <w:pStyle w:val="Heading2"/>
        <w:rPr/>
      </w:pPr>
      <w:bookmarkStart w:id="26" w:name="__RefHeading___Toc26411_3211584216"/>
      <w:bookmarkStart w:id="27" w:name="overview-of-smr"/>
      <w:bookmarkEnd w:id="26"/>
      <w:r>
        <w:rPr/>
        <w:t>3.1 Overview of SMR</w:t>
      </w:r>
    </w:p>
    <w:p>
      <w:pPr>
        <w:pStyle w:val="Heading3"/>
        <w:rPr/>
      </w:pPr>
      <w:bookmarkStart w:id="28" w:name="__RefHeading___Toc26413_3211584216"/>
      <w:bookmarkStart w:id="29" w:name="current-projects-and-patents"/>
      <w:bookmarkEnd w:id="28"/>
      <w:r>
        <w:rPr/>
        <w:t>3.1.1 Current Projects and Patents</w:t>
      </w:r>
    </w:p>
    <w:p>
      <w:pPr>
        <w:pStyle w:val="FirstParagraph"/>
        <w:rPr/>
      </w:pPr>
      <w:r>
        <w:rPr/>
        <w:t>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 “completed and qualified through test and demonstration”, level 9 one operated across its full range of conditions (US Department of Energy, 2015). The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 in OPG’s filing)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to proceed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gas-cooled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 design approved May 2025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Heading4"/>
        <w:rPr/>
      </w:pPr>
      <w:bookmarkStart w:id="30" w:name="patents"/>
      <w:r>
        <w:rPr/>
        <w:t>Patents</w:t>
      </w:r>
    </w:p>
    <w:p>
      <w:pPr>
        <w:pStyle w:val="FirstParagraph"/>
        <w:rPr/>
      </w:pPr>
      <w:r>
        <w:rPr/>
        <w:t>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rPr/>
      </w:pPr>
      <w:bookmarkStart w:id="31" w:name="current-projects-and-patents"/>
      <w:bookmarkStart w:id="32" w:name="patents"/>
      <w:r>
        <w:rPr/>
        <w:t>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bookmarkEnd w:id="31"/>
      <w:bookmarkEnd w:id="32"/>
    </w:p>
    <w:p>
      <w:pPr>
        <w:pStyle w:val="Heading3"/>
        <w:rPr/>
      </w:pPr>
      <w:bookmarkStart w:id="33" w:name="__RefHeading___Toc26415_3211584216"/>
      <w:bookmarkStart w:id="34" w:name="Xb1ffc1080fdf38f7feb2061406364c544a34d75"/>
      <w:bookmarkEnd w:id="33"/>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rPr/>
      </w:pPr>
      <w:bookmarkStart w:id="35" w:name="Xb1ffc1080fdf38f7feb2061406364c544a34d75"/>
      <w:r>
        <w:rPr/>
        <w:t>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bookmarkEnd w:id="35"/>
    </w:p>
    <w:p>
      <w:pPr>
        <w:pStyle w:val="Heading3"/>
        <w:rPr/>
      </w:pPr>
      <w:bookmarkStart w:id="36" w:name="__RefHeading___Toc26417_3211584216"/>
      <w:bookmarkStart w:id="37" w:name="X282bf2c80aeb6e14a6d21bd058e6df252031dca"/>
      <w:bookmarkEnd w:id="36"/>
      <w:r>
        <w:rPr/>
        <w:t>3.1.3 Barriers to cutting emissions with small modular reactors</w:t>
      </w:r>
    </w:p>
    <w:p>
      <w:pPr>
        <w:pStyle w:val="FirstParagraph"/>
        <w:rPr/>
      </w:pPr>
      <w:r>
        <w:rPr/>
        <w:t>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(OPG’s figure as reported,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 so financing sets the price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(sum of squared market shares)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of enrichment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(this study,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concrete needs nuclear qualification before Units 2–4 are fixed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Support depends on framing; Australia has 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plant would draw on 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cost, producer-funded; Australia has no disposal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spent fuel can be licensed without a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4"/>
        <w:rPr/>
      </w:pPr>
      <w:r>
        <w:rPr/>
        <w:t>Reading the table</w:t>
      </w:r>
    </w:p>
    <w:p>
      <w:pPr>
        <w:pStyle w:val="FirstParagraph"/>
        <w:rPr/>
      </w:pPr>
      <w:r>
        <w:rPr/>
        <w:t>C1 moves only rows 2 and 5; Section 3.3 and Section 3.6.2 test the schedule risk.</w:t>
      </w:r>
    </w:p>
    <w:p>
      <w:pPr>
        <w:pStyle w:val="normal1"/>
        <w:rPr/>
      </w:pPr>
      <w:bookmarkStart w:id="38" w:name="X282bf2c80aeb6e14a6d21bd058e6df252031dca"/>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3"/>
        <w:rPr/>
      </w:pPr>
      <w:bookmarkStart w:id="39" w:name="__RefHeading___Toc26419_3211584216"/>
      <w:bookmarkStart w:id="40" w:name="X90098c7b12d1bfce5617586e418e3203c93a876"/>
      <w:bookmarkEnd w:id="39"/>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Heading4"/>
        <w:rPr/>
      </w:pPr>
      <w:bookmarkStart w:id="41" w:name="the-proposal"/>
      <w:r>
        <w:rPr/>
        <w:t>The proposal</w:t>
      </w:r>
    </w:p>
    <w:p>
      <w:pPr>
        <w:pStyle w:val="FirstParagraph"/>
        <w:rPr/>
      </w:pPr>
      <w:r>
        <w:rPr/>
        <w:t>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 (Unit 1’s basemat is placed)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concrete per unit; 20,000 m³ (40%) eligible (BWRX-300 Ostrołęka sp. z o.o., 2023)</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basemat, shaft-wall and forebay-shaft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Pillai et al., 2019);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rPr/>
      </w:pPr>
      <w:r>
        <w:rPr/>
        <w:t>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rPr/>
      </w:pPr>
      <w:r>
        <w:rPr/>
        <w:t>What C1 does not address. It leaves cost, law, fuel supply, social licence and workforce untouched (Table T2); lower-carbon steel in the same structures is the next lever (Section 3.2.3, Section 3.8).</w:t>
      </w:r>
    </w:p>
    <w:p>
      <w:pPr>
        <w:pStyle w:val="normal1"/>
        <w:rPr/>
      </w:pPr>
      <w:bookmarkStart w:id="42" w:name="X90098c7b12d1bfce5617586e418e3203c93a876"/>
      <w:bookmarkStart w:id="43" w:name="the-proposal"/>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p>
    <w:p>
      <w:pPr>
        <w:pStyle w:val="Heading3"/>
        <w:rPr/>
      </w:pPr>
      <w:bookmarkStart w:id="44" w:name="__RefHeading___Toc26421_3211584216"/>
      <w:bookmarkStart w:id="45" w:name="materials-from-extraction-to-end-of-life"/>
      <w:bookmarkEnd w:id="44"/>
      <w:r>
        <w:rPr/>
        <w:t>3.1.5 Materials from extraction to end-of-life</w:t>
      </w:r>
    </w:p>
    <w:p>
      <w:pPr>
        <w:pStyle w:val="FirstParagraph"/>
        <w:rPr/>
      </w:pPr>
      <w:r>
        <w:rPr/>
        <w:t>For C1, the binder’s carbon arises in the kiln, but its risks arise in the pour and at decommissioning. Stages follow Section 3.2’s boundary; operation, decommissioning and waste use published per-kWh values (Section 3.2.1).</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burnt in a kiln;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with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Iron blast-furnace by-product, ground;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Higher superplasticiser demand, 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used in nuclear mixes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so similar risk (our inference); no LC³ heat data found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in calcined clay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Heading4"/>
        <w:rPr/>
      </w:pPr>
      <w:r>
        <w:rPr/>
        <w:t>Steel</w:t>
      </w:r>
    </w:p>
    <w:p>
      <w:pPr>
        <w:pStyle w:val="FirstParagraph"/>
        <w:rPr/>
      </w:pPr>
      <w:r>
        <w:rPr/>
        <w:t>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Heading4"/>
        <w:rPr/>
      </w:pPr>
      <w:bookmarkStart w:id="46" w:name="end-of-life"/>
      <w:r>
        <w:rPr/>
        <w:t>End of life</w:t>
      </w:r>
    </w:p>
    <w:p>
      <w:pPr>
        <w:pStyle w:val="FirstParagraph"/>
        <w:rPr/>
      </w:pPr>
      <w:bookmarkStart w:id="47" w:name="overview-of-smr"/>
      <w:bookmarkStart w:id="48" w:name="materials-from-extraction-to-end-of-life"/>
      <w:bookmarkStart w:id="49" w:name="end-of-life"/>
      <w:r>
        <w:rPr/>
        <w:t>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 “a few per cent” as waste (Thierfeldt, 2019). On an assumed 2.4 t/m³ and a 2–5% reading, a unit’s 50,000 m³ (120,000 t) would leave 2,400–6,000 t of waste. The europium and cobalt content of calcined clay is unknown, so qualification should measure it (Section 3.8).</w:t>
      </w:r>
      <w:bookmarkEnd w:id="47"/>
      <w:bookmarkEnd w:id="48"/>
      <w:bookmarkEnd w:id="49"/>
    </w:p>
    <w:p>
      <w:pPr>
        <w:pStyle w:val="Heading2"/>
        <w:rPr/>
      </w:pPr>
      <w:bookmarkStart w:id="50" w:name="__RefHeading___Toc26423_3211584216"/>
      <w:bookmarkStart w:id="51" w:name="lifecycle-analysis"/>
      <w:bookmarkEnd w:id="50"/>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bookmarkStart w:id="52" w:name="__RefHeading___Toc26425_3211584216"/>
      <w:bookmarkStart w:id="53" w:name="goal-scope-and-method"/>
      <w:bookmarkEnd w:id="52"/>
      <w:r>
        <w:rPr/>
        <w:t>3.2.1 Goal, scope and method</w:t>
      </w:r>
    </w:p>
    <w:p>
      <w:pPr>
        <w:pStyle w:val="Heading4"/>
        <w:rPr/>
      </w:pPr>
      <w:bookmarkStart w:id="54" w:name="goal"/>
      <w:r>
        <w:rPr/>
        <w:t>Goal</w:t>
      </w:r>
    </w:p>
    <w:p>
      <w:pPr>
        <w:pStyle w:val="FirstParagraph"/>
        <w:rPr/>
      </w:pPr>
      <w:r>
        <w:rPr/>
        <w:t>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rPr/>
      </w:pPr>
      <w:bookmarkStart w:id="55" w:name="goal"/>
      <w:r>
        <w:rPr/>
        <w:t>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bookmarkEnd w:id="55"/>
    </w:p>
    <w:p>
      <w:pPr>
        <w:pStyle w:val="Heading4"/>
        <w:rPr/>
      </w:pPr>
      <w:bookmarkStart w:id="56" w:name="method-and-inventory"/>
      <w:r>
        <w:rPr/>
        <w:t>Method and inventory</w:t>
      </w:r>
    </w:p>
    <w:p>
      <w:pPr>
        <w:pStyle w:val="FirstParagraph"/>
        <w:rPr/>
      </w:pPr>
      <w:r>
        <w:rPr/>
        <w:t>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bookmarkStart w:id="57" w:name="goal-scope-and-method"/>
      <w:bookmarkStart w:id="58" w:name="method-and-inventory"/>
      <w:r>
        <w:rPr/>
        <w:t>Figure F1. LCA system boundary for one BWRX-300 at Darlington: fuel front end, construction materials and C1-eligible concrete modelled here; operation, decommissioning and back end from the literature. | Source: this study.</w:t>
      </w:r>
      <w:bookmarkEnd w:id="57"/>
      <w:bookmarkEnd w:id="58"/>
    </w:p>
    <w:p>
      <w:pPr>
        <w:pStyle w:val="Heading3"/>
        <w:rPr/>
      </w:pPr>
      <w:bookmarkStart w:id="59" w:name="__RefHeading___Toc26427_3211584216"/>
      <w:bookmarkStart w:id="60" w:name="baseline-and-hotspots"/>
      <w:bookmarkEnd w:id="59"/>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7.2–17.8% across draws). The C1-eligible concrete is only 1.9% of the mode-case total, so C1 acts on about one-fiftieth of the footprint.</w:t>
      </w:r>
    </w:p>
    <w:p>
      <w:pPr>
        <w:pStyle w:val="BodyText"/>
        <w:rPr/>
      </w:pPr>
      <w:r>
        <w:rPr/>
        <w:t>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bookmarkStart w:id="61" w:name="baseline-and-hotspots"/>
      <w:r>
        <w:rPr/>
        <w:t>Figure F2. Life-cycle emissions of one BWRX-300 by stage: expected value 4.49 g CO₂e/kWh (Monte Carlo mean), with the mode case (every input at its most likely value, total 2.86) marked. | Source: this study, Appendix C3.</w:t>
      </w:r>
      <w:bookmarkEnd w:id="61"/>
    </w:p>
    <w:p>
      <w:pPr>
        <w:pStyle w:val="Heading3"/>
        <w:rPr/>
      </w:pPr>
      <w:bookmarkStart w:id="62" w:name="__RefHeading___Toc26429_3211584216"/>
      <w:bookmarkStart w:id="63" w:name="the-initiative-against-the-baseline"/>
      <w:bookmarkEnd w:id="62"/>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rPr/>
      </w:pPr>
      <w:bookmarkStart w:id="64" w:name="the-initiative-against-the-baseline"/>
      <w:r>
        <w:rPr/>
        <w:t>For the triple-bottom-line evaluation (Section 3.7), C1 is environmentally positive but marginal; feasibility hinges on qualification and schedule.</w:t>
      </w:r>
      <w:bookmarkEnd w:id="64"/>
    </w:p>
    <w:p>
      <w:pPr>
        <w:pStyle w:val="Heading3"/>
        <w:rPr/>
      </w:pPr>
      <w:bookmarkStart w:id="65" w:name="__RefHeading___Toc26431_3211584216"/>
      <w:bookmarkStart w:id="66" w:name="uncertainty-tornado-and-monte-carlo"/>
      <w:bookmarkEnd w:id="65"/>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bookmarkStart w:id="67" w:name="uncertainty-tornado-and-monte-carlo"/>
      <w:r>
        <w:rPr/>
        <w:t>Figure F4. Monte Carlo distributions (20,000 draws) of life-cycle intensity (median 4.40, 5th–95th percentile 3.24–6.05 g CO₂e/kWh) and of C1’s saving per unit at central eligibility. | Source: this study, Appendix C4.</w:t>
      </w:r>
      <w:bookmarkEnd w:id="67"/>
    </w:p>
    <w:p>
      <w:pPr>
        <w:pStyle w:val="Heading3"/>
        <w:rPr/>
      </w:pPr>
      <w:bookmarkStart w:id="68" w:name="__RefHeading___Toc26433_3211584216"/>
      <w:bookmarkStart w:id="69" w:name="comparison-with-published-values"/>
      <w:bookmarkEnd w:id="68"/>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rPr/>
      </w:pPr>
      <w:r>
        <w:rPr/>
        <w:t>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rPr/>
      </w:pPr>
      <w:r>
        <w:rPr/>
        <w:t>Construction is now 0.41 g/kWh at the mode case (median 0.50), close to EDF’s roughly 0.59 for large reactors (16% of 3.7). 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pPr>
        <w:pStyle w:val="normal1"/>
        <w:rPr/>
      </w:pPr>
      <w:bookmarkStart w:id="70" w:name="lifecycle-analysis"/>
      <w:bookmarkStart w:id="71" w:name="comparison-with-published-values"/>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p>
    <w:p>
      <w:pPr>
        <w:pStyle w:val="Heading2"/>
        <w:rPr/>
      </w:pPr>
      <w:bookmarkStart w:id="72" w:name="__RefHeading___Toc26435_3211584216"/>
      <w:bookmarkStart w:id="73" w:name="X3ddf3e033a24408f4e033b74259d967de4cad05"/>
      <w:bookmarkEnd w:id="72"/>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p>
      <w:pPr>
        <w:pStyle w:val="Heading3"/>
        <w:rPr/>
      </w:pPr>
      <w:bookmarkStart w:id="74" w:name="__RefHeading___Toc26437_3211584216"/>
      <w:bookmarkStart w:id="75" w:name="the-value-of-schedule"/>
      <w:bookmarkEnd w:id="74"/>
      <w:r>
        <w:rPr/>
        <w:t>3.3.1 The value of schedule</w:t>
      </w:r>
    </w:p>
    <w:p>
      <w:pPr>
        <w:pStyle w:val="FirstParagraph"/>
        <w:rPr/>
      </w:pPr>
      <w:r>
        <w:rPr/>
        <w:t>A unit that starts late gives up each day’s displacement (Table T6). Counted to 2050 (the “gross” view) the loss is permanent. Over the plant’s whole life (the “net” view) the lost time returns at end of life, but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bookmarkStart w:id="76" w:name="the-value-of-schedule"/>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bookmarkEnd w:id="76"/>
    </w:p>
    <w:p>
      <w:pPr>
        <w:pStyle w:val="Heading3"/>
        <w:rPr/>
      </w:pPr>
      <w:bookmarkStart w:id="77" w:name="__RefHeading___Toc26439_3211584216"/>
      <w:bookmarkStart w:id="78" w:name="Xb77cf30fc1ffb1f20fb94e7af23c490604b5f45"/>
      <w:bookmarkEnd w:id="77"/>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rPr/>
      </w:pPr>
      <w:r>
        <w:rPr/>
        <w:t>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rPr/>
      </w:pPr>
      <w:r>
        <w:rPr/>
        <w:t>To 2050 (Figure F6), Darlington Unit 1 avoids 1.0–6.8 Mt and Liddell 0.67–3.9 Mt. Liddell wins clearly only if the NEM stays at 640 g/kWh (16.5 Mt).</w:t>
      </w:r>
    </w:p>
    <w:p>
      <w:pPr>
        <w:pStyle w:val="BodyText"/>
        <w:rPr/>
      </w:pPr>
      <w:r>
        <w:rPr/>
        <w:t>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rPr/>
      </w:pPr>
      <w:r>
        <w:rPr/>
        <w:t>An SMR’s climate value depends on when it runs and what it displaces, not on today’s coal share. In Ontario the case rests on displacing marginal gas. At Liddell it rests on the NEM decarbonising slowly.</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bookmarkStart w:id="79" w:name="Xb77cf30fc1ffb1f20fb94e7af23c490604b5f45"/>
      <w:r>
        <w:rPr/>
        <w:t>Figure F6. CO₂e avoided to 2050 by one BWRX-300: Darlington Unit 1 (from 2030) against Liddell (from 2035 or 2040), by grid case; hatched bars are upper bounds. | Source: this study, Appendix B4 (Table B17)</w:t>
      </w:r>
      <w:bookmarkEnd w:id="79"/>
    </w:p>
    <w:p>
      <w:pPr>
        <w:pStyle w:val="Heading3"/>
        <w:rPr/>
      </w:pPr>
      <w:bookmarkStart w:id="80" w:name="__RefHeading___Toc26441_3211584216"/>
      <w:bookmarkStart w:id="81" w:name="the-same-money-on-firmed-renewables"/>
      <w:bookmarkEnd w:id="80"/>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 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bookmarkStart w:id="82" w:name="X3ddf3e033a24408f4e033b74259d967de4cad05"/>
      <w:bookmarkStart w:id="83" w:name="the-same-money-on-firmed-renewables"/>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__RefHeading___Toc26443_3211584216"/>
      <w:bookmarkStart w:id="85" w:name="stakeholder-analysis"/>
      <w:bookmarkEnd w:id="84"/>
      <w:r>
        <w:rPr/>
        <w:t>3.4 Stakeholder Analysis</w:t>
      </w:r>
    </w:p>
    <w:p>
      <w:pPr>
        <w:pStyle w:val="Heading3"/>
        <w:rPr/>
      </w:pPr>
      <w:bookmarkStart w:id="86" w:name="__RefHeading___Toc26445_3211584216"/>
      <w:bookmarkStart w:id="87" w:name="stakeholders-and-money-flows"/>
      <w:bookmarkEnd w:id="86"/>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and suitable response for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eligible concrete scope, budgets,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Ontario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compliance and safety case; evaluate material changes where applicable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and other rights holders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cultural and environmental interests;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 lower-carbon economic development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Phase 1 loan, C$0.97 bn (4.6%) (Canada Infrastructure Bank, 2022); equity in two tranches, C$3.0 bn (14.4%), for stakes of up to 15% and 7.5%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ready-mix and clay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 warranties, continuous quality testing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electricity customers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transparent reporting, cost and reliability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Workers, unions and laboratories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Occupational safety, training, testing, reliable construction procedures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jobs per SMR (Section 3.4.2)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NWMO and waste managers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waste stewardship; funded end-of-life obligations</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Producer-funded (Section 3.4.2)</w:t>
            </w:r>
          </w:p>
        </w:tc>
      </w:tr>
    </w:tbl>
    <w:p>
      <w:pPr>
        <w:pStyle w:val="normal1"/>
        <w:rPr/>
      </w:pPr>
      <w:bookmarkStart w:id="88" w:name="stakeholders-and-money-flows"/>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3"/>
        <w:rPr/>
      </w:pPr>
      <w:bookmarkStart w:id="89" w:name="__RefHeading___Toc26447_3211584216"/>
      <w:bookmarkStart w:id="90" w:name="social-licence"/>
      <w:bookmarkEnd w:id="89"/>
      <w:r>
        <w:rPr/>
        <w:t>3.4.2 Social licence</w:t>
      </w:r>
    </w:p>
    <w:p>
      <w:pPr>
        <w:pStyle w:val="FirstParagraph"/>
        <w:rPr/>
      </w:pPr>
      <w:r>
        <w:rPr/>
        <w:t>The same reactor has a social licence at Darlington and none at Liddell. Safety data do not explain the difference; consent, benefit and trust do (Table T8).</w:t>
      </w:r>
    </w:p>
    <w:p>
      <w:pPr>
        <w:pStyle w:val="Heading4"/>
        <w:rPr/>
      </w:pPr>
      <w:bookmarkStart w:id="91" w:name="perceived-and-actual-safety"/>
      <w:r>
        <w:rPr/>
        <w:t>Perceived and actual safety</w:t>
      </w:r>
    </w:p>
    <w:p>
      <w:pPr>
        <w:pStyle w:val="FirstParagraph"/>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bookmarkEnd w:id="91"/>
    </w:p>
    <w:p>
      <w:pPr>
        <w:pStyle w:val="Heading4"/>
        <w:rPr/>
      </w:pPr>
      <w:bookmarkStart w:id="92" w:name="translation-to-practice"/>
      <w:r>
        <w:rPr/>
        <w:t>Translation to practice</w:t>
      </w:r>
    </w:p>
    <w:p>
      <w:pPr>
        <w:pStyle w:val="FirstParagraph"/>
        <w:rPr/>
      </w:pPr>
      <w:r>
        <w:rPr/>
        <w:t>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about zero against wind or solar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risk factors keep acceptance low (Slovic, 1987); Appendix B8.1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duty to consult met; C$700 m loan converting to equity (Williams Treaties First Nations et al.,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in our searches, itself a finding; no process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Residual dissent and litigation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Scugog Island and Curve Lake raised unmet concerns in 2023–24 (Mississaugas of Scugog Island First Nation, 2023; Curve Lake First Nation,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Kimba ballot 61.6% yes, Barngarla excluded; declaration set aside (</w:t>
            </w:r>
            <w:r>
              <w:rPr>
                <w:rFonts w:eastAsia="Aptos" w:cs="Aptos"/>
                <w:i/>
                <w:iCs/>
                <w:kern w:val="0"/>
                <w:lang w:val="en-US"/>
              </w:rPr>
              <w:t>Barngarla</w:t>
            </w:r>
            <w:r>
              <w:rPr>
                <w:rFonts w:eastAsia="Aptos" w:cs="Aptos"/>
                <w:kern w:val="0"/>
                <w:lang w:val="en-US"/>
              </w:rPr>
              <w:t xml:space="preserve"> [2023] FCA 809)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Excluding Traditional Owners left the declaration open to challenge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 unions support (Power Workers’ Union,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scarce trades</w:t>
            </w:r>
          </w:p>
        </w:tc>
      </w:tr>
    </w:tbl>
    <w:p>
      <w:pPr>
        <w:pStyle w:val="normal1"/>
        <w:rPr/>
      </w:pPr>
      <w:bookmarkStart w:id="93" w:name="stakeholder-analysis"/>
      <w:bookmarkStart w:id="94" w:name="social-licence"/>
      <w:bookmarkStart w:id="95" w:name="translation-to-practice"/>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bookmarkEnd w:id="95"/>
    </w:p>
    <w:p>
      <w:pPr>
        <w:pStyle w:val="Heading2"/>
        <w:rPr/>
      </w:pPr>
      <w:bookmarkStart w:id="96" w:name="__RefHeading___Toc26449_3211584216"/>
      <w:bookmarkStart w:id="97" w:name="market-analysis-and-economic-feasibility"/>
      <w:bookmarkEnd w:id="96"/>
      <w:r>
        <w:rPr/>
        <w:t>3.5 Market Analysis and Economic Feasibility</w:t>
      </w:r>
    </w:p>
    <w:p>
      <w:pPr>
        <w:pStyle w:val="Heading3"/>
        <w:rPr/>
      </w:pPr>
      <w:bookmarkStart w:id="98" w:name="__RefHeading___Toc26451_3211584216"/>
      <w:bookmarkStart w:id="99" w:name="economics-finance-and-market-barriers"/>
      <w:bookmarkEnd w:id="98"/>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Heading4"/>
        <w:rPr/>
      </w:pPr>
      <w:bookmarkStart w:id="100" w:name="cost"/>
      <w:r>
        <w:rPr/>
        <w:t>Cost</w:t>
      </w:r>
    </w:p>
    <w:p>
      <w:pPr>
        <w:pStyle w:val="FirstParagraph"/>
        <w:rPr/>
      </w:pPr>
      <w:bookmarkStart w:id="101" w:name="cost"/>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bookmarkEnd w:id="101"/>
    </w:p>
    <w:p>
      <w:pPr>
        <w:pStyle w:val="Heading4"/>
        <w:rPr/>
      </w:pPr>
      <w:bookmarkStart w:id="102" w:name="risk-and-finance"/>
      <w:r>
        <w:rPr/>
        <w:t>Risk and finance</w:t>
      </w:r>
    </w:p>
    <w:p>
      <w:pPr>
        <w:pStyle w:val="FirstParagraph"/>
        <w:rPr/>
      </w:pPr>
      <w:bookmarkStart w:id="103" w:name="risk-and-finance"/>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 “once project milestones are met” (Canada Growth Fund and Building Ontario Fund, 2025), which is C1’s main financial lever.</w:t>
      </w:r>
      <w:bookmarkEnd w:id="103"/>
    </w:p>
    <w:p>
      <w:pPr>
        <w:pStyle w:val="Heading4"/>
        <w:rPr/>
      </w:pPr>
      <w:bookmarkStart w:id="104" w:name="barriers-to-entry"/>
      <w:r>
        <w:rPr/>
        <w:t>Barriers to entry</w:t>
      </w:r>
    </w:p>
    <w:p>
      <w:pPr>
        <w:pStyle w:val="FirstParagraph"/>
        <w:rPr/>
      </w:pPr>
      <w:bookmarkStart w:id="105" w:name="barriers-to-entry"/>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bookmarkEnd w:id="105"/>
    </w:p>
    <w:p>
      <w:pPr>
        <w:pStyle w:val="Heading4"/>
        <w:rPr/>
      </w:pPr>
      <w:bookmarkStart w:id="106" w:name="the-initiative-c1-1"/>
      <w:r>
        <w:rPr/>
        <w:t>The initiative (C1)</w:t>
      </w:r>
    </w:p>
    <w:p>
      <w:pPr>
        <w:pStyle w:val="FirstParagraph"/>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Free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OPG’s reported four-unit LCOE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C$149/MWh (2024 dollars); ours matches at 4.9% real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regulated utility’s cost of capital</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 2020 to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bookmarkStart w:id="107" w:name="economics-finance-and-market-barriers"/>
      <w:bookmarkStart w:id="108" w:name="the-initiative-c1-1"/>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p>
    <w:p>
      <w:pPr>
        <w:pStyle w:val="Heading3"/>
        <w:rPr/>
      </w:pPr>
      <w:bookmarkStart w:id="109" w:name="__RefHeading___Toc26453_3211584216"/>
      <w:bookmarkStart w:id="110" w:name="supply-concentration-and-geopolitics"/>
      <w:bookmarkEnd w:id="109"/>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Heading4"/>
        <w:rPr/>
      </w:pPr>
      <w:bookmarkStart w:id="111" w:name="sanctions-make-it-worse"/>
      <w:r>
        <w:rPr/>
        <w:t>Sanctions make it worse</w:t>
      </w:r>
    </w:p>
    <w:p>
      <w:pPr>
        <w:pStyle w:val="FirstParagraph"/>
        <w:rPr/>
      </w:pPr>
      <w:bookmarkStart w:id="112" w:name="sanctions-make-it-worse"/>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bookmarkEnd w:id="112"/>
    </w:p>
    <w:p>
      <w:pPr>
        <w:pStyle w:val="Heading4"/>
        <w:rPr/>
      </w:pPr>
      <w:bookmarkStart w:id="113" w:name="darlington-and-liddell-compared"/>
      <w:r>
        <w:rPr/>
        <w:t>Darlington and Liddell compared</w:t>
      </w:r>
    </w:p>
    <w:p>
      <w:pPr>
        <w:pStyle w:val="FirstParagraph"/>
        <w:rPr/>
      </w:pPr>
      <w:bookmarkStart w:id="114" w:name="darlington-and-liddell-compared"/>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bookmarkEnd w:id="114"/>
    </w:p>
    <w:p>
      <w:pPr>
        <w:pStyle w:val="Heading4"/>
        <w:rPr/>
      </w:pPr>
      <w:bookmarkStart w:id="115" w:name="translation-to-practice-1"/>
      <w:r>
        <w:rPr/>
        <w:t>Translation to practice</w:t>
      </w:r>
    </w:p>
    <w:p>
      <w:pPr>
        <w:pStyle w:val="FirstParagraph"/>
        <w:rPr/>
      </w:pPr>
      <w:r>
        <w:rPr/>
        <w:t>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i/>
          <w:iCs/>
        </w:rPr>
        <w:t>Note: High is above 1,800 (2023) and above 2,500 (2010). Sensitivity and limits: Appendix B2.4–B2.5.</w:t>
      </w:r>
    </w:p>
    <w:p>
      <w:pPr>
        <w:pStyle w:val="normal1"/>
        <w:rPr/>
      </w:pPr>
      <w:bookmarkStart w:id="116" w:name="market-analysis-and-economic-feasibility"/>
      <w:bookmarkStart w:id="117" w:name="supply-concentration-and-geopolitics"/>
      <w:bookmarkStart w:id="118" w:name="translation-to-practice-1"/>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bookmarkEnd w:id="118"/>
    </w:p>
    <w:p>
      <w:pPr>
        <w:pStyle w:val="Heading2"/>
        <w:rPr/>
      </w:pPr>
      <w:bookmarkStart w:id="119" w:name="__RefHeading___Toc26455_3211584216"/>
      <w:bookmarkStart w:id="120" w:name="government-regulations-review"/>
      <w:bookmarkEnd w:id="119"/>
      <w:r>
        <w:rPr/>
        <w:t>3.6 Government Regulations Review</w:t>
      </w:r>
    </w:p>
    <w:p>
      <w:pPr>
        <w:pStyle w:val="Heading3"/>
        <w:rPr/>
      </w:pPr>
      <w:bookmarkStart w:id="121" w:name="__RefHeading___Toc26457_3211584216"/>
      <w:bookmarkStart w:id="122" w:name="law-regulation-and-licensing"/>
      <w:bookmarkEnd w:id="121"/>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Heading4"/>
        <w:rPr/>
      </w:pPr>
      <w:bookmarkStart w:id="123" w:name="australia"/>
      <w:r>
        <w:rPr/>
        <w:t>Australia</w:t>
      </w:r>
    </w:p>
    <w:p>
      <w:pPr>
        <w:pStyle w:val="FirstParagraph"/>
        <w:rPr/>
      </w:pPr>
      <w:bookmarkStart w:id="124" w:name="australia"/>
      <w:r>
        <w:rPr/>
        <w:t>Federal repeal fails in the Senate while Labor and the Greens oppose, so the Coalition’s pledge to “repeal all legislative prohibitions” (Liberal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bookmarkEnd w:id="124"/>
    </w:p>
    <w:p>
      <w:pPr>
        <w:pStyle w:val="Heading4"/>
        <w:rPr/>
      </w:pPr>
      <w:bookmarkStart w:id="125" w:name="canada"/>
      <w:r>
        <w:rPr/>
        <w:t>Canada</w:t>
      </w:r>
    </w:p>
    <w:p>
      <w:pPr>
        <w:pStyle w:val="FirstParagraph"/>
        <w:rPr/>
      </w:pPr>
      <w:bookmarkStart w:id="126" w:name="canada"/>
      <w:r>
        <w:rPr/>
        <w:t>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bookmarkEnd w:id="126"/>
    </w:p>
    <w:p>
      <w:pPr>
        <w:pStyle w:val="Heading4"/>
        <w:rPr/>
      </w:pPr>
      <w:bookmarkStart w:id="127" w:name="translation-to-practice-2"/>
      <w:r>
        <w:rPr/>
        <w:t>Translation to practice</w:t>
      </w:r>
    </w:p>
    <w:p>
      <w:pPr>
        <w:pStyle w:val="FirstParagraph"/>
        <w:rPr/>
      </w:pPr>
      <w:r>
        <w:rPr/>
        <w:t>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Labor and the Greens opposed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no body licenses private power reactors, and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new federal regulator or NSW regulator (Appendix B3); the naval regulator began in November 2025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is established; Units 2–4 need a further authorisation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state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stalled in the Assembly, lapses 28 November 2026; Parliament of New South Wales, 2026) or a Commonwealth override under Constitution s 109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bookmarkStart w:id="128" w:name="law-regulation-and-licensing"/>
      <w:bookmarkStart w:id="129" w:name="translation-to-practice-2"/>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p>
    <w:p>
      <w:pPr>
        <w:pStyle w:val="Heading3"/>
        <w:rPr/>
      </w:pPr>
      <w:bookmarkStart w:id="130" w:name="__RefHeading___Toc26459_3211584216"/>
      <w:bookmarkStart w:id="131" w:name="implementation-pathway"/>
      <w:bookmarkEnd w:id="130"/>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it depends on;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with a cap on emissions;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(own contracts);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Classification and provenance: each component’s safety function defined, binder traced; if not, exclude it and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with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verification: EPDs on a comparable product boundary, with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affected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lot records and mock-ups; if not met, a further trial, rework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Heading4"/>
        <w:rPr/>
      </w:pPr>
      <w:r>
        <w:rPr/>
        <w:t>Qualification and sequencing</w:t>
      </w:r>
    </w:p>
    <w:p>
      <w:pPr>
        <w:pStyle w:val="FirstParagraph"/>
        <w:rPr/>
      </w:pPr>
      <w:r>
        <w:rPr/>
        <w:t>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pPr>
        <w:pStyle w:val="normal1"/>
        <w:rPr/>
      </w:pPr>
      <w:bookmarkStart w:id="132" w:name="government-regulations-review"/>
      <w:bookmarkStart w:id="133" w:name="implementation-pathway"/>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p>
    <w:p>
      <w:pPr>
        <w:pStyle w:val="Heading2"/>
        <w:rPr/>
      </w:pPr>
      <w:bookmarkStart w:id="134" w:name="__RefHeading___Toc26461_3211584216"/>
      <w:bookmarkStart w:id="135" w:name="X5539a185355627e6c3e07c8c8240218227305a6"/>
      <w:bookmarkEnd w:id="134"/>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bookmarkStart w:id="136" w:name="__RefHeading___Toc26463_3211584216"/>
      <w:bookmarkEnd w:id="136"/>
      <w:r>
        <w:rPr/>
        <w:t>3.7.1 Triple bottom line</w:t>
      </w:r>
    </w:p>
    <w:p>
      <w:pPr>
        <w:pStyle w:val="FirstParagraph"/>
        <w:rPr/>
      </w:pPr>
      <w:r>
        <w:rPr/>
        <w:t>Table T14 applies the triple bottom line to C1 at Darlington and to the comparison at Liddell, each cell traced to its section.</w:t>
      </w:r>
    </w:p>
    <w:p>
      <w:pPr>
        <w:pStyle w:val="BodyText"/>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supply and end-of-life effects are uncertain.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modest beside capital and less than one day of delay (C$1.8–2.9 m); qualification, sourcing and schedule risk matter.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ownership or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converting to equity. C1 adds no consent issue at the site; sourcing and workplace dust need open handling.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 Enrichment and conversion would be imported.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bookmarkStart w:id="137" w:name="triple-bottom-line"/>
            <w:bookmarkEnd w:id="137"/>
          </w:p>
        </w:tc>
      </w:tr>
    </w:tbl>
    <w:p>
      <w:pPr>
        <w:pStyle w:val="Heading3"/>
        <w:rPr/>
      </w:pPr>
      <w:bookmarkStart w:id="138" w:name="__RefHeading___Toc26465_3211584216"/>
      <w:bookmarkEnd w:id="138"/>
      <w:r>
        <w:rPr/>
        <w:t>3.7.2 Multi-criteria analysis</w:t>
      </w:r>
    </w:p>
    <w:p>
      <w:pPr>
        <w:pStyle w:val="FirstParagraph"/>
        <w:rPr/>
      </w:pPr>
      <w:r>
        <w:rPr/>
        <w:t>Method in Section 2; working in Appendix B7; social-licence and legal scores from Appendix B8.3 and B3. Technology readiness level (TRL) is not scored.</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Heading4"/>
        <w:rPr/>
      </w:pPr>
      <w:bookmarkStart w:id="139" w:name="rank-reversal"/>
      <w:r>
        <w:rPr/>
        <w:t>Rank reversal</w:t>
      </w:r>
    </w:p>
    <w:p>
      <w:pPr>
        <w:pStyle w:val="FirstParagraph"/>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rPr/>
      </w:pPr>
      <w:r>
        <w:rPr/>
        <w:t>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rPr/>
      </w:pPr>
      <w:bookmarkStart w:id="140" w:name="rank-reversal"/>
      <w:r>
        <w:rPr/>
        <w:t>The status quo’s second place over the SMR is a scaling artefact. It scores full marks on cost, supply and legal feasibility because it changes nothing; on fixed global scales the SMR moves above it. Renewables stay first on both.</w:t>
      </w:r>
      <w:bookmarkEnd w:id="140"/>
    </w:p>
    <w:p>
      <w:pPr>
        <w:pStyle w:val="Heading3"/>
        <w:rPr/>
      </w:pPr>
      <w:bookmarkStart w:id="141" w:name="__RefHeading___Toc26467_3211584216"/>
      <w:bookmarkStart w:id="142" w:name="verdict-and-limits"/>
      <w:bookmarkEnd w:id="141"/>
      <w:r>
        <w:rPr/>
        <w:t>3.7.3 Verdict and limits</w:t>
      </w:r>
    </w:p>
    <w:p>
      <w:pPr>
        <w:pStyle w:val="Heading4"/>
        <w:rPr/>
      </w:pPr>
      <w:bookmarkStart w:id="143" w:name="darlington"/>
      <w:r>
        <w:rPr/>
        <w:t>Darlington</w:t>
      </w:r>
    </w:p>
    <w:p>
      <w:pPr>
        <w:pStyle w:val="FirstParagraph"/>
        <w:rPr/>
      </w:pPr>
      <w:bookmarkStart w:id="144" w:name="darlington"/>
      <w:r>
        <w:rPr/>
        <w:t>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bookmarkEnd w:id="144"/>
    </w:p>
    <w:p>
      <w:pPr>
        <w:pStyle w:val="Heading4"/>
        <w:rPr/>
      </w:pPr>
      <w:bookmarkStart w:id="145" w:name="australia-1"/>
      <w:r>
        <w:rPr/>
        <w:t>Australia</w:t>
      </w:r>
    </w:p>
    <w:p>
      <w:pPr>
        <w:pStyle w:val="FirstParagraph"/>
        <w:rPr/>
      </w:pPr>
      <w:bookmarkStart w:id="146" w:name="australia-1"/>
      <w:r>
        <w:rPr/>
        <w:t>An SMR at Liddell would need its cost gap closed, first power well before 2040, and the legal and consent barriers removed first (Appendix B3, route C). We would keep SMRs under review against Darlington’s outturn cost.</w:t>
      </w:r>
      <w:bookmarkEnd w:id="146"/>
    </w:p>
    <w:p>
      <w:pPr>
        <w:pStyle w:val="Heading4"/>
        <w:rPr/>
      </w:pPr>
      <w:bookmarkStart w:id="147" w:name="limits"/>
      <w:r>
        <w:rPr/>
        <w:t>Limits</w:t>
      </w:r>
    </w:p>
    <w:p>
      <w:pPr>
        <w:pStyle w:val="FirstParagraph"/>
        <w:rPr/>
      </w:pPr>
      <w:r>
        <w:rPr/>
        <w:t>The social, legal and renewables-supply scores and all four weight sets are our judgement. The status quo’s lead over the SMR depends on the scaling; only “renewables first” is robust to it. Schedule risk enters through first power (2040 at the earliest; the Coalition’s 2035 and a 2045 case change nothing). Costs are GenCost’s (Graham, Hayward and Foster, 2024); the renewables supply score uses solar PV alone (International Energy Agency, 2022).</w:t>
      </w:r>
    </w:p>
    <w:p>
      <w:pPr>
        <w:pStyle w:val="normal1"/>
        <w:rPr/>
      </w:pPr>
      <w:bookmarkStart w:id="148" w:name="X5539a185355627e6c3e07c8c8240218227305a6"/>
      <w:bookmarkStart w:id="149" w:name="verdict-and-limits"/>
      <w:bookmarkStart w:id="150" w:name="limits"/>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bookmarkEnd w:id="150"/>
    </w:p>
    <w:p>
      <w:pPr>
        <w:pStyle w:val="Heading2"/>
        <w:rPr/>
      </w:pPr>
      <w:bookmarkStart w:id="151" w:name="__RefHeading___Toc26469_3211584216"/>
      <w:bookmarkEnd w:id="151"/>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LC³ heat-of-hydration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through diaphragm holes, temperature rise and shrinkage; qualification under NEDO-33926, which reportedly rests on a modified AISC N690 (GE-Hitachi Nuclear Energy, 2024), before the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in vessel steel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first outside the pressure boundary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licence application was accepted in August 2025 (Silex Systems Limited, 2025) and Cameco takes its output (Silex Systems Limited,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per unit of energy (Krall, Macfarlane and Ewing, 2022; contested); ANSTO’s Synroc ceramic, hot-pressed at 1,000 °C and 30 MPa, cuts volume against cement but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 for Australia, an export of know-how rather than a reason to build</w:t>
            </w:r>
            <w:bookmarkStart w:id="152" w:name="discussion"/>
            <w:bookmarkStart w:id="153" w:name="future-material-properties-and-processes"/>
            <w:bookmarkEnd w:id="152"/>
            <w:bookmarkEnd w:id="153"/>
          </w:p>
        </w:tc>
      </w:tr>
    </w:tbl>
    <w:p>
      <w:pPr>
        <w:pStyle w:val="Heading1"/>
        <w:rPr/>
      </w:pPr>
      <w:bookmarkStart w:id="154" w:name="__RefHeading___Toc26471_3211584216"/>
      <w:bookmarkEnd w:id="154"/>
      <w:r>
        <w:rPr/>
        <w:t>4 Conclusion</w:t>
      </w:r>
    </w:p>
    <w:p>
      <w:pPr>
        <w:pStyle w:val="FirstParagraph"/>
        <w:rPr/>
      </w:pPr>
      <w:r>
        <w:rPr/>
        <w:t>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Heading4"/>
        <w:rPr/>
      </w:pPr>
      <w:bookmarkStart w:id="155" w:name="research-questions-1"/>
      <w:r>
        <w:rPr/>
        <w:t>Research questions</w:t>
      </w:r>
    </w:p>
    <w:p>
      <w:pPr>
        <w:pStyle w:val="Compact"/>
        <w:numPr>
          <w:ilvl w:val="0"/>
          <w:numId w:val="22"/>
        </w:numPr>
        <w:rPr/>
      </w:pPr>
      <w:r>
        <w:rPr>
          <w:i/>
          <w:iCs/>
        </w:rPr>
        <w:t>Life cycle (Section 3.2).</w:t>
      </w:r>
      <w:r>
        <w:rPr/>
        <w:t xml:space="preserve"> One BWRX-300 emits about 4 g CO₂e/kWh, mostly from the fuel front end; conversion heat is the largest uncertainty.</w:t>
      </w:r>
    </w:p>
    <w:p>
      <w:pPr>
        <w:pStyle w:val="Compact"/>
        <w:numPr>
          <w:ilvl w:val="0"/>
          <w:numId w:val="23"/>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24"/>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5"/>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bookmarkStart w:id="156" w:name="research-questions-1"/>
      <w:r>
        <w:rPr/>
        <w:t>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bookmarkEnd w:id="156"/>
    </w:p>
    <w:p>
      <w:pPr>
        <w:pStyle w:val="Heading4"/>
        <w:rPr/>
      </w:pPr>
      <w:bookmarkStart w:id="157" w:name="limitations"/>
      <w:bookmarkEnd w:id="157"/>
      <w:r>
        <w:rPr/>
        <w:t>Limitations</w:t>
      </w:r>
    </w:p>
    <w:p>
      <w:pPr>
        <w:pStyle w:val="FirstParagraph"/>
        <w:rPr/>
      </w:pPr>
      <w:r>
        <w:rPr/>
        <w:t>A screening LCA, not critically reviewed; MCDA scores and weights are our judgement; inputs are as described in Section 2; legislation is as compiled, without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bookmarkStart w:id="158" w:name="limitations"/>
      <w:bookmarkStart w:id="159" w:name="limitations"/>
      <w:bookmarkEnd w:id="159"/>
      <w:r>
        <w:br w:type="page"/>
      </w:r>
    </w:p>
    <w:p>
      <w:pPr>
        <w:pStyle w:val="Heading1"/>
        <w:spacing w:before="0" w:after="120"/>
        <w:rPr/>
      </w:pPr>
      <w:bookmarkStart w:id="160" w:name="__RefHeading___Toc26473_3211584216"/>
      <w:bookmarkStart w:id="161" w:name="references"/>
      <w:bookmarkEnd w:id="160"/>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ABC News, 2026. Coalition vows to “take a chainsaw” to climate laws and offshore wind. </w:t>
      </w:r>
      <w:r>
        <w:rPr>
          <w:i/>
          <w:iCs/>
        </w:rPr>
        <w:t>ABC News</w:t>
      </w:r>
      <w:r>
        <w:rPr/>
        <w:t>, 23 September. [online] Available at: https://www.abc.net.au/news/2026-09-23/coalition-energy-plan-scrap-renewables-climate-laws/107184376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ARPANSA, n.d. </w:t>
      </w:r>
      <w:r>
        <w:rPr>
          <w:i/>
          <w:iCs/>
        </w:rPr>
        <w:t>Who we regulate</w:t>
      </w:r>
      <w:r>
        <w:rPr/>
        <w:t>. [online] Australian Radiation Protection and Nuclear Safety Agency. Available at: https://www.arpansa.gov.au/regulation-and-licensing/regulation/about-regulatory-services/who-we-regulate [Accessed 20 October 2026].</w:t>
      </w:r>
    </w:p>
    <w:p>
      <w:pPr>
        <w:pStyle w:val="BodyText"/>
        <w:rPr/>
      </w:pPr>
      <w:r>
        <w:rPr/>
        <w:t xml:space="preserve">The Atmospheric Fund, 2021. </w:t>
      </w:r>
      <w:r>
        <w:rPr>
          <w:i/>
          <w:iCs/>
        </w:rPr>
        <w:t>A Clearer View of Ontario’s Emissions: Electricity Emissions Factors and Guidelines, 2021 Edition</w:t>
      </w:r>
      <w:r>
        <w:rPr/>
        <w:t>. [pdf] Toronto: The Atmospheric Fund. Available at: https://taf.ca/custom/uploads/2021/11/20211116_TAF_Emissions-Factors-Guidelines.pdf.</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Electoral Commission, 2019. </w:t>
      </w:r>
      <w:r>
        <w:rPr>
          <w:i/>
          <w:iCs/>
        </w:rPr>
        <w:t>District Council of Kimba community ballot on the National Radioactive Waste Management Facility: results</w:t>
      </w:r>
      <w:r>
        <w:rPr/>
        <w:t>. Canberra: Australian Electoral Commission.</w:t>
      </w:r>
    </w:p>
    <w:p>
      <w:pPr>
        <w:pStyle w:val="BodyText"/>
        <w:rPr/>
      </w:pPr>
      <w:r>
        <w:rPr/>
        <w:t xml:space="preserve">Australian Electoral Commission, 2025. </w:t>
      </w:r>
      <w:r>
        <w:rPr>
          <w:i/>
          <w:iCs/>
        </w:rPr>
        <w:t>2025 federal election report</w:t>
      </w:r>
      <w:r>
        <w:rPr/>
        <w:t>. [pdf] Canberra: Australian Electoral Commission. Available at: https://www.aec.gov.au/Elections/federal_elections/2025/2025-Federal-Election-Report.pdf [Accessed 20 October 2026].</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Market Operator, 2025. </w:t>
      </w:r>
      <w:r>
        <w:rPr>
          <w:i/>
          <w:iCs/>
        </w:rPr>
        <w:t>Carbon Dioxide Equivalent Intensity Index Procedures</w:t>
      </w:r>
      <w:r>
        <w:rPr/>
        <w:t>. [pdf] Melbourne: AEMO. Available at: https://aemo.com.au/-/media/files/electricity/nem/settlements_and_payments/settlements/2025/carbon-dioxide-equivalent-intensity-index-procedures.pdf.</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Australian Greens, 2025. </w:t>
      </w:r>
      <w:r>
        <w:rPr>
          <w:i/>
          <w:iCs/>
        </w:rPr>
        <w:t>2035: Powering Past Coal &amp; Gas</w:t>
      </w:r>
      <w:r>
        <w:rPr/>
        <w:t>. [pdf] Available at: https://cdn.greens.org.au/cdn/ff/fk0q_VgBQA5t00ZlhkPcF6i2IEZByQHBjpMq1g6YdVQ/1744244709/public/2025-04/2035%20Powering%20Past%20Coal%20&amp;%20Gas.pdf [Accessed 20 October 2026].</w:t>
      </w:r>
    </w:p>
    <w:p>
      <w:pPr>
        <w:pStyle w:val="BodyText"/>
        <w:rPr/>
      </w:pPr>
      <w:r>
        <w:rPr/>
        <w:t xml:space="preserve">Bowen, C., 2025. </w:t>
      </w:r>
      <w:r>
        <w:rPr>
          <w:i/>
          <w:iCs/>
        </w:rPr>
        <w:t>Joint media release: Experts agree: nuclear only getting more expensive, slower for Australia’s energy needs</w:t>
      </w:r>
      <w:r>
        <w:rPr/>
        <w:t>. [online] Canberra: Minister for Climate Change and Energy. Available at: https://minister.dcceew.gov.au/bowen/media-releases/joint-media-release-experts-agree-nuclear-only-getting-more-expensive-slower-australias-energy-needs [Accessed 20 October 2026].</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Energy Regulator, n.d. </w:t>
      </w:r>
      <w:r>
        <w:rPr>
          <w:i/>
          <w:iCs/>
        </w:rPr>
        <w:t>Provincial and Territorial Energy Profiles – Ontario</w:t>
      </w:r>
      <w:r>
        <w:rPr/>
        <w:t>. [online] Available at: https://www.cer-rec.gc.ca/en/data-analysis/energy-markets/provincial-territorial-energy-profiles/provincial-territorial-energy-profiles-ontario.html.</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Canberra Times, 2025. Dutton’s nuclear power plan faces legal hurdles. </w:t>
      </w:r>
      <w:r>
        <w:rPr>
          <w:i/>
          <w:iCs/>
        </w:rPr>
        <w:t>Canberra Times</w:t>
      </w:r>
      <w:r>
        <w:rPr/>
        <w:t>. [online] Available at: https://www.canberratimes.com.au/story/8851241/duttons-nuclear-power-plan-faces-legal-hurdles/ [Accessed 20 October 2026].</w:t>
      </w:r>
    </w:p>
    <w:p>
      <w:pPr>
        <w:pStyle w:val="BodyText"/>
        <w:rPr/>
      </w:pPr>
      <w:r>
        <w:rPr/>
        <w:t xml:space="preserve">Canberra Times, n.d. ‘Nightmare scenario’: states slam Dutton’s nuclear plan. </w:t>
      </w:r>
      <w:r>
        <w:rPr>
          <w:i/>
          <w:iCs/>
        </w:rPr>
        <w:t>Canberra Times</w:t>
      </w:r>
      <w:r>
        <w:rPr/>
        <w:t>. [online] Available at: https://www.canberratimes.com.au/story/8668232/nightmare-scenario-states-slam-duttons-nuclear-plan/ [Accessed 20 October 2026].</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Cement Association of Canada, 2022. </w:t>
      </w:r>
      <w:r>
        <w:rPr>
          <w:i/>
          <w:iCs/>
        </w:rPr>
        <w:t>Environmental Product Declaration: General Use (GU) and Portland-Limestone (GUL) Cements</w:t>
      </w:r>
      <w:r>
        <w:rPr/>
        <w:t>. [pdf] Available at: https://www.astm.org/v3/assets/blt5eb0a2cb04534832/blt9992df315e96e31c/697b1f51f6a61062618f5048/919.CAC_General_Use_(GU)</w:t>
      </w:r>
      <w:r>
        <w:rPr>
          <w:i/>
          <w:iCs/>
        </w:rPr>
        <w:t>and_Portland-Limestone</w:t>
      </w:r>
      <w:r>
        <w:rPr/>
        <w:t>(GUL)_Cements.pdf.</w:t>
      </w:r>
    </w:p>
    <w:p>
      <w:pPr>
        <w:pStyle w:val="BodyText"/>
        <w:rPr/>
      </w:pPr>
      <w:r>
        <w:rPr/>
        <w:t xml:space="preserve">Circular Ecology, 2019. </w:t>
      </w:r>
      <w:r>
        <w:rPr>
          <w:i/>
          <w:iCs/>
        </w:rPr>
        <w:t>Inventory of Carbon and Energy (ICE) database v3.0</w:t>
      </w:r>
      <w:r>
        <w:rPr/>
        <w:t>. Bath: Circular Ecology.</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Concrete Reinforcing Steel Institute, 2022. </w:t>
      </w:r>
      <w:r>
        <w:rPr>
          <w:i/>
          <w:iCs/>
        </w:rPr>
        <w:t>Environmental Product Declaration: Fabricated Steel Reinforcement</w:t>
      </w:r>
      <w:r>
        <w:rPr/>
        <w:t>. Schaumburg, IL: Concrete Reinforcing Steel Institute. Available at: https://www.crsi.org/sustainability/environmental-product-declaration/.</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CSA Group, 2026. </w:t>
      </w:r>
      <w:r>
        <w:rPr>
          <w:i/>
          <w:iCs/>
        </w:rPr>
        <w:t>CSA N287.2, Material requirements for concrete containment structures for nuclear power plants</w:t>
      </w:r>
      <w:r>
        <w:rPr/>
        <w:t>. [online] Standard catalogue information. Toronto: CSA Group. Available at: https://webstore.ansi.org/standards/csa/csan2872026 [Accessed 25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Department of Industry, Science, Energy and Resources, 2020. </w:t>
      </w:r>
      <w:r>
        <w:rPr>
          <w:i/>
          <w:iCs/>
        </w:rPr>
        <w:t>A new agency to manage radioactive waste</w:t>
      </w:r>
      <w:r>
        <w:rPr/>
        <w:t>. [online] Available at: https://industry.gov.au/news-media/australian-radioactive-waste-agency-news/a-new-agency-to-manage-radioactive-waste [Accessed 21 October 2026].</w:t>
      </w:r>
    </w:p>
    <w:p>
      <w:pPr>
        <w:pStyle w:val="BodyText"/>
        <w:rPr/>
      </w:pPr>
      <w:r>
        <w:rPr/>
        <w:t xml:space="preserve">Development Alternatives, n.d. </w:t>
      </w:r>
      <w:r>
        <w:rPr>
          <w:i/>
          <w:iCs/>
        </w:rPr>
        <w:t>LC3 Sustainability Assessment</w:t>
      </w:r>
      <w:r>
        <w:rPr/>
        <w:t xml:space="preserve"> (ver 1.14). Available at: https://devalt.org/images/L2_ProjectPdfs/Report%20-%20LC3%20Sustainability%20Assessment_ver1.14.pdf.</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EFNARC, 2005. </w:t>
      </w:r>
      <w:r>
        <w:rPr>
          <w:i/>
          <w:iCs/>
        </w:rPr>
        <w:t>The European Guidelines for Self-Compacting Concrete: Specification, Production and Use</w:t>
      </w:r>
      <w:r>
        <w:rPr/>
        <w:t>. Farnham: EFNARC.</w:t>
      </w:r>
    </w:p>
    <w:p>
      <w:pPr>
        <w:pStyle w:val="BodyText"/>
        <w:rPr/>
      </w:pPr>
      <w:r>
        <w:rPr/>
        <w:t xml:space="preserve">ENR, 2018. Clay and limestone cement could cut carbon emissions. </w:t>
      </w:r>
      <w:r>
        <w:rPr>
          <w:i/>
          <w:iCs/>
        </w:rPr>
        <w:t>Engineering News-Record</w:t>
      </w:r>
      <w:r>
        <w:rPr/>
        <w:t>, 7 May. Available at: https://digital.bnpmedia.com/article/Construction+Materials/3078554/494167/article.html.</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Geneski, N., McKellar, J.M. and Atkinson, K.D., n.d. Life cycle environmental impacts of small modular reactors: BWRX-300 Darlington project. </w:t>
      </w:r>
      <w:r>
        <w:rPr>
          <w:i/>
          <w:iCs/>
        </w:rPr>
        <w:t>Proceedings of the Canadian Nuclear Society</w:t>
      </w:r>
      <w:r>
        <w:rPr/>
        <w:t>. Available at: https://proceedings.cns-snc.ca/index.php/pcns/article/view/7692.</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Government of Ontario, n.d. </w:t>
      </w:r>
      <w:r>
        <w:rPr>
          <w:i/>
          <w:iCs/>
        </w:rPr>
        <w:t>Ontario energy snapshot</w:t>
      </w:r>
      <w:r>
        <w:rPr/>
        <w:t>. [online] Available at: https://www.ontario.ca/page/ontario-energy-snapshot.</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Graham, P., Hayward, J. and Foster, J., 2025. </w:t>
      </w:r>
      <w:r>
        <w:rPr>
          <w:i/>
          <w:iCs/>
        </w:rPr>
        <w:t>GenCost 2024-25: Final report</w:t>
      </w:r>
      <w:r>
        <w:rPr/>
        <w:t>. [pdf] Australia: CSIRO. Executive summary available at: https://www.csiro.au/-/media/Energy/GenCost/GenCost2024-25Final_ES.pdf.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Independent Electricity System Operator, 2024. </w:t>
      </w:r>
      <w:r>
        <w:rPr>
          <w:i/>
          <w:iCs/>
        </w:rPr>
        <w:t>Ontario’s Energy Future: Spring 2024 Update</w:t>
      </w:r>
      <w:r>
        <w:rPr/>
        <w:t>. [pdf] Toronto: Independent Electricity System Operator. Available at: https://www.ieso.ca/-/media/Files/IESO/Document-Library/Decarbonization-Hub/IESO-Ontarios-Energy-Future-Spring-2024.pdf.</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IPCC, 2006. </w:t>
      </w:r>
      <w:r>
        <w:rPr>
          <w:i/>
          <w:iCs/>
        </w:rPr>
        <w:t>2006 IPCC Guidelines for National Greenhouse Gas Inventories</w:t>
      </w:r>
      <w:r>
        <w:rPr/>
        <w:t>, Vol. 2 Energy, Ch. 2, Table 2.2. Hayama: Institute for Global Environmental Strategies.</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Kazatomprom, 2025. </w:t>
      </w:r>
      <w:r>
        <w:rPr>
          <w:i/>
          <w:iCs/>
        </w:rPr>
        <w:t>Integrated Annual Report 2024</w:t>
      </w:r>
      <w:r>
        <w:rPr/>
        <w:t>. [pdf] Astana: NAC Kazatomprom JSC. Available at: https://www.kazatomprom.kz/storage/59/kap_iar_2024_eng_0205__clean.pdf [Accessed 20 October 2026].</w:t>
      </w:r>
    </w:p>
    <w:p>
      <w:pPr>
        <w:pStyle w:val="BodyText"/>
        <w:rPr/>
      </w:pPr>
      <w:r>
        <w:rPr/>
        <w:t xml:space="preserve">Kim and Macfarlane, 2026. </w:t>
      </w:r>
      <w:r>
        <w:rPr>
          <w:i/>
          <w:iCs/>
        </w:rPr>
        <w:t>Challenges of small modular reactors: a comprehensive exploration</w:t>
      </w:r>
      <w:r>
        <w:rPr/>
        <w:t>. [pdf] Available at: https://www.nirs.org/wp-content/uploads/2025/09/SMR-Costs_Challenges-of-SMRs-cost-waste_Kim-Macfarlane_2026.pdf.</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LACCEI, 2026. Comparative life cycle assessment and structural performance analysis of eco-friendly LC3 cement for CO₂ reduction compared to Portland cement. In: </w:t>
      </w:r>
      <w:r>
        <w:rPr>
          <w:i/>
          <w:iCs/>
        </w:rPr>
        <w:t>Proceedings of the 24th LACCEI International Multi-Conference for Engineering, Education and Technology</w:t>
      </w:r>
      <w:r>
        <w:rPr/>
        <w:t>, Santiago, Chile, 15–17 July 2026. Contribution 2661. Available at: https://laccei.org/LACCEI2026-Chile/full-papers/Contribution_2661_final_a.pdf.</w:t>
      </w:r>
    </w:p>
    <w:p>
      <w:pPr>
        <w:pStyle w:val="BodyText"/>
        <w:rPr/>
      </w:pPr>
      <w:r>
        <w:rPr/>
        <w:t xml:space="preserve">LC3 Project, 2015. </w:t>
      </w:r>
      <w:r>
        <w:rPr>
          <w:i/>
          <w:iCs/>
        </w:rPr>
        <w:t>LCA of LC3: India team progress</w:t>
      </w:r>
      <w:r>
        <w:rPr/>
        <w:t xml:space="preserve"> (industry meeting, September 2015). Available at: https://lc3.ch/wp-content/uploads/2023/03/LCA-of-LC3-India-team-progress-Industry-meeting-Sep-2015.pdf.</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 xml:space="preserve">Minister for Defence, 2025. </w:t>
      </w:r>
      <w:r>
        <w:rPr>
          <w:i/>
          <w:iCs/>
        </w:rPr>
        <w:t>An AUKUS milestone – launch of the Australian Naval Nuclear Power Safety Regulator</w:t>
      </w:r>
      <w:r>
        <w:rPr/>
        <w:t>. [media release] 1 November. Available at: https://www.minister.defence.gov.au/media-releases/2025-11-01/aukus-milestone-launch-australian-naval-nuclear-power-safety-regulator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Municipality of Clarington, 2024. Letter / written submission to the CNSC on the DNNP licence to construct. Available at: https://api.cnsc-ccsn.gc.ca/dms/digital-medias/CMD24-H2-12.pdf/object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Newspoll, 2007. National survey on nuclear power, 2–4 March 2007 (n ≈ 1,200). Published in </w:t>
      </w:r>
      <w:r>
        <w:rPr>
          <w:i/>
          <w:iCs/>
        </w:rPr>
        <w:t>The Australian</w:t>
      </w:r>
      <w:r>
        <w:rPr/>
        <w:t>.</w:t>
      </w:r>
    </w:p>
    <w:p>
      <w:pPr>
        <w:pStyle w:val="BodyText"/>
        <w:rPr/>
      </w:pPr>
      <w:r>
        <w:rPr/>
        <w:t xml:space="preserve">Ng, J.H.C., Vyawahare, P., Benavides, P.T., Gan, Y., Sun, P., Boardman, R., Marcinkoski, J. and Elgowainy, A., 2025. Life-cycle greenhouse gas emissions associated with nuclear power generation in the United States. </w:t>
      </w:r>
      <w:r>
        <w:rPr>
          <w:i/>
          <w:iCs/>
        </w:rPr>
        <w:t>Journal of Industrial Ecology</w:t>
      </w:r>
      <w:r>
        <w:rPr/>
        <w:t>, 29(3), pp.719–732. Available at: https://doi.org/10.1111/jiec.70008.</w:t>
      </w:r>
    </w:p>
    <w:p>
      <w:pPr>
        <w:pStyle w:val="BodyText"/>
        <w:rPr/>
      </w:pPr>
      <w:r>
        <w:rPr/>
        <w:t xml:space="preserve">Norton Rose Fulbright, 2025. </w:t>
      </w:r>
      <w:r>
        <w:rPr>
          <w:i/>
          <w:iCs/>
        </w:rPr>
        <w:t>Key amendments to the Environment Protection Reform Act 2025 and their implications for the EPBC Act</w:t>
      </w:r>
      <w:r>
        <w:rPr/>
        <w:t>. [online] Available at: https://www.nortonrosefulbright.com/en-au/knowledge/publications/df336551/key-amendments-to-the-environment-protection-reform-act-2025-and-their-implications-for-the-epbc-act [Accessed 20 October 2026].</w:t>
      </w:r>
    </w:p>
    <w:p>
      <w:pPr>
        <w:pStyle w:val="BodyText"/>
        <w:rPr/>
      </w:pPr>
      <w:r>
        <w:rPr/>
        <w:t xml:space="preserve">NRMCA, 2021. </w:t>
      </w:r>
      <w:r>
        <w:rPr>
          <w:i/>
          <w:iCs/>
        </w:rPr>
        <w:t>Environmental Product Declaration EPD 20046: St Marys Cement, Bowmanville plant</w:t>
      </w:r>
      <w:r>
        <w:rPr/>
        <w:t>. [pdf] Available at: https://www.nrmca.org/wp-content/uploads/2021/09/NRMCA_EPD20046StMarys_EPD_BOW_Sep2021.pdf.</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2026. </w:t>
      </w:r>
      <w:r>
        <w:rPr>
          <w:i/>
          <w:iCs/>
        </w:rPr>
        <w:t>Form 10-K for the fiscal year ended 31 December 2025</w:t>
      </w:r>
      <w:r>
        <w:rPr/>
        <w:t>. Washington, DC: US Securities and Exchange Commission. Available at: https://www.sec.gov/Archives/edgar/data/1822966/000182296626000018/smr-20251231.htm.</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Power Workers’ Union, 2021. </w:t>
      </w:r>
      <w:r>
        <w:rPr>
          <w:i/>
          <w:iCs/>
        </w:rPr>
        <w:t>Written submission in support of OPG’s application to renew the Darlington power reactor operating licence</w:t>
      </w:r>
      <w:r>
        <w:rPr/>
        <w:t>, CMD 21-H4.38. Available at: https://api.cnsc-ccsn.gc.ca/dms/digital-medias/CMD21-H4-38.pdf/object [Accessed 21 October 2026].</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Reserve Bank of Australia, 2025. </w:t>
      </w:r>
      <w:r>
        <w:rPr>
          <w:i/>
          <w:iCs/>
        </w:rPr>
        <w:t>Historical Data: Exchange Rates (F11)</w:t>
      </w:r>
      <w:r>
        <w:rPr/>
        <w:t>. [online] Sydney: Reserve Bank of Australia.</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 xml:space="preserve">Senate Environment and Communications Legislation Committee, 2023. </w:t>
      </w:r>
      <w:r>
        <w:rPr>
          <w:i/>
          <w:iCs/>
        </w:rPr>
        <w:t>Environment and Other Legislation Amendment (Removing Nuclear Energy Prohibitions) Bill 2022 [Provisions]</w:t>
      </w:r>
      <w:r>
        <w:rPr/>
        <w:t>. [online] Canberra: Parliament of Australia. Available at: https://www.aph.gov.au/Parliamentary_Business/Committees/Senate/Environment_and_Communications/Nuclearprohibitions [Accessed 20 October 2026].</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1988. </w:t>
      </w:r>
      <w:r>
        <w:rPr>
          <w:i/>
          <w:iCs/>
        </w:rPr>
        <w:t>Regulatory Guide 1.99, Revision 2: Radiation embrittlement of reactor vessel materials</w:t>
      </w:r>
      <w:r>
        <w:rPr/>
        <w:t>. [pdf] Washington, DC: US Nuclear Regulatory Commission. Available at: https://www.nrc.gov/docs/ML1214/ML12145A013.pdf [Accessed 25 October 2026].</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bookmarkStart w:id="162" w:name="legislation"/>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bookmarkEnd w:id="162"/>
    </w:p>
    <w:p>
      <w:pPr>
        <w:pStyle w:val="Heading4"/>
        <w:rPr/>
      </w:pPr>
      <w:bookmarkStart w:id="163" w:name="cases"/>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bookmarkEnd w:id="161"/>
      <w:bookmarkEnd w:id="163"/>
    </w:p>
    <w:p>
      <w:pPr>
        <w:pStyle w:val="Heading1"/>
        <w:rPr/>
      </w:pPr>
      <w:bookmarkStart w:id="164" w:name="__RefHeading___Toc26475_3211584216"/>
      <w:bookmarkStart w:id="165" w:name="declaration-of-generative-ai-use"/>
      <w:bookmarkEnd w:id="164"/>
      <w:bookmarkEnd w:id="165"/>
      <w:r>
        <w:rPr/>
        <w:t>Declaration of generative AI use</w:t>
      </w:r>
    </w:p>
    <w:p>
      <w:pPr>
        <w:pStyle w:val="FirstParagraph"/>
        <w:rPr/>
      </w:pPr>
      <w:r>
        <w:rPr/>
        <w:t>[TODO: team to write the AI-use declaration required by the unit (CLAUDE.md: the team decides how AI use is declared).]</w:t>
      </w:r>
    </w:p>
    <w:p>
      <w:pPr>
        <w:pStyle w:val="normal1"/>
        <w:rPr/>
      </w:pPr>
      <w:r>
        <w:rPr/>
      </w:r>
      <w:bookmarkStart w:id="166" w:name="declaration-of-generative-ai-use"/>
      <w:bookmarkStart w:id="167" w:name="declaration-of-generative-ai-use"/>
      <w:bookmarkEnd w:id="167"/>
      <w:r>
        <w:br w:type="page"/>
      </w:r>
    </w:p>
    <w:p>
      <w:pPr>
        <w:pStyle w:val="Heading1"/>
        <w:spacing w:before="0" w:after="120"/>
        <w:rPr/>
      </w:pPr>
      <w:bookmarkStart w:id="168" w:name="__RefHeading___Toc26477_3211584216"/>
      <w:bookmarkStart w:id="169" w:name="appendices"/>
      <w:bookmarkEnd w:id="168"/>
      <w:r>
        <w:rPr/>
        <w:t>Appendices</w:t>
      </w:r>
    </w:p>
    <w:p>
      <w:pPr>
        <w:pStyle w:val="Heading2"/>
        <w:rPr/>
      </w:pPr>
      <w:bookmarkStart w:id="170" w:name="__RefHeading___Toc26479_3211584216"/>
      <w:bookmarkStart w:id="171" w:name="Xddcc31d2d3503f687b8b233cd4a745104a63a5c"/>
      <w:bookmarkEnd w:id="170"/>
      <w:r>
        <w:rPr/>
        <w:t>Appendix A. LCA inventory and calculations</w:t>
      </w:r>
    </w:p>
    <w:p>
      <w:pPr>
        <w:pStyle w:val="FirstParagraph"/>
        <w:rPr/>
      </w:pPr>
      <w:r>
        <w:rPr/>
        <w:t>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p>
      <w:pPr>
        <w:pStyle w:val="Heading4"/>
        <w:rPr/>
      </w:pPr>
      <w:bookmarkStart w:id="172" w:name="a1.-reproducing-the-results"/>
      <w:r>
        <w:rPr/>
        <w:t>A1. Reproducing the results</w:t>
      </w:r>
    </w:p>
    <w:p>
      <w:pPr>
        <w:pStyle w:val="FirstParagraph"/>
        <w:rPr/>
      </w:pPr>
      <w:r>
        <w:rPr/>
        <w:t xml:space="preserve">Every table and figure in Section 3.2 and Appendices A and C regenerates in about five seconds from one parameter file. To change a value, edit </w:t>
      </w:r>
      <w:r>
        <w:rPr>
          <w:rStyle w:val="VerbatimChar"/>
        </w:rPr>
        <w:t>parameters_lca.yaml</w:t>
      </w:r>
      <w:r>
        <w:rPr/>
        <w:t xml:space="preserve"> and re-run the three scripts.</w:t>
      </w:r>
    </w:p>
    <w:p>
      <w:pPr>
        <w:pStyle w:val="BodyText"/>
        <w:rPr/>
      </w:pPr>
      <w:r>
        <w:rPr>
          <w:i/>
          <w:iCs/>
        </w:rPr>
        <w:t>Table A1. Scripts, inputs and outputs.</w:t>
      </w:r>
      <w:r>
        <w:rPr/>
        <w:t xml:space="preserve"> </w:t>
      </w:r>
      <w:r>
        <w:rPr>
          <w:i/>
          <w:iCs/>
        </w:rPr>
        <w:t xml:space="preserve">Source: </w:t>
      </w:r>
      <w:r>
        <w:rPr>
          <w:rStyle w:val="VerbatimChar"/>
          <w:i/>
          <w:iCs/>
        </w:rPr>
        <w:t>03_LCA_Calculations/</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Command (from the repository root)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inventory, fuel mass balance, stage totals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03_LCA_Calculations/scripts/lca_baseline.py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results/lca_baseline.md</w:t>
            </w:r>
            <w:r>
              <w:rPr>
                <w:rFonts w:eastAsia="Aptos" w:cs="Aptos"/>
                <w:kern w:val="0"/>
                <w:lang w:val="en-US"/>
              </w:rPr>
              <w:t xml:space="preserve">, </w:t>
            </w:r>
            <w:r>
              <w:rPr>
                <w:rStyle w:val="VerbatimChar"/>
                <w:rFonts w:eastAsia="Aptos" w:cs="Aptos"/>
                <w:kern w:val="0"/>
                <w:lang w:val="en-US"/>
              </w:rPr>
              <w:t>lca_inventory.csv</w:t>
            </w:r>
            <w:r>
              <w:rPr>
                <w:rFonts w:eastAsia="Aptos" w:cs="Aptos"/>
                <w:kern w:val="0"/>
                <w:lang w:val="en-US"/>
              </w:rPr>
              <w:t xml:space="preserve">, </w:t>
            </w:r>
            <w:r>
              <w:rPr>
                <w:rStyle w:val="VerbatimChar"/>
                <w:rFonts w:eastAsia="Aptos" w:cs="Aptos"/>
                <w:kern w:val="0"/>
                <w:lang w:val="en-US"/>
              </w:rPr>
              <w:t>lca_stages.csv</w:t>
            </w:r>
            <w:r>
              <w:rPr>
                <w:rFonts w:eastAsia="Aptos" w:cs="Aptos"/>
                <w:kern w:val="0"/>
                <w:lang w:val="en-US"/>
              </w:rPr>
              <w:t xml:space="preserve">, </w:t>
            </w:r>
            <w:r>
              <w:rPr>
                <w:rStyle w:val="VerbatimChar"/>
                <w:rFonts w:eastAsia="Aptos" w:cs="Aptos"/>
                <w:kern w:val="0"/>
                <w:lang w:val="en-US"/>
              </w:rPr>
              <w:t>lca_fuel.csv</w:t>
            </w:r>
            <w:r>
              <w:rPr>
                <w:rFonts w:eastAsia="Aptos" w:cs="Aptos"/>
                <w:kern w:val="0"/>
                <w:lang w:val="en-US"/>
              </w:rPr>
              <w:t>, Figure F1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Initiative scenarios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03_LCA_Calculations/scripts/lca_scenarios.py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results/lca_scenarios.md</w:t>
            </w:r>
            <w:r>
              <w:rPr>
                <w:rFonts w:eastAsia="Aptos" w:cs="Aptos"/>
                <w:kern w:val="0"/>
                <w:lang w:val="en-US"/>
              </w:rPr>
              <w:t xml:space="preserve">, </w:t>
            </w:r>
            <w:r>
              <w:rPr>
                <w:rStyle w:val="VerbatimChar"/>
                <w:rFonts w:eastAsia="Aptos" w:cs="Aptos"/>
                <w:kern w:val="0"/>
                <w:lang w:val="en-US"/>
              </w:rPr>
              <w:t>lca_scenarios.csv</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Tornado and Monte Carlo (Appendix 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03_LCA_Calculations/scripts/lca_uncertainty.py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results/lca_uncertainty.md</w:t>
            </w:r>
            <w:r>
              <w:rPr>
                <w:rFonts w:eastAsia="Aptos" w:cs="Aptos"/>
                <w:kern w:val="0"/>
                <w:lang w:val="en-US"/>
              </w:rPr>
              <w:t xml:space="preserve">, </w:t>
            </w:r>
            <w:r>
              <w:rPr>
                <w:rStyle w:val="VerbatimChar"/>
                <w:rFonts w:eastAsia="Aptos" w:cs="Aptos"/>
                <w:kern w:val="0"/>
                <w:lang w:val="en-US"/>
              </w:rPr>
              <w:t>lca_tornado.csv</w:t>
            </w:r>
            <w:r>
              <w:rPr>
                <w:rFonts w:eastAsia="Aptos" w:cs="Aptos"/>
                <w:kern w:val="0"/>
                <w:lang w:val="en-US"/>
              </w:rPr>
              <w:t xml:space="preserve">, </w:t>
            </w:r>
            <w:r>
              <w:rPr>
                <w:rStyle w:val="VerbatimChar"/>
                <w:rFonts w:eastAsia="Aptos" w:cs="Aptos"/>
                <w:kern w:val="0"/>
                <w:lang w:val="en-US"/>
              </w:rPr>
              <w:t>lca_montecarlo_summary.csv</w:t>
            </w:r>
            <w:r>
              <w:rPr>
                <w:rFonts w:eastAsia="Aptos" w:cs="Aptos"/>
                <w:kern w:val="0"/>
                <w:lang w:val="en-US"/>
              </w:rPr>
              <w:t xml:space="preserve">, </w:t>
            </w:r>
            <w:r>
              <w:rPr>
                <w:rStyle w:val="VerbatimChar"/>
                <w:rFonts w:eastAsia="Aptos" w:cs="Aptos"/>
                <w:kern w:val="0"/>
                <w:lang w:val="en-US"/>
              </w:rPr>
              <w:t>lca_stages_expected.csv</w:t>
            </w:r>
            <w:r>
              <w:rPr>
                <w:rFonts w:eastAsia="Aptos" w:cs="Aptos"/>
                <w:kern w:val="0"/>
                <w:lang w:val="en-US"/>
              </w:rPr>
              <w:t>, Figures F2–F5</w:t>
            </w:r>
          </w:p>
        </w:tc>
      </w:tr>
    </w:tbl>
    <w:p>
      <w:pPr>
        <w:pStyle w:val="BodyText"/>
        <w:rPr/>
      </w:pPr>
      <w:r>
        <w:rPr/>
        <w:t xml:space="preserve">All three scripts read only </w:t>
      </w:r>
      <w:r>
        <w:rPr>
          <w:rStyle w:val="VerbatimChar"/>
        </w:rPr>
        <w:t>03_LCA_Calculations/parameters_lca.yaml</w:t>
      </w:r>
      <w:r>
        <w:rPr/>
        <w:t xml:space="preserve"> (68 parameters, each with a value, range, distribution, source key and status).</w:t>
      </w:r>
      <w:bookmarkEnd w:id="172"/>
    </w:p>
    <w:p>
      <w:pPr>
        <w:pStyle w:val="Heading4"/>
        <w:rPr/>
      </w:pPr>
      <w:r>
        <w:rPr/>
        <w:t>A2. Functional unit, lifetime output and key assumptions</w:t>
      </w:r>
    </w:p>
    <w:p>
      <w:pPr>
        <w:pStyle w:val="FirstParagraph"/>
        <w:rPr/>
      </w:pPr>
      <w:r>
        <w:rPr>
          <w:b/>
          <w:bCs/>
        </w:rPr>
        <w:t>Result.</w:t>
      </w:r>
      <w:r>
        <w:rPr/>
        <w:t xml:space="preserve"> One unit delivers 1.419 × 10⁸ MWh over its life, the denominator for every per-MWh value in Section 3.2 and Section 3.3.</w:t>
      </w:r>
    </w:p>
    <w:p>
      <w:pPr>
        <w:pStyle w:val="Compact"/>
        <w:numPr>
          <w:ilvl w:val="0"/>
          <w:numId w:val="3"/>
        </w:numPr>
        <w:rPr/>
      </w:pPr>
      <w:r>
        <w:rPr/>
        <w:t>Annual output = P_net × 8,760 h × CF = 300 MWe × 8,760 × 0.90 = 2,365,200 MWh/yr.</w:t>
      </w:r>
    </w:p>
    <w:p>
      <w:pPr>
        <w:pStyle w:val="Compact"/>
        <w:numPr>
          <w:ilvl w:val="0"/>
          <w:numId w:val="3"/>
        </w:numPr>
        <w:rPr/>
      </w:pPr>
      <w:r>
        <w:rPr/>
        <w:t xml:space="preserve">Lifetime output E = 2,365,200 × 60 = </w:t>
      </w:r>
      <w:r>
        <w:rPr>
          <w:b/>
          <w:bCs/>
        </w:rPr>
        <w:t>1.419 × 10⁸ MWh</w:t>
      </w:r>
      <w:r>
        <w:rPr/>
        <w:t>.</w:t>
      </w:r>
    </w:p>
    <w:p>
      <w:pPr>
        <w:pStyle w:val="Compact"/>
        <w:numPr>
          <w:ilvl w:val="0"/>
          <w:numId w:val="3"/>
        </w:numPr>
        <w:rPr/>
      </w:pPr>
      <w:r>
        <w:rPr/>
        <w:t xml:space="preserve">Net efficiency η = P_net / P_th = 300 / 870 = </w:t>
      </w:r>
      <w:r>
        <w:rPr>
          <w:b/>
          <w:bCs/>
        </w:rPr>
        <w:t>0.345</w:t>
      </w:r>
      <w:r>
        <w:rPr/>
        <w:t xml:space="preserve"> (870 MWt from Sun and Kurosaki, 2025, an unrefereed preprint).</w:t>
      </w:r>
    </w:p>
    <w:p>
      <w:pPr>
        <w:pStyle w:val="Compact"/>
        <w:numPr>
          <w:ilvl w:val="0"/>
          <w:numId w:val="3"/>
        </w:numPr>
        <w:rPr/>
      </w:pPr>
      <w:r>
        <w:rPr/>
        <w:t>Conversion to the functional unit: 1 t CO₂e spread over E is 7.05 × 10⁻⁶ g/kWh.</w:t>
      </w:r>
    </w:p>
    <w:p>
      <w:pPr>
        <w:pStyle w:val="FirstParagraph"/>
        <w:rPr/>
      </w:pPr>
      <w:r>
        <w:rPr/>
        <w:t>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rPr/>
      </w:pPr>
      <w:r>
        <w:rPr>
          <w:i/>
          <w:iCs/>
        </w:rPr>
        <w:t>Table A2a. Plant quantities and results per unit: main case and cross-check.</w:t>
      </w:r>
      <w:r>
        <w:rPr/>
        <w:t xml:space="preserve"> </w:t>
      </w:r>
      <w:r>
        <w:rPr>
          <w:i/>
          <w:iCs/>
        </w:rPr>
        <w:t>Source: this study; BWRX-300 Ostrołęka sp. z o.o. (2023), as reported in the project information sheet; Peterson, Zhao and Petroski (2005).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Main case (Ostrołęka)</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Cross-check (bottom-up)</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(input range 40,000–60,000)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20,700 m³ (69 m³/MWe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MWe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 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69 m³</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 t (33 t/MWe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structural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6,500 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3,105 t; 6,795 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 (40%; 10,000–30,000)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13,081 m³ (infill and forebay shaft)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mode case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57,600 t CO₂e (0.41 g/kWh)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34,381 t (0.24 g/kWh)</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mode case; Monte Carlo median (90% interval)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 4.40 (3.24–6.05)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4.20 (3.05–5.86) g/kWh</w:t>
            </w:r>
          </w:p>
        </w:tc>
      </w:tr>
    </w:tbl>
    <w:p>
      <w:pPr>
        <w:pStyle w:val="BodyText"/>
        <w:rPr/>
      </w:pPr>
      <w:r>
        <w:rPr>
          <w:i/>
          <w:iCs/>
        </w:rPr>
        <w:t>Table A2b. Key assumptions for one BWRX-300 at Darlington (all 45 ranged inputs in Appendix C, Table C2).</w:t>
      </w:r>
      <w:r>
        <w:rPr/>
        <w:t xml:space="preserve"> </w:t>
      </w:r>
      <w:r>
        <w:rPr>
          <w:i/>
          <w:iCs/>
        </w:rPr>
        <w:t xml:space="preserve">Source: </w:t>
      </w:r>
      <w:r>
        <w:rPr>
          <w:rStyle w:val="VerbatimChar"/>
          <w:i/>
          <w:iCs/>
        </w:rPr>
        <w:t>parameters_lca.yaml</w:t>
      </w:r>
      <w:r>
        <w:rPr>
          <w:i/>
          <w:iCs/>
        </w:rPr>
        <w:t>; references as listed. Ranges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(input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capacity factor; design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(300–315); 0.90 (0.80–0.95); 60 years (40–80)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placeholder; Canadian Nuclear Safety Commission (2024)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(40,000–60,000); 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factor (S0)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 (330–420)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 Ontario values (334 and 417)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 factor; cut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28.9% (22–39%)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for LC³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(20–60%)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non-safety works first; DPSC infill only if qualified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 2022 declaration supersedes it); American Institute of Steel Construction (2022), Buy Clean California limits as proxies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bulk materials (25–150%)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kg CO₂e/kg U₃O₈ (24–81)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centrifuge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(26–665); 50 kWh/SWU (40–100)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burnup</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 U-235 (3.4–4.95); 45 GWd/t (35–55)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unrefereed preprint; assumption (both placeholders)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 (×0.5 to ×2; decommissioning ×3)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stage shares as reported by secondary sources; back end by difference</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and slag inputs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GU cement 854 kg CO₂e/t (796–898); slag cement 146.6 (93.4–146.6); binder 350 kg/m³</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Slag Cement Association (n.d.); assumption</w:t>
            </w:r>
            <w:bookmarkStart w:id="173" w:name="Xa2e77a4399fb77857bb3994dd1c371f451280a3"/>
            <w:bookmarkEnd w:id="173"/>
          </w:p>
        </w:tc>
      </w:tr>
    </w:tbl>
    <w:p>
      <w:pPr>
        <w:pStyle w:val="Heading4"/>
        <w:rPr/>
      </w:pPr>
      <w:r>
        <w:rPr/>
        <w:t>A3. Material quantities per unit</w:t>
      </w:r>
    </w:p>
    <w:p>
      <w:pPr>
        <w:pStyle w:val="FirstParagraph"/>
        <w:rPr/>
      </w:pPr>
      <w:r>
        <w:rPr>
          <w:b/>
          <w:bCs/>
        </w:rPr>
        <w:t>Result.</w:t>
      </w:r>
      <w:r>
        <w:rPr/>
        <w:t xml:space="preserve"> The main case is 50,000 m³ of concrete and 14,000 t of steel per unit, with 20,000 m³ (40%) eligible for C1. </w:t>
      </w:r>
      <w:r>
        <w:rPr>
          <w:b/>
          <w:bCs/>
        </w:rPr>
        <w:t>These come from a Polish design (Ostrołęka) and are a proxy, not measured Darlington quantities.</w:t>
      </w:r>
      <w:r>
        <w:rPr/>
        <w:t xml:space="preserve"> 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pStyle w:val="Compact"/>
        <w:numPr>
          <w:ilvl w:val="0"/>
          <w:numId w:val="26"/>
        </w:numPr>
        <w:rPr/>
      </w:pPr>
      <w:r>
        <w:rPr/>
        <w:t xml:space="preserve">Rebar = ρ × plant concrete = 0.15 t/m³ × 50,000 = </w:t>
      </w:r>
      <w:r>
        <w:rPr>
          <w:b/>
          <w:bCs/>
        </w:rPr>
        <w:t>7,500 t</w:t>
      </w:r>
      <w:r>
        <w:rPr/>
        <w:t xml:space="preserve"> (assumption; range 0.10–0.25, the high value being the forebay’s observed 0.25). Plate, structural and equipment steel = 14,000 − 7,500 = </w:t>
      </w:r>
      <w:r>
        <w:rPr>
          <w:b/>
          <w:bCs/>
        </w:rPr>
        <w:t>6,500 t</w:t>
      </w:r>
      <w:r>
        <w:rPr/>
        <w:t>. Rebar is capped at total steel, so plate never goes negative.</w:t>
      </w:r>
    </w:p>
    <w:p>
      <w:pPr>
        <w:pStyle w:val="Compact"/>
        <w:numPr>
          <w:ilvl w:val="0"/>
          <w:numId w:val="27"/>
        </w:numPr>
        <w:rPr/>
      </w:pPr>
      <w:r>
        <w:rPr/>
        <w:t xml:space="preserve">C1-eligible concrete = eligible share × plant concrete = 0.40 × 50,000 = </w:t>
      </w:r>
      <w:r>
        <w:rPr>
          <w:b/>
          <w:bCs/>
        </w:rPr>
        <w:t>20,000 m³</w:t>
      </w:r>
      <w:r>
        <w:rPr/>
        <w:t>; 10,000 and 30,000 m³ at 20% and 60%. The eligible share is a scenario, not data.</w:t>
      </w:r>
    </w:p>
    <w:p>
      <w:pPr>
        <w:pStyle w:val="Compact"/>
        <w:numPr>
          <w:ilvl w:val="0"/>
          <w:numId w:val="28"/>
        </w:numPr>
        <w:rPr/>
      </w:pPr>
      <w:r>
        <w:rPr/>
        <w:t>The Monte Carlo 90% interval for plant concrete is 43,224–56,772 m³ (the input is triangular, 40,000–50,000–60,000 m³).</w:t>
      </w:r>
    </w:p>
    <w:p>
      <w:pPr>
        <w:pStyle w:val="FirstParagraph"/>
        <w:rPr/>
      </w:pPr>
      <w:r>
        <w:rPr>
          <w:b/>
          <w:bCs/>
        </w:rPr>
        <w:t>Cross-check (bottom-up).</w:t>
      </w:r>
      <w:r>
        <w:rPr/>
        <w:t xml:space="preserve"> 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p>
      <w:pPr>
        <w:pStyle w:val="Heading4"/>
        <w:rPr/>
      </w:pPr>
      <w:bookmarkStart w:id="174" w:name="X19344571a4b16ef4e61846afd028c6c0d6b769c"/>
      <w:r>
        <w:rPr/>
        <w:t>A4. Construction inventory and corrections to the team spreadsheet</w:t>
      </w:r>
    </w:p>
    <w:p>
      <w:pPr>
        <w:pStyle w:val="FirstParagraph"/>
        <w:rPr/>
      </w:pPr>
      <w:r>
        <w:rPr>
          <w:b/>
          <w:bCs/>
        </w:rPr>
        <w:t>Result.</w:t>
      </w:r>
      <w:r>
        <w:rPr/>
        <w:t xml:space="preserve"> Construction emits 57,600 t CO₂e per unit at the mode case (0.41 g/kWh); concrete and steel are about equal.</w:t>
      </w:r>
    </w:p>
    <w:p>
      <w:pPr>
        <w:pStyle w:val="BodyText"/>
        <w:rPr/>
      </w:pPr>
      <w:r>
        <w:rPr>
          <w:i/>
          <w:iCs/>
        </w:rPr>
        <w:t>Table A4. Construction inventory per unit (S0, mode case; production-stage factors).</w:t>
      </w:r>
      <w:r>
        <w:rPr/>
        <w:t xml:space="preserve"> </w:t>
      </w:r>
      <w:r>
        <w:rPr>
          <w:i/>
          <w:iCs/>
        </w:rPr>
        <w:t xml:space="preserve">Source: </w:t>
      </w:r>
      <w:r>
        <w:rPr>
          <w:rStyle w:val="VerbatimChar"/>
          <w:i/>
          <w:iCs/>
        </w:rPr>
        <w:t>results/lca_baseline.md</w:t>
      </w:r>
      <w:r>
        <w:rPr>
          <w:i/>
          <w:iCs/>
        </w:rPr>
        <w:t>; factors as in A5.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plant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 to site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15 km, steel 500 km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kg CO₂e/t-km</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the above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Construction total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57,600</w:t>
            </w:r>
          </w:p>
        </w:tc>
      </w:tr>
    </w:tbl>
    <w:p>
      <w:pPr>
        <w:pStyle w:val="BodyText"/>
        <w:rPr/>
      </w:pPr>
      <w:r>
        <w:rPr/>
        <w:t xml:space="preserve">Corrections made to the team spreadsheet (kept as </w:t>
      </w:r>
      <w:r>
        <w:rPr>
          <w:rStyle w:val="VerbatimChar"/>
        </w:rPr>
        <w:t>Accounting_corrected.csv</w:t>
      </w:r>
      <w:r>
        <w:rPr/>
        <w:t xml:space="preserve">; the originals are untouched): 1. </w:t>
      </w:r>
      <w:r>
        <w:rPr>
          <w:b/>
          <w:bCs/>
        </w:rPr>
        <w:t>Site.</w:t>
      </w:r>
      <w:r>
        <w:rPr/>
        <w:t xml:space="preserve"> The Darlington New Nuclear Project is in Clarington, Ontario, not Ottawa. 2. </w:t>
      </w:r>
      <w:r>
        <w:rPr>
          <w:b/>
          <w:bCs/>
        </w:rPr>
        <w:t>Tunnel boring.</w:t>
      </w:r>
      <w:r>
        <w:rPr/>
        <w:t xml:space="preserve"> The 4,127.29 m³ in the assumptions file is the forebay concrete (4,000 m³) plus its rebar (127.39 m³), not a bored volume. Tunnel-boring energy sits in the construction uplift until data exist. 3. </w:t>
      </w:r>
      <w:r>
        <w:rPr>
          <w:b/>
          <w:bCs/>
        </w:rPr>
        <w:t>Scope.</w:t>
      </w:r>
      <w:r>
        <w:rPr/>
        <w:t xml:space="preserve"> The forebay and basemat-module rows describe one milestone of one Unit 1 structure and are labelled partial; the whole-unit rows replace them. 4. </w:t>
      </w:r>
      <w:r>
        <w:rPr>
          <w:b/>
          <w:bCs/>
        </w:rPr>
        <w:t>Rebar</w:t>
      </w:r>
      <w:r>
        <w:rPr/>
        <w:t xml:space="preserve"> uses a recycled-content (electric-arc furnace) factor, not virgin steel, and construction electricity is not assumed renewable.</w:t>
      </w:r>
      <w:bookmarkEnd w:id="174"/>
    </w:p>
    <w:p>
      <w:pPr>
        <w:pStyle w:val="Heading4"/>
        <w:rPr/>
      </w:pPr>
      <w:bookmarkStart w:id="175" w:name="a5.-emission-factors"/>
      <w:r>
        <w:rPr/>
        <w:t>A5. Emission factors</w:t>
      </w:r>
    </w:p>
    <w:p>
      <w:pPr>
        <w:pStyle w:val="FirstParagraph"/>
        <w:rPr/>
      </w:pPr>
      <w:r>
        <w:rPr>
          <w:b/>
          <w:bCs/>
        </w:rPr>
        <w:t>Result.</w:t>
      </w:r>
      <w:r>
        <w:rPr/>
        <w:t xml:space="preserve"> 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rPr/>
      </w:pPr>
      <w:r>
        <w:rPr>
          <w:i/>
          <w:iCs/>
        </w:rPr>
        <w:t>Table A5. Emission and energy factors used.</w:t>
      </w:r>
      <w:r>
        <w:rPr/>
        <w:t xml:space="preserve"> </w:t>
      </w:r>
      <w:r>
        <w:rPr>
          <w:i/>
          <w:iCs/>
        </w:rPr>
        <w:t xml:space="preserve">Source: </w:t>
      </w:r>
      <w:r>
        <w:rPr>
          <w:rStyle w:val="VerbatimChar"/>
          <w:i/>
          <w:iCs/>
        </w:rPr>
        <w:t>parameters_lca.yaml</w:t>
      </w:r>
      <w:r>
        <w:rPr>
          <w:i/>
          <w:iCs/>
        </w:rPr>
        <w:t>;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(OPC, M50)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cut 28.9% (22–39%)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(electric-arc furnace, fabricated)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0.89–1.99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low = American Institute of Steel Construction (2022) limit; high = world average (Circular Ecology, 2019, read via a secondary)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1.22–2.50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a Buy Clean California limit (a policy ceiling, not an industry average), used as a proxy; high assumed for forged equipment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Heavy truck</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0.06–0.15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CO₂e/t-km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24–81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CO₂e/kg U₃O₈</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 Saskatchewan, production-weighted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10.3–16.9; 26–665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kWh/SWU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conversion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0.035–0.343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low = Canada Energy Regulator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enrichment and fabrication (USA)</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0.05–0.637 (enrichment); 0.20–0.637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lows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Natural-gas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(2006): 56,100 kg/TJ × 3.6 × 10⁻⁶ TJ/kWh; combustion only, upstream gas cut off</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0.17–0.67; 0.06–0.33; 0.28–1.11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9%, 3% and 15% of 3.7 g/kWh, shares as reported by secondary sources, back end by difference; ranges assumed for transfer to one BWRX-300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GU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854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796–898 (regional spread)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Central region; St Marys Bowmanville declaration (NRMCA, 2021) to replace it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slag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93.4–146.6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Cement Association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binder content (infill; other)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450; 350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400–550; 300–420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EFNARC (2005) for the SCC range; central and high assumed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clinker factor GU; LC³</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0.92; 0.50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0.90–0.95; 0.50–0.55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t/t binder</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Scrivener et al. (2018)</w:t>
            </w:r>
          </w:p>
        </w:tc>
      </w:tr>
    </w:tbl>
    <w:p>
      <w:pPr>
        <w:pStyle w:val="BodyText"/>
        <w:rPr/>
      </w:pPr>
      <w:r>
        <w:rPr>
          <w:b/>
          <w:bCs/>
        </w:rPr>
        <w:t>The LC³ cut.</w:t>
      </w:r>
      <w:r>
        <w:rPr/>
        <w:t xml:space="preserve"> 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rPr/>
      </w:pPr>
      <w:r>
        <w:rPr>
          <w:b/>
          <w:bCs/>
        </w:rPr>
        <w:t>Check on the baseline factor.</w:t>
      </w:r>
      <w:r>
        <w:rPr/>
        <w:t xml:space="preserve"> 380 kg CO₂e/m³ lies between the cross-check’s binder-level mixes (329 and 414) and between the Ontario industry baseline of 334 and the 417 benchmark mix (Canadian Ready-Mixed Concrete Association, 2022).</w:t>
      </w:r>
      <w:bookmarkEnd w:id="175"/>
    </w:p>
    <w:p>
      <w:pPr>
        <w:pStyle w:val="Heading4"/>
        <w:rPr/>
      </w:pPr>
      <w:bookmarkStart w:id="176" w:name="a6.-concrete-and-the-c1-scenarios"/>
      <w:r>
        <w:rPr/>
        <w:t>A6. Concrete and the C1 scenarios</w:t>
      </w:r>
    </w:p>
    <w:p>
      <w:pPr>
        <w:pStyle w:val="FirstParagraph"/>
        <w:rPr/>
      </w:pPr>
      <w:r>
        <w:rPr>
          <w:b/>
          <w:bCs/>
        </w:rPr>
        <w:t>Result.</w:t>
      </w:r>
      <w:r>
        <w:rPr/>
        <w:t xml:space="preserve"> LC³ on 40% of plant concrete saves 2,200 t CO₂e per unit (28.9% of that concrete’s emissions) and avoids about 2,940 t of clinker; a slag blend saves 2,288 t.</w:t>
      </w:r>
    </w:p>
    <w:p>
      <w:pPr>
        <w:pStyle w:val="BodyText"/>
        <w:rPr/>
      </w:pPr>
      <w:r>
        <w:rPr>
          <w:b/>
          <w:bCs/>
        </w:rPr>
        <w:t>Baseline S0</w:t>
      </w:r>
      <w:r>
        <w:rPr/>
        <w:t xml:space="preserve"> 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pStyle w:val="Compact"/>
        <w:numPr>
          <w:ilvl w:val="0"/>
          <w:numId w:val="29"/>
        </w:numPr>
        <w:rPr/>
      </w:pPr>
      <w:r>
        <w:rPr>
          <w:b/>
          <w:bCs/>
        </w:rPr>
        <w:t>LC³ (C1):</w:t>
      </w:r>
      <w:r>
        <w:rPr/>
        <w:t xml:space="preserve"> saving = V_eligible × (380 − 270) / 1,000 = 20,000 × 0.110 = </w:t>
      </w:r>
      <w:r>
        <w:rPr>
          <w:b/>
          <w:bCs/>
        </w:rPr>
        <w:t>2,200 t</w:t>
      </w:r>
      <w:r>
        <w:rPr/>
        <w:t>; 10,000 m³ gives 1,100 t and 30,000 m³ gives 3,300 t. Share of the mode-case life cycle: 2,200 / 406,462 = 0.54%; the Monte Carlo median is lower (0.36%) because the total grows with the skewed inputs while the saving barely moves (Section 3.2.4).</w:t>
      </w:r>
    </w:p>
    <w:p>
      <w:pPr>
        <w:pStyle w:val="Compact"/>
        <w:numPr>
          <w:ilvl w:val="0"/>
          <w:numId w:val="30"/>
        </w:numPr>
        <w:rPr/>
      </w:pPr>
      <w:r>
        <w:rPr>
          <w:b/>
          <w:bCs/>
        </w:rPr>
        <w:t>Slag (S1, fallback):</w:t>
      </w:r>
      <w:r>
        <w:rPr/>
        <w:t xml:space="preserve"> the model’s binder-level cut for 40% slag is 0.4 × (1 − 146.6/854) = 33.1% of binder emissions, which is 30.1% of the concrete’s (binder is 91% of a 350 kg/m³ mix’s emissions), applied to 380 kg/m³: 20,000 × 0.114 = </w:t>
      </w:r>
      <w:r>
        <w:rPr>
          <w:b/>
          <w:bCs/>
        </w:rPr>
        <w:t>2,288 t</w:t>
      </w:r>
      <w:r>
        <w:rPr/>
        <w:t>.</w:t>
      </w:r>
    </w:p>
    <w:p>
      <w:pPr>
        <w:pStyle w:val="Compact"/>
        <w:numPr>
          <w:ilvl w:val="0"/>
          <w:numId w:val="31"/>
        </w:numPr>
        <w:rPr/>
      </w:pPr>
      <w:r>
        <w:rPr>
          <w:b/>
          <w:bCs/>
        </w:rPr>
        <w:t>Clinker (indicative):</w:t>
      </w:r>
      <w:r>
        <w:rPr/>
        <w:t xml:space="preserve"> clinker avoided = V × b × (0.92 − 0.50) / 1,000 with b = 350 kg/m³: 20,000 × 0.147 = </w:t>
      </w:r>
      <w:r>
        <w:rPr>
          <w:b/>
          <w:bCs/>
        </w:rPr>
        <w:t>2,940 t</w:t>
      </w:r>
      <w:r>
        <w:rPr/>
        <w:t>. Pillai’s binder content is not known to us, so this is indicative.</w:t>
      </w:r>
    </w:p>
    <w:p>
      <w:pPr>
        <w:pStyle w:val="Compact"/>
        <w:numPr>
          <w:ilvl w:val="0"/>
          <w:numId w:val="32"/>
        </w:numPr>
        <w:rPr/>
      </w:pPr>
      <w:r>
        <w:rPr>
          <w:b/>
          <w:bCs/>
        </w:rPr>
        <w:t>Units 2–4</w:t>
      </w:r>
      <w:r>
        <w:rPr/>
        <w:t xml:space="preserve"> = 3 × per unit, because Unit 1’s basemat is placed. Whether Unit 1’s shaft-wall infill could still use LC³ is unknown.</w:t>
      </w:r>
    </w:p>
    <w:p>
      <w:pPr>
        <w:pStyle w:val="FirstParagraph"/>
        <w:rPr/>
      </w:pPr>
      <w:r>
        <w:rPr>
          <w:i/>
          <w:iCs/>
        </w:rPr>
        <w:t>Table A6. C1 scenario totals, mode case. Shares divide by the mode-case life-cycle total of the row’s own basis (main 406,462 t; cross-check 383,243 t).</w:t>
      </w:r>
      <w:r>
        <w:rPr/>
        <w:t xml:space="preserve"> </w:t>
      </w:r>
      <w:r>
        <w:rPr>
          <w:i/>
          <w:iCs/>
        </w:rPr>
        <w:t xml:space="preserve">Source: </w:t>
      </w:r>
      <w:r>
        <w:rPr>
          <w:rStyle w:val="VerbatimChar"/>
          <w:i/>
          <w:iCs/>
        </w:rPr>
        <w:t>results/lca_scenarios.md</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 CO₂e/unit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Units 2–4 t</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Clinker avoided t/unit (Units 2–4)</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target concrete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unit life cycle</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g/kWh saved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1,470 (4,410)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2,200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2,940 (8,820)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0.541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0.0155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4,410 (13,230)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0.0233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2,576 (7,728)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0.0161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slag in infill and forebay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4,657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2,019 (6,057)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0.0109</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LC³ in infill and forebay</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5,201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2,304 (6,913)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0.0122</w:t>
            </w:r>
          </w:p>
        </w:tc>
      </w:tr>
    </w:tbl>
    <w:p>
      <w:pPr>
        <w:pStyle w:val="BodyText"/>
        <w:rPr/>
      </w:pPr>
      <w:r>
        <w:rPr/>
        <w:t>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rPr/>
      </w:pPr>
      <w:r>
        <w:rPr>
          <w:b/>
          <w:bCs/>
        </w:rPr>
        <w:t>Resource use per unit of output.</w:t>
      </w:r>
      <w:r>
        <w:rPr/>
        <w:t xml:space="preserve"> Clinker avoided = 2,940 t / 1.419 × 10⁸ MWh = 0.021 kg/MWh (9.8 t per MWe). Concrete: 50,000 m³ × 2.4 t/m³ / 1.419 × 10⁸ MWh = 0.85 kg/MWh. Steel: 14,000 t / 1.419 × 10⁸ MWh = 0.099 kg/MWh.</w:t>
      </w:r>
      <w:bookmarkEnd w:id="176"/>
    </w:p>
    <w:p>
      <w:pPr>
        <w:pStyle w:val="Heading4"/>
        <w:rPr/>
      </w:pPr>
      <w:bookmarkStart w:id="177" w:name="X62dd5352b338ee668e2c8600a16d3b918435b38"/>
      <w:r>
        <w:rPr/>
        <w:t>A7. Steel, transport and construction total</w:t>
      </w:r>
    </w:p>
    <w:p>
      <w:pPr>
        <w:pStyle w:val="FirstParagraph"/>
        <w:rPr/>
      </w:pPr>
      <w:r>
        <w:rPr>
          <w:b/>
          <w:bCs/>
        </w:rPr>
        <w:t>Result.</w:t>
      </w:r>
      <w:r>
        <w:rPr/>
        <w:t xml:space="preserve"> Construction emits 57,600 t CO₂e per unit (0.406 g/kWh, mode case); concrete (19,000 t) and steel (18,520 t) are about equal.</w:t>
      </w:r>
    </w:p>
    <w:p>
      <w:pPr>
        <w:pStyle w:val="Compact"/>
        <w:numPr>
          <w:ilvl w:val="0"/>
          <w:numId w:val="33"/>
        </w:numPr>
        <w:rPr/>
      </w:pPr>
      <w:r>
        <w:rPr/>
        <w:t xml:space="preserve">Concrete: 50,000 m³ × 380 = </w:t>
      </w:r>
      <w:r>
        <w:rPr>
          <w:b/>
          <w:bCs/>
        </w:rPr>
        <w:t>19,000 t</w:t>
      </w:r>
      <w:r>
        <w:rPr/>
        <w:t xml:space="preserve">. Steel: 7,500 × 0.97 + 6,500 × 1.73 = 7,275 + 11,245 = </w:t>
      </w:r>
      <w:r>
        <w:rPr>
          <w:b/>
          <w:bCs/>
        </w:rPr>
        <w:t>18,520 t</w:t>
      </w:r>
      <w:r>
        <w:rPr/>
        <w:t>.</w:t>
      </w:r>
    </w:p>
    <w:p>
      <w:pPr>
        <w:pStyle w:val="Compact"/>
        <w:numPr>
          <w:ilvl w:val="0"/>
          <w:numId w:val="34"/>
        </w:numPr>
        <w:rPr/>
      </w:pPr>
      <w:r>
        <w:rPr/>
        <w:t xml:space="preserve">Transport to site (production-stage module A4): concrete 50,000 m³ × 2.4 t/m³ × 15 km × 0.10 kg/t-km = 180 t; steel 14,000 t × 500 km × 0.10 kg/t-km = 700 t; total </w:t>
      </w:r>
      <w:r>
        <w:rPr>
          <w:b/>
          <w:bCs/>
        </w:rPr>
        <w:t>880 t</w:t>
      </w:r>
      <w:r>
        <w:rPr/>
        <w:t xml:space="preserve"> (distances assumed).</w:t>
      </w:r>
    </w:p>
    <w:p>
      <w:pPr>
        <w:pStyle w:val="Compact"/>
        <w:numPr>
          <w:ilvl w:val="0"/>
          <w:numId w:val="35"/>
        </w:numPr>
        <w:rPr/>
      </w:pPr>
      <w:r>
        <w:rPr/>
        <w:t xml:space="preserve">Other materials and site energy (copper, cabling, insulation, site diesel and electricity, equipment beyond steel production, tunnel boring): 50% (assumption; range 25–150%) of concrete + steel + transport: 0.5 × 38,400 = </w:t>
      </w:r>
      <w:r>
        <w:rPr>
          <w:b/>
          <w:bCs/>
        </w:rPr>
        <w:t>19,200 t</w:t>
      </w:r>
      <w:r>
        <w:rPr/>
        <w:t>.</w:t>
      </w:r>
    </w:p>
    <w:p>
      <w:pPr>
        <w:pStyle w:val="Compact"/>
        <w:numPr>
          <w:ilvl w:val="0"/>
          <w:numId w:val="36"/>
        </w:numPr>
        <w:rPr/>
      </w:pPr>
      <w:r>
        <w:rPr>
          <w:b/>
          <w:bCs/>
        </w:rPr>
        <w:t>Construction total</w:t>
      </w:r>
      <w:r>
        <w:rPr/>
        <w:t xml:space="preserve"> = 19,000 + 18,520 + 880 + 19,200 = </w:t>
      </w:r>
      <w:r>
        <w:rPr>
          <w:b/>
          <w:bCs/>
        </w:rPr>
        <w:t>57,600 t</w:t>
      </w:r>
      <w:r>
        <w:rPr/>
        <w:t xml:space="preserve">, or 57,600 / 1.419 × 10⁸ MWh = </w:t>
      </w:r>
      <w:r>
        <w:rPr>
          <w:b/>
          <w:bCs/>
        </w:rPr>
        <w:t>0.406 g/kWh</w:t>
      </w:r>
      <w:r>
        <w:rPr/>
        <w:t>.</w:t>
      </w:r>
    </w:p>
    <w:p>
      <w:pPr>
        <w:pStyle w:val="FirstParagraph"/>
        <w:rPr/>
      </w:pPr>
      <w:r>
        <w:rPr>
          <w:b/>
          <w:bCs/>
        </w:rPr>
        <w:t>Steel scenarios.</w:t>
      </w:r>
      <w:r>
        <w:rPr/>
        <w:t xml:space="preserve"> S3 is a sensitivity on the baseline steel, not part of C1; only the like-for-like row compares with C1’s saving. - </w:t>
      </w:r>
      <w:r>
        <w:rPr>
          <w:b/>
          <w:bCs/>
        </w:rPr>
        <w:t>Like-for-like (target-structure steel only):</w:t>
      </w:r>
      <w:r>
        <w:rPr/>
        <w:t xml:space="preserve"> 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 </w:t>
      </w:r>
      <w:r>
        <w:rPr>
          <w:b/>
          <w:bCs/>
        </w:rPr>
        <w:t>566 t per unit</w:t>
      </w:r>
      <w:r>
        <w:rPr/>
        <w:t xml:space="preserve">. Shaft-wall module steel is unknown and excluded, so this is a floor. - </w:t>
      </w:r>
      <w:r>
        <w:rPr>
          <w:b/>
          <w:bCs/>
        </w:rPr>
        <w:t>Whole-plant upper bound:</w:t>
      </w:r>
      <w:r>
        <w:rPr/>
        <w:t xml:space="preserve"> all 14,000 t at the same low factors: 7,500 × 0.08 + 6,500 × 0.51 = 600 + 3,315 = </w:t>
      </w:r>
      <w:r>
        <w:rPr>
          <w:b/>
          <w:bCs/>
        </w:rPr>
        <w:t>3,915 t</w:t>
      </w:r>
      <w:r>
        <w:rPr/>
        <w:t xml:space="preserve">. It is an upper bound because it applies a hot-rolled-sections factor to forgings and nuclear-grade plate, for which that factor is not shown to be feasible. - </w:t>
      </w:r>
      <w:r>
        <w:rPr>
          <w:b/>
          <w:bCs/>
        </w:rPr>
        <w:t>World average:</w:t>
      </w:r>
      <w:r>
        <w:rPr/>
        <w:t xml:space="preserve"> all steel at the high-range factors (rebar 1.99, plate 2.50): </w:t>
      </w:r>
      <w:r>
        <w:rPr>
          <w:b/>
          <w:bCs/>
        </w:rPr>
        <w:t>−12,655 t</w:t>
      </w:r>
      <w:r>
        <w:rPr/>
        <w:t>; world-average steel would add emissions.</w:t>
      </w:r>
    </w:p>
    <w:p>
      <w:pPr>
        <w:pStyle w:val="BodyText"/>
        <w:rPr/>
      </w:pPr>
      <w:r>
        <w:rPr>
          <w:i/>
          <w:iCs/>
        </w:rPr>
        <w:t>Table A7b. Further scenarios: slag elsewhere and steel (S2b, S3), mode case and Monte Carlo (median, 5th–95th percentile).</w:t>
      </w:r>
      <w:r>
        <w:rPr/>
        <w:t xml:space="preserve"> </w:t>
      </w:r>
      <w:r>
        <w:rPr>
          <w:i/>
          <w:iCs/>
        </w:rPr>
        <w:t xml:space="preserve">Source: </w:t>
      </w:r>
      <w:r>
        <w:rPr>
          <w:rStyle w:val="VerbatimChar"/>
          <w:i/>
          <w:iCs/>
        </w:rPr>
        <w:t>results/lca_scenarios.md</w:t>
      </w:r>
      <w:r>
        <w:rPr>
          <w:i/>
          <w:iCs/>
        </w:rPr>
        <w:t xml:space="preserve"> and </w:t>
      </w:r>
      <w:r>
        <w:rPr>
          <w:rStyle w:val="VerbatimChar"/>
          <w:i/>
          <w:iCs/>
        </w:rPr>
        <w:t>lca_uncertainty.md</w:t>
      </w:r>
      <w:r>
        <w:rPr>
          <w:i/>
          <w:iCs/>
        </w:rPr>
        <w:t>. S3 rows are steel sensitivities, not part of C1; negative means more emissions than the baseline.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CO₂e/unit: mode case; Monte Carlo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mode case; Monte Carlo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in all other concrete (upper bound)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5,633; 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16,898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1.39%; 0.89% (0.57–1.36)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 only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566; 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 0.15% (0.06–0.28)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best-practice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3,915; 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11,745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0.96%; 1.03% (0.38–2.04)</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12,655; −9,914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37,965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3.11%; −1.56% (−2.70 to −0.72)</w:t>
            </w:r>
          </w:p>
        </w:tc>
      </w:tr>
    </w:tbl>
    <w:p>
      <w:pPr>
        <w:pStyle w:val="BodyText"/>
        <w:rPr/>
      </w:pPr>
      <w:bookmarkStart w:id="178" w:name="X62dd5352b338ee668e2c8600a16d3b918435b38"/>
      <w:r>
        <w:rPr/>
        <w:t>At the mode case LC³’s 2,200 t is 3.9 times the like-for-like steel saving (2.4 times at the Monte Carlo median) and 0.6 times the whole-plant upper bound (0.3 at the median). Within the structures C1 targets, concrete is the bigger lever; across the plant, steel is.</w:t>
      </w:r>
      <w:bookmarkEnd w:id="178"/>
    </w:p>
    <w:p>
      <w:pPr>
        <w:pStyle w:val="Heading4"/>
        <w:rPr/>
      </w:pPr>
      <w:bookmarkStart w:id="179" w:name="a8.-fuel-cycle-and-life-cycle-total"/>
      <w:r>
        <w:rPr/>
        <w:t>A8. Fuel cycle and life-cycle total</w:t>
      </w:r>
    </w:p>
    <w:p>
      <w:pPr>
        <w:pStyle w:val="FirstParagraph"/>
        <w:rPr/>
      </w:pPr>
      <w:r>
        <w:rPr>
          <w:b/>
          <w:bCs/>
        </w:rPr>
        <w:t>Result.</w:t>
      </w:r>
      <w:r>
        <w:rPr/>
        <w:t xml:space="preserve"> The fuel front end emits 1.46 g/kWh in the mode case (51%) and 2.76 g/kWh on the expected basis (62%, Appendix C3). Four units need about 196 t of natural uranium and 138 tSWU a year.</w:t>
      </w:r>
    </w:p>
    <w:p>
      <w:pPr>
        <w:pStyle w:val="BodyText"/>
        <w:rPr/>
      </w:pPr>
      <w:r>
        <w:rPr/>
        <w:t xml:space="preserve">Mass balance (inputs: burnup B = 45 GWd/t, a placeholder; product assay x_p = 3.8% U-235, a placeholder from Sun and Kurosaki, 2025; feed x_f = 0.711%; tails x_t = 0.25%, an assumption): - Electricity per kg of enriched uranium = B × 24,000 kWh_th per kg per (GWd/t) × η = 45 × 24,000 × 0.345 = 372,414 kWh, so </w:t>
      </w:r>
      <w:r>
        <w:rPr>
          <w:b/>
          <w:bCs/>
        </w:rPr>
        <w:t>2.685 g enriched U per MWh</w:t>
      </w:r>
      <w:r>
        <w:rPr/>
        <w:t xml:space="preserve">. - Feed factor F = (x_p − x_t) / (x_f − x_t) = (3.8 − 0.25) / (0.711 − 0.25) = </w:t>
      </w:r>
      <w:r>
        <w:rPr>
          <w:b/>
          <w:bCs/>
        </w:rPr>
        <w:t>7.70</w:t>
      </w:r>
      <w:r>
        <w:rPr/>
        <w:t xml:space="preserve">, so </w:t>
      </w:r>
      <w:r>
        <w:rPr>
          <w:b/>
          <w:bCs/>
        </w:rPr>
        <w:t>20.68 g natural U per MWh</w:t>
      </w:r>
      <w:r>
        <w:rPr/>
        <w:t xml:space="preserve">. - Separative work per kg of product = V(x_p) + (F − 1) V(x_t) − F V(x_f), with V(x) = (2x − 1) ln[x / (1 − x)]: 2.986 + 6.70 × 5.959 − 7.70 × 4.869 = </w:t>
      </w:r>
      <w:r>
        <w:rPr>
          <w:b/>
          <w:bCs/>
        </w:rPr>
        <w:t>5.42 SWU/kg</w:t>
      </w:r>
      <w:r>
        <w:rPr/>
        <w:t xml:space="preserve">, so </w:t>
      </w:r>
      <w:r>
        <w:rPr>
          <w:b/>
          <w:bCs/>
        </w:rPr>
        <w:t>0.0146 SWU per MWh</w:t>
      </w:r>
      <w:r>
        <w:rPr/>
        <w:t>. - U₃O₈ to uranium: 3 × 238.03 / (3 × 238.03 + 8 × 16.00) = 0.848 kg U per kg U₃O₈.</w:t>
      </w:r>
    </w:p>
    <w:p>
      <w:pPr>
        <w:pStyle w:val="BodyText"/>
        <w:rPr/>
      </w:pPr>
      <w:r>
        <w:rPr/>
        <w:t xml:space="preserve">Stage emissions, kg CO₂e per MWh (= g/kWh), mode case: - Mining and milling = 0.02068 kg U/MWh × 42 / 0.848 = 0.02068 × 49.5 = </w:t>
      </w:r>
      <w:r>
        <w:rPr>
          <w:b/>
          <w:bCs/>
        </w:rPr>
        <w:t>1.024</w:t>
      </w:r>
      <w:r>
        <w:rPr/>
        <w:t xml:space="preserve">. - Conversion = 0.02068 × (11.8 kWh × 0.0738 + 26 kWh × 0.202) = 0.02068 × 6.12 = </w:t>
      </w:r>
      <w:r>
        <w:rPr>
          <w:b/>
          <w:bCs/>
        </w:rPr>
        <w:t>0.127</w:t>
      </w:r>
      <w:r>
        <w:rPr/>
        <w:t xml:space="preserve">. - Enrichment = 0.002685 × 5.42 × 50 kWh/SWU × 0.373 = </w:t>
      </w:r>
      <w:r>
        <w:rPr>
          <w:b/>
          <w:bCs/>
        </w:rPr>
        <w:t>0.272</w:t>
      </w:r>
      <w:r>
        <w:rPr/>
        <w:t xml:space="preserve">. - Fabrication = 0.002685 × 36 kWh × 0.373 = </w:t>
      </w:r>
      <w:r>
        <w:rPr>
          <w:b/>
          <w:bCs/>
        </w:rPr>
        <w:t>0.036</w:t>
      </w:r>
      <w:r>
        <w:rPr/>
        <w:t>.</w:t>
      </w:r>
    </w:p>
    <w:p>
      <w:pPr>
        <w:pStyle w:val="BodyText"/>
        <w:rPr/>
      </w:pPr>
      <w:r>
        <w:rPr>
          <w:i/>
          <w:iCs/>
        </w:rPr>
        <w:t>Table A8a. Fuel demand.</w:t>
      </w:r>
      <w:r>
        <w:rPr/>
        <w:t xml:space="preserve"> </w:t>
      </w:r>
      <w:r>
        <w:rPr>
          <w:i/>
          <w:iCs/>
        </w:rPr>
        <w:t xml:space="preserve">Source: </w:t>
      </w:r>
      <w:r>
        <w:rPr>
          <w:rStyle w:val="VerbatimChar"/>
          <w:i/>
          <w:iCs/>
        </w:rPr>
        <w:t>results/lca_baseline.md</w:t>
      </w:r>
      <w:r>
        <w:rPr>
          <w:i/>
          <w:iCs/>
        </w:rPr>
        <w:t>. Inputs are placeholders until BWRX-300 fuel data are available.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Per MWh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One unit per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 units per year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Enriched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2.685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6.35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 t U</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20.68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48.9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195.6 t U</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Separative work</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0.0146 SWU</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34.4 tSWU</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137.7 tSWU</w:t>
            </w:r>
          </w:p>
        </w:tc>
      </w:tr>
    </w:tbl>
    <w:p>
      <w:pPr>
        <w:pStyle w:val="BodyText"/>
        <w:rPr/>
      </w:pPr>
      <w:r>
        <w:rPr>
          <w:i/>
          <w:iCs/>
        </w:rPr>
        <w:t>Table A8b. Life-cycle emissions by stage, mode case (every input at its central value).</w:t>
      </w:r>
      <w:r>
        <w:rPr/>
        <w:t xml:space="preserve"> </w:t>
      </w:r>
      <w:r>
        <w:rPr>
          <w:i/>
          <w:iCs/>
        </w:rPr>
        <w:t xml:space="preserve">Source: </w:t>
      </w:r>
      <w:r>
        <w:rPr>
          <w:rStyle w:val="VerbatimChar"/>
          <w:i/>
          <w:iCs/>
        </w:rPr>
        <w:t>results/lca_baseline.md</w:t>
      </w:r>
      <w:r>
        <w:rPr>
          <w:i/>
          <w:iCs/>
        </w:rPr>
        <w:t>. The expected-value breakdown quoted in Section 3.2 is in Appendix C3.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 per unit (life)</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145,336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79,471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46,831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17,967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15,610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5,117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406,462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Of which C1-eligible concrete (40% of plant)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0.054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7,600</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1.9%</w:t>
            </w:r>
          </w:p>
        </w:tc>
      </w:tr>
    </w:tbl>
    <w:p>
      <w:pPr>
        <w:pStyle w:val="BodyText"/>
        <w:rPr/>
      </w:pPr>
      <w:bookmarkStart w:id="180" w:name="a8.-fuel-cycle-and-life-cycle-total"/>
      <w:r>
        <w:rPr/>
        <w:t>Grouped (mode case): fuel front end 1.458 g/kWh (50.9%); back end and decommissioning 0.670 (23.4%); O&amp;M 0.330 (11.5%); construction 0.406 (14.2%).</w:t>
      </w:r>
      <w:bookmarkEnd w:id="180"/>
    </w:p>
    <w:p>
      <w:pPr>
        <w:pStyle w:val="Heading4"/>
        <w:rPr/>
      </w:pPr>
      <w:bookmarkStart w:id="181" w:name="a9.-granta-edupack-eco-audit"/>
      <w:r>
        <w:rPr/>
        <w:t>A9. Granta EduPack Eco Audit</w:t>
      </w:r>
    </w:p>
    <w:p>
      <w:pPr>
        <w:pStyle w:val="FirstParagraph"/>
        <w:rPr/>
      </w:pPr>
      <w:r>
        <w:rPr/>
        <w:t>A Granta EduPack Eco Audit cross-check was planned but not completed; the screening model in Appendix A is the basis of all results.</w:t>
      </w:r>
    </w:p>
    <w:p>
      <w:pPr>
        <w:pStyle w:val="normal1"/>
        <w:rPr/>
      </w:pPr>
      <w:bookmarkStart w:id="182" w:name="Xddcc31d2d3503f687b8b233cd4a745104a63a5c"/>
      <w:bookmarkStart w:id="183" w:name="a9.-granta-edupack-eco-audit"/>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p>
    <w:p>
      <w:pPr>
        <w:pStyle w:val="Heading2"/>
        <w:rPr/>
      </w:pPr>
      <w:bookmarkStart w:id="184" w:name="__RefHeading___Toc26481_3211584216"/>
      <w:bookmarkStart w:id="185" w:name="X7e33b522909f8daae3037d2691d3cd94d9b7c55"/>
      <w:bookmarkEnd w:id="184"/>
      <w:r>
        <w:rPr/>
        <w:t>Appendix B. Working for the policy and supply-chain analysis</w:t>
      </w:r>
    </w:p>
    <w:p>
      <w:pPr>
        <w:pStyle w:val="FirstParagraph"/>
        <w:rPr/>
      </w:pPr>
      <w:r>
        <w:rP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 </w:t>
      </w:r>
      <w:r>
        <w:rPr>
          <w:rStyle w:val="VerbatimChar"/>
        </w:rPr>
        <w:t>03_LCA_Calculations/scripts/</w:t>
      </w:r>
      <w:r>
        <w:rPr/>
        <w:t xml:space="preserve"> from a parameter file, so it can be re-run. Inputs are taken from the documents cited or, where marked “as reported”, from the secondary source named; assumptions and our own inferences are labelled as such.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Subsection</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Script (run from the repository root)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B1 Legal and political pathway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03_LCA_Calculations/scripts/law_timelines.py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03_LCA_Calculations/parameters_run2.yaml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03_LCA_Calculations/results/law_timelines.csv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B2 Supply concentration (HHI)</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03_LCA_Calculations/scripts/hhi.py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03_LCA_Calculations/parameters_run3.yaml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03_LCA_Calculations/results/hhi.md</w:t>
            </w:r>
            <w:r>
              <w:rPr>
                <w:rFonts w:eastAsia="Aptos" w:cs="Aptos"/>
                <w:kern w:val="0"/>
                <w:lang w:val="en-US"/>
              </w:rPr>
              <w:t xml:space="preserve">, </w:t>
            </w:r>
            <w:r>
              <w:rPr>
                <w:rStyle w:val="VerbatimChar"/>
                <w:rFonts w:eastAsia="Aptos" w:cs="Aptos"/>
                <w:kern w:val="0"/>
                <w:lang w:val="en-US"/>
              </w:rPr>
              <w:t>hhi_summary.csv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Routes to a licensable SMR in Australia</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hand calculation (qualitative scoring)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Table B13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appendix</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B4 Displacement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03_LCA_Calculations/scripts/displacement.py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03_LCA_Calculations/results/displacement.md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B5 Value of schedule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03_LCA_Calculations/scripts/schedule_value.py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r>
              <w:rPr>
                <w:rFonts w:eastAsia="Aptos" w:cs="Aptos"/>
                <w:kern w:val="0"/>
                <w:lang w:val="en-US"/>
              </w:rPr>
              <w:t xml:space="preserve"> (</w:t>
            </w:r>
            <w:r>
              <w:rPr>
                <w:rStyle w:val="VerbatimChar"/>
                <w:rFonts w:eastAsia="Aptos" w:cs="Aptos"/>
                <w:kern w:val="0"/>
                <w:lang w:val="en-US"/>
              </w:rPr>
              <w:t>c1_deck_*</w:t>
            </w:r>
            <w:r>
              <w:rPr>
                <w:rFonts w:eastAsia="Aptos" w:cs="Aptos"/>
                <w:kern w:val="0"/>
                <w:lang w:val="en-US"/>
              </w:rPr>
              <w:t xml:space="preserve"> keys; cost inputs read from </w:t>
            </w:r>
            <w:r>
              <w:rPr>
                <w:rStyle w:val="VerbatimChar"/>
                <w:rFonts w:eastAsia="Aptos" w:cs="Aptos"/>
                <w:kern w:val="0"/>
                <w:lang w:val="en-US"/>
              </w:rPr>
              <w:t>parameters_run5.yaml</w:t>
            </w: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results/schedule_value.md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Same money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03_LCA_Calculations/scripts/same_money.py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results/same_money.md</w:t>
            </w:r>
            <w:r>
              <w:rPr>
                <w:rFonts w:eastAsia="Aptos" w:cs="Aptos"/>
                <w:kern w:val="0"/>
                <w:lang w:val="en-US"/>
              </w:rPr>
              <w:t xml:space="preserve"> (cross-check: </w:t>
            </w:r>
            <w:r>
              <w:rPr>
                <w:rStyle w:val="VerbatimChar"/>
                <w:rFonts w:eastAsia="Aptos" w:cs="Aptos"/>
                <w:kern w:val="0"/>
                <w:lang w:val="en-US"/>
              </w:rPr>
              <w:t>results/lcoe.md</w:t>
            </w:r>
            <w:r>
              <w:rPr>
                <w:rFonts w:eastAsia="Aptos" w:cs="Aptos"/>
                <w:kern w:val="0"/>
                <w:lang w:val="en-US"/>
              </w:rPr>
              <w: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B7 Multi-criteria analysis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03_LCA_Calculations/scripts/mcda.py --c1-case new_2200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parameters_run9.yaml</w:t>
            </w:r>
            <w:r>
              <w:rPr>
                <w:rFonts w:eastAsia="Aptos" w:cs="Aptos"/>
                <w:kern w:val="0"/>
                <w:lang w:val="en-US"/>
              </w:rPr>
              <w:t xml:space="preserve"> (with run 6 consent routes)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results/mcda.md</w:t>
            </w:r>
            <w:r>
              <w:rPr>
                <w:rFonts w:eastAsia="Aptos" w:cs="Aptos"/>
                <w:kern w:val="0"/>
                <w:lang w:val="en-US"/>
              </w:rPr>
              <w:t xml:space="preserve">, </w:t>
            </w:r>
            <w:r>
              <w:rPr>
                <w:rStyle w:val="VerbatimChar"/>
                <w:rFonts w:eastAsia="Aptos" w:cs="Aptos"/>
                <w:kern w:val="0"/>
                <w:lang w:val="en-US"/>
              </w:rPr>
              <w:t>results/mcda_scores.csv</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B8 Social licence and stakeholder working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03_LCA_Calculations/scripts/social_licence.py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03_LCA_Calculations/parameters_run6.yaml</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results/social_licence.md</w:t>
            </w:r>
            <w:r>
              <w:rPr>
                <w:rFonts w:eastAsia="Aptos" w:cs="Aptos"/>
                <w:kern w:val="0"/>
                <w:lang w:val="en-US"/>
              </w:rPr>
              <w:t xml:space="preserve">, </w:t>
            </w:r>
            <w:r>
              <w:rPr>
                <w:rStyle w:val="VerbatimChar"/>
                <w:rFonts w:eastAsia="Aptos" w:cs="Aptos"/>
                <w:kern w:val="0"/>
                <w:lang w:val="en-US"/>
              </w:rPr>
              <w:t>F8_stakeholder_map.png</w:t>
            </w:r>
          </w:p>
        </w:tc>
      </w:tr>
    </w:tbl>
    <w:p>
      <w:pPr>
        <w:pStyle w:val="normal1"/>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bookmarkStart w:id="186" w:name="b1.-legal-and-political-pathway"/>
      <w:r>
        <w:rPr/>
        <w:t>B1. Legal and political pathway</w:t>
      </w:r>
    </w:p>
    <w:p>
      <w:pPr>
        <w:pStyle w:val="FirstParagraph"/>
        <w:rPr/>
      </w:pPr>
      <w:r>
        <w:rPr>
          <w:b/>
          <w:bCs/>
        </w:rPr>
        <w:t>Result.</w:t>
      </w:r>
      <w:r>
        <w:rPr/>
        <w:t xml:space="preserve"> 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p>
      <w:pPr>
        <w:pStyle w:val="Heading5"/>
        <w:rPr/>
      </w:pPr>
      <w:bookmarkStart w:id="187" w:name="X3978bcd65168dfde624f3a3e20dbe906af3d815"/>
      <w:r>
        <w:rPr/>
        <w:t>B1.1 The three legal barriers and what removes each</w:t>
      </w:r>
    </w:p>
    <w:p>
      <w:pPr>
        <w:pStyle w:val="FirstParagraph"/>
        <w:rPr/>
      </w:pPr>
      <w:r>
        <w:rPr>
          <w:i/>
          <w:iCs/>
        </w:rPr>
        <w:t>Table B1. The legal barriers to an SMR at Liddell, what removes each, and who holds the veto.</w:t>
      </w:r>
      <w:r>
        <w:rPr/>
        <w:t xml:space="preserve"> </w:t>
      </w:r>
      <w:r>
        <w:rPr>
          <w:i/>
          <w:iCs/>
        </w:rPr>
        <w:t>Source: legislation as named; ARPANSA (n.d.); Parliament of New South Wales (2025; 2026); Canberra Times (2025); Newcastle Herald (2024a).</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Instrument and effect (as extracted)</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decides (veto holder)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 October 2026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environmental approval</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Environment Protection and Biodiversity Conservation Act 1999</w:t>
            </w:r>
            <w:r>
              <w:rPr>
                <w:rFonts w:eastAsia="Aptos" w:cs="Aptos"/>
                <w:kern w:val="0"/>
                <w:lang w:val="en-US"/>
              </w:rPr>
              <w:t xml:space="preserve"> (Cth) s 140A (parallel bars in ss 37J and 146M): the Minister “must not approve” an action involving the construction or operation of a nuclear power plant</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Amendment of ss 37J, 140A and 146M</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in practice the Senate (B1.2)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Whether the 2025 EPBC reforms changed s 140A has not been checked (Norton Rose Fulbright, 2025)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radiation licensing</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Australian Radiation Protection and Nuclear Safety Act 1998</w:t>
            </w:r>
            <w:r>
              <w:rPr>
                <w:rFonts w:eastAsia="Aptos" w:cs="Aptos"/>
                <w:kern w:val="0"/>
                <w:lang w:val="en-US"/>
              </w:rPr>
              <w:t xml:space="preserve"> (Cth) s 10(2): the CEO “must not issue a licence” for a nuclear power plant. ARPANSA licenses only Commonwealth-controlled bodies (s 13, “controlled person”) (ARPANSA, 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Repeal of s 10, </w:t>
            </w:r>
            <w:r>
              <w:rPr>
                <w:rFonts w:eastAsia="Aptos" w:cs="Aptos"/>
                <w:b/>
                <w:bCs/>
                <w:kern w:val="0"/>
                <w:lang w:val="en-US"/>
              </w:rPr>
              <w:t>and</w:t>
            </w:r>
            <w:r>
              <w:rPr>
                <w:rFonts w:eastAsia="Aptos" w:cs="Aptos"/>
                <w:kern w:val="0"/>
                <w:lang w:val="en-US"/>
              </w:rPr>
              <w:t xml:space="preserve"> a regulator with power over private operators (route choice, B3)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(Senate)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A Senate committee recommended against the 2022 repeal bill (Senate Environment and Communications Legislation Committee, 2023); the bill lapsed at prorogation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State ban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offence to build or operate a nuclear reactor, except for the s 8(3) exceptions (the Commonwealth’s AAEC successors, such as ANSTO); s 9: other Acts do not authorise a state authority to build or approve one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or a Commonwealth override under Constitution s 109, which Partlett warns may face a High Court challenge (Canberra Times, 2025)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Parliament (Legislative Assembly), or the Commonwealth</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Repeal bill passed the Legislative Council; stalled in the Assembly (B1.3)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(not a law)</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compulsory acquisition by the Commonwealth</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or the Commonwealth</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opposed</w:t>
            </w:r>
          </w:p>
        </w:tc>
      </w:tr>
    </w:tbl>
    <w:p>
      <w:pPr>
        <w:pStyle w:val="BodyText"/>
        <w:rPr/>
      </w:pPr>
      <w:bookmarkStart w:id="188" w:name="X3978bcd65168dfde624f3a3e20dbe906af3d815"/>
      <w:r>
        <w:rPr/>
        <w:t>Order of removal: federal repeal (1 and 2) → choice of regulator → state repeal or override (3) → site (4) → environmental assessment → licensing. Each step has a different veto holder, so all must agree.</w:t>
      </w:r>
      <w:bookmarkEnd w:id="188"/>
    </w:p>
    <w:p>
      <w:pPr>
        <w:pStyle w:val="Heading5"/>
        <w:rPr/>
      </w:pPr>
      <w:bookmarkStart w:id="189" w:name="X52641d6a275743723c641fbdfc2158d68a6cd0a"/>
      <w:r>
        <w:rPr/>
        <w:t>B1.2 Senate arithmetic for federal repeal</w:t>
      </w:r>
    </w:p>
    <w:p>
      <w:pPr>
        <w:pStyle w:val="FirstParagraph"/>
        <w:rPr/>
      </w:pPr>
      <w:r>
        <w:rPr>
          <w:i/>
          <w:iCs/>
        </w:rPr>
        <w:t>Table B2. Senate composition used for the repeal arithmetic.</w:t>
      </w:r>
      <w:r>
        <w:rPr/>
        <w:t xml:space="preserve"> </w:t>
      </w:r>
      <w:r>
        <w:rPr>
          <w:i/>
          <w:iCs/>
        </w:rPr>
        <w:t xml:space="preserve">Source: Parliament of Australia (2026), composition as at 14 May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Party or group</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Seats</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Position on repeal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of position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Labor Party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Bowen (2025); no 2026 statement found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Liberal Party of Australia (2026); ABC News (2026),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Nation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(upper bound for the pro-repeal bloc)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Senator Babet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(no 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Lambie, Payman, Pocock, Thorpe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 (1 each)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assumed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Script asserts the parts sum to 76</w:t>
            </w:r>
          </w:p>
        </w:tc>
      </w:tr>
    </w:tbl>
    <w:p>
      <w:pPr>
        <w:pStyle w:val="BodyText"/>
        <w:rPr/>
      </w:pPr>
      <w:r>
        <w:rPr/>
        <w:t>Steps (</w:t>
      </w:r>
      <w:r>
        <w:rPr>
          <w:rStyle w:val="VerbatimChar"/>
        </w:rPr>
        <w:t>law_timelines.py</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Working</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Majority needed, all 76 voting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76 / 2⌋ + 1 (a tied vote fails, Constitution s 23)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Largest pro-repeal bloc (upper bound)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27 + One Nation 4 + Babet 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Shortfall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39 − 32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Bloc plus every other crossbencher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36</w:t>
            </w:r>
            <w:r>
              <w:rPr>
                <w:rFonts w:eastAsia="Aptos" w:cs="Aptos"/>
                <w:kern w:val="0"/>
                <w:lang w:val="en-US"/>
              </w:rPr>
              <w:t xml:space="preserve"> (3 short); </w:t>
            </w:r>
            <w:r>
              <w:rPr>
                <w:rFonts w:eastAsia="Aptos" w:cs="Aptos"/>
                <w:b/>
                <w:bCs/>
                <w:kern w:val="0"/>
                <w:lang w:val="en-US"/>
              </w:rPr>
              <w:t>37</w:t>
            </w:r>
            <w:r>
              <w:rPr>
                <w:rFonts w:eastAsia="Aptos" w:cs="Aptos"/>
                <w:kern w:val="0"/>
                <w:lang w:val="en-US"/>
              </w:rPr>
              <w:t xml:space="preserve"> (2 short) on the alternative count in step 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Can repeal pass without Labor or the Greens?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or 37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w:t>
            </w:r>
            <w:r>
              <w:rPr>
                <w:rFonts w:eastAsia="Aptos" w:cs="Aptos"/>
                <w:kern w:val="0"/>
                <w:lang w:val="en-US"/>
              </w:rPr>
              <w:t xml:space="preserve"> on either count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Would the Greens alone be enough (arithmetic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+ 10 = 42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but the Greens oppose (policy, not arithmetic)</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Opposed bloc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Labor 30 + Greens 10 = 40 ≥ 39 (39 on the alternative count)</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blocking majority on its own</w:t>
            </w:r>
          </w:p>
        </w:tc>
      </w:tr>
    </w:tbl>
    <w:p>
      <w:pPr>
        <w:pStyle w:val="BodyText"/>
        <w:rPr/>
      </w:pPr>
      <w:bookmarkStart w:id="190" w:name="X52641d6a275743723c641fbdfc2158d68a6cd0a"/>
      <w:r>
        <w:rPr/>
        <w:t>Result 4 makes the conclusion independent of the One Nation and Babet assumption (it holds on either count of seats). In the House, Labor holds 94 of 150 seats (Australian Electoral Commission, 2025), so a repeal bill would also need the Government’s support there.</w:t>
      </w:r>
      <w:bookmarkEnd w:id="190"/>
    </w:p>
    <w:p>
      <w:pPr>
        <w:pStyle w:val="Heading5"/>
        <w:rPr/>
      </w:pPr>
      <w:r>
        <w:rPr/>
        <w:t>B1.3 NSW repeal bill status</w:t>
      </w:r>
    </w:p>
    <w:p>
      <w:pPr>
        <w:pStyle w:val="FirstParagraph"/>
        <w:rPr/>
      </w:pPr>
      <w:r>
        <w:rPr>
          <w:i/>
          <w:iCs/>
        </w:rPr>
        <w:t>Table B3. Progress of the NSW repeal bill (private member’s bill).</w:t>
      </w:r>
      <w:r>
        <w:rPr/>
        <w:t xml:space="preserve"> </w:t>
      </w:r>
      <w:r>
        <w:rPr>
          <w:i/>
          <w:iCs/>
        </w:rPr>
        <w:t xml:space="preserve">Source: Parliament of New South Wales (2025;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Event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Introduced in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 November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Passed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5.5 months after introduction. All Liberal and National MLCs voted for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Legislative Assembly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Awaiting the second reading speech (notice paper reported 27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Minns Labor Government opposes repeal and holds an Assembly majority (Canberra Times, n.d., as reported)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Lapses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November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Unless the Assembly acts first</w:t>
            </w:r>
            <w:bookmarkStart w:id="191" w:name="b1.3-nsw-repeal-bill-status"/>
            <w:bookmarkEnd w:id="191"/>
          </w:p>
        </w:tc>
      </w:tr>
    </w:tbl>
    <w:p>
      <w:pPr>
        <w:pStyle w:val="Heading5"/>
        <w:rPr/>
      </w:pPr>
      <w:r>
        <w:rPr/>
        <w:t>B1.4 Licensing timelines: Darlington (Canada)</w:t>
      </w:r>
    </w:p>
    <w:p>
      <w:pPr>
        <w:pStyle w:val="FirstParagraph"/>
        <w:rPr/>
      </w:pPr>
      <w:r>
        <w:rPr>
          <w:i/>
          <w:iCs/>
        </w:rPr>
        <w:t>Table B4. CNSC licensing milestones for the Darlington New Nuclear Project.</w:t>
      </w:r>
      <w:r>
        <w:rPr/>
        <w:t xml:space="preserve"> </w:t>
      </w:r>
      <w:r>
        <w:rPr>
          <w:i/>
          <w:iCs/>
        </w:rPr>
        <w:t xml:space="preserve">Source: Canadian Nuclear Safety Commission [CNSC] (2021; 2025; 2026a; 2026b);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Milestone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 key</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begins (joint review panel)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(taken as 1 May)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dnnp_ea_start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prepare site issued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August 2012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dnnp_lpts_issued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licence renewed, valid to 11 October 2031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 October 2021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dnnp_lpts_renewed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Licence-to-construct application (one unit, in packages)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2022 (taken as 31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dnnp_ltc_application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begins (Ajax)</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January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dnnp_ltc_hearing_part2_start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issued (PRCL 32.00/2035, one BWRX-300)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April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dnnp_ltc_decision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Regulatory hold point 1 lifted (reactor building foundation)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March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dnnp_rhp1_lifted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expires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March 2035</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dnnp_ltc_expiry</w:t>
            </w:r>
          </w:p>
        </w:tc>
      </w:tr>
    </w:tbl>
    <w:p>
      <w:pPr>
        <w:pStyle w:val="BodyText"/>
        <w:rPr/>
      </w:pPr>
      <w:r>
        <w:rPr/>
        <w:t>Method: months = days between two dates ÷ (365.25 / 12); years = months ÷ 12.</w:t>
      </w:r>
    </w:p>
    <w:p>
      <w:pPr>
        <w:pStyle w:val="BodyText"/>
        <w:rPr/>
      </w:pPr>
      <w:r>
        <w:rPr>
          <w:i/>
          <w:iCs/>
        </w:rPr>
        <w:t>Table B5. Licensing durations calculated from Table B4.</w:t>
      </w:r>
      <w:r>
        <w:rPr/>
        <w:t xml:space="preserve"> </w:t>
      </w:r>
      <w:r>
        <w:rPr>
          <w:i/>
          <w:iCs/>
        </w:rPr>
        <w:t xml:space="preserve">Source: </w:t>
      </w:r>
      <w:r>
        <w:rPr>
          <w:rStyle w:val="VerbatimChar"/>
          <w:i/>
          <w:iCs/>
        </w:rPr>
        <w:t>03_LCA_Calculations/results/law_timelines.csv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Dates used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Oct 2022 → 4 Apr 2025 (886 days)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29.1 months</w:t>
            </w:r>
            <w:r>
              <w:rPr>
                <w:rFonts w:eastAsia="Aptos" w:cs="Aptos"/>
                <w:kern w:val="0"/>
                <w:lang w:val="en-US"/>
              </w:rPr>
              <w:t xml:space="preserve"> (2.43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Sensitivity: application day unknown within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Oct 2022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29.1–30.1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Against the CNSC’s expected review time (REGDOC-3.5.1; CNSC, 2022; the extract is ambiguous: one row reads 32 months, another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29.1 − 32; 29.1 − 24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2.9 months (faster); +5.1 months (slower)</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to decision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 2025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start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17.9 years</w:t>
            </w:r>
            <w:r>
              <w:rPr>
                <w:rFonts w:eastAsia="Aptos" w:cs="Aptos"/>
                <w:kern w:val="0"/>
                <w:lang w:val="en-US"/>
              </w:rPr>
              <w:t xml:space="preserve"> (elapsed, not continuous review)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from issue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remaining at the report date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 Oct 2026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8.4 years</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to RHP-1 lifted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30 Mar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months</w:t>
            </w:r>
          </w:p>
        </w:tc>
      </w:tr>
    </w:tbl>
    <w:p>
      <w:pPr>
        <w:pStyle w:val="BodyText"/>
        <w:rPr/>
      </w:pPr>
      <w:r>
        <w:rPr/>
        <w:t>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rPr/>
      </w:pPr>
      <w:r>
        <w:rPr/>
        <w:t>Australian comparator: the naval nuclear regulator (ANNPSR) began operating on 1 November 2025 under a 2024 Act (Minister for Defence, 2025). It covers submarines only, so it is a precedent for building a regulator, not a regulator for a power reactor.</w:t>
      </w:r>
    </w:p>
    <w:p>
      <w:pPr>
        <w:pStyle w:val="normal1"/>
        <w:rPr/>
      </w:pPr>
      <w:bookmarkStart w:id="192" w:name="b1.-legal-and-political-pathway"/>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p>
    <w:p>
      <w:pPr>
        <w:pStyle w:val="Heading4"/>
        <w:rPr/>
      </w:pPr>
      <w:bookmarkStart w:id="193" w:name="X372cadb88b67a633233203304eb4ef38d3c0c77"/>
      <w:r>
        <w:rPr/>
        <w:t>B2. Supply concentration: Herfindahl–Hirschman index (HHI) working</w:t>
      </w:r>
    </w:p>
    <w:p>
      <w:pPr>
        <w:pStyle w:val="FirstParagraph"/>
        <w:rPr/>
      </w:pPr>
      <w:r>
        <w:rPr>
          <w:b/>
          <w:bCs/>
        </w:rPr>
        <w:t>Result.</w:t>
      </w:r>
      <w:r>
        <w:rPr/>
        <w:t xml:space="preserve"> On the 2023 US merger guidelines, mining by country (2,341), conversion (2,111) and enrichment (3,009) are all “highly concentrated”. On the superseded 2010 guidelines only enrichment is; mining and conversion are “moderately concentrated”.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p>
      <w:pPr>
        <w:pStyle w:val="Heading5"/>
        <w:rPr/>
      </w:pPr>
      <w:bookmarkStart w:id="194" w:name="b2.1-method"/>
      <w:r>
        <w:rPr/>
        <w:t>B2.1 Method</w:t>
      </w:r>
    </w:p>
    <w:p>
      <w:pPr>
        <w:pStyle w:val="Compact"/>
        <w:numPr>
          <w:ilvl w:val="0"/>
          <w:numId w:val="37"/>
        </w:numPr>
        <w:rPr/>
      </w:pPr>
      <w:r>
        <w:rPr/>
        <w:t xml:space="preserve">Share of supplier </w:t>
      </w:r>
      <w:r>
        <w:rPr>
          <w:i/>
          <w:iCs/>
        </w:rPr>
        <w:t>i</w:t>
      </w:r>
      <w:r>
        <w:rPr/>
        <w:t>: s</w:t>
      </w:r>
      <w:r>
        <w:rPr>
          <w:i/>
          <w:iCs/>
        </w:rPr>
        <w:t>ᵢ</w:t>
      </w:r>
      <w:r>
        <w:rPr/>
        <w:t xml:space="preserve"> = 100 × q</w:t>
      </w:r>
      <w:r>
        <w:rPr>
          <w:i/>
          <w:iCs/>
        </w:rPr>
        <w:t>ᵢ</w:t>
      </w:r>
      <w:r>
        <w:rPr/>
        <w:t xml:space="preserve"> / Σq (per cent), where q is output or capacity.</w:t>
      </w:r>
    </w:p>
    <w:p>
      <w:pPr>
        <w:pStyle w:val="Compact"/>
        <w:numPr>
          <w:ilvl w:val="0"/>
          <w:numId w:val="38"/>
        </w:numPr>
        <w:rPr/>
      </w:pPr>
      <w:r>
        <w:rPr/>
        <w:t>HHI = Σ s</w:t>
      </w:r>
      <w:r>
        <w:rPr>
          <w:i/>
          <w:iCs/>
        </w:rPr>
        <w:t>ᵢ</w:t>
      </w:r>
      <w:r>
        <w:rPr/>
        <w:t>² (range 0 to 10,000; one supplier = 10,000).</w:t>
      </w:r>
    </w:p>
    <w:p>
      <w:pPr>
        <w:pStyle w:val="Compact"/>
        <w:numPr>
          <w:ilvl w:val="0"/>
          <w:numId w:val="39"/>
        </w:numPr>
        <w:rPr/>
      </w:pPr>
      <w:r>
        <w:rPr/>
        <w:t>Equivalent number of equal-sized suppliers: N_eq = 10,000 / HHI.</w:t>
      </w:r>
    </w:p>
    <w:p>
      <w:pPr>
        <w:pStyle w:val="Compact"/>
        <w:numPr>
          <w:ilvl w:val="0"/>
          <w:numId w:val="40"/>
        </w:numPr>
        <w:rPr/>
      </w:pPr>
      <w:r>
        <w:rPr/>
        <w:t>Measures: mining by country (2024 mine output, tU); conversion by company (licensed capacity, tU as UF₆ per year; production as a check); enrichment by company (capacity, thousand SWU per year; 2025 base, 2022 and 2030 as sensitivity).</w:t>
      </w:r>
    </w:p>
    <w:p>
      <w:pPr>
        <w:pStyle w:val="Compact"/>
        <w:numPr>
          <w:ilvl w:val="0"/>
          <w:numId w:val="41"/>
        </w:numPr>
        <w:rPr/>
      </w:pPr>
      <w:r>
        <w:rPr/>
        <w:t>“</w:t>
      </w:r>
      <w:r>
        <w:rPr/>
        <w:t>Without Russia”: Russian supply removed and the remaining shares renormalised, with no new capacity (the market open to a buyer barred from Russian material). “Without Russia and China” also removes CNNC, whose capacity WNA estimates on the assumption that it serves China’s own fleet; this approximates the market open to a Canadian or Australian utility.</w:t>
      </w:r>
    </w:p>
    <w:p>
      <w:pPr>
        <w:pStyle w:val="Compact"/>
        <w:numPr>
          <w:ilvl w:val="0"/>
          <w:numId w:val="42"/>
        </w:numPr>
        <w:rPr/>
      </w:pPr>
      <w:r>
        <w:rPr/>
        <w:t>“</w:t>
      </w:r>
      <w:r>
        <w:rPr/>
        <w:t>Others” or residual rows are bounded: one supplier (upper bound) or many small suppliers (lower bound, about 0). The difference is below 3 HHI points in every 2024/2025 case.</w:t>
      </w:r>
    </w:p>
    <w:p>
      <w:pPr>
        <w:pStyle w:val="Compact"/>
        <w:numPr>
          <w:ilvl w:val="0"/>
          <w:numId w:val="43"/>
        </w:numPr>
        <w:rPr/>
      </w:pPr>
      <w:r>
        <w:rPr/>
        <w:t>Shares are squared before rounding, so squaring a rounded share in the tables can differ by less than 1 point.</w:t>
      </w:r>
    </w:p>
    <w:p>
      <w:pPr>
        <w:pStyle w:val="FirstParagraph"/>
        <w:rPr/>
      </w:pPr>
      <w:r>
        <w:rPr>
          <w:i/>
          <w:iCs/>
        </w:rPr>
        <w:t>Table B6. HHI thresholds used as a scale.</w:t>
      </w:r>
      <w:r>
        <w:rPr/>
        <w:t xml:space="preserve"> </w:t>
      </w:r>
      <w:r>
        <w:rPr>
          <w:i/>
          <w:iCs/>
        </w:rPr>
        <w:t>Source: US Department of Justice and Federal Trade Commission (2023; 2010).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Guideline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Moderately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Highly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Merger Guidelines</w:t>
            </w:r>
            <w:r>
              <w:rPr>
                <w:rFonts w:eastAsia="Aptos" w:cs="Aptos"/>
                <w:kern w:val="0"/>
                <w:lang w:val="en-US"/>
              </w:rPr>
              <w:t xml:space="preserve"> (2023), section 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HHI &gt; 1,800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Current</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Horizontal Merger Guidelines</w:t>
            </w:r>
            <w:r>
              <w:rPr>
                <w:rFonts w:eastAsia="Aptos" w:cs="Aptos"/>
                <w:kern w:val="0"/>
                <w:lang w:val="en-US"/>
              </w:rPr>
              <w:t xml:space="preserve"> (2010), section 5.3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&lt; 1,500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1,500–2,500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&gt; 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Superseded; reported because mining and conversion fall between the two thresholds</w:t>
            </w:r>
          </w:p>
        </w:tc>
      </w:tr>
    </w:tbl>
    <w:p>
      <w:pPr>
        <w:pStyle w:val="BodyText"/>
        <w:rPr/>
      </w:pPr>
      <w:r>
        <w:rPr/>
        <w:t>These are antitrust screens for merger review. Here they are used as a recognised scale for supply concentration, not as a legal test.</w:t>
      </w:r>
    </w:p>
    <w:p>
      <w:pPr>
        <w:pStyle w:val="BodyText"/>
        <w:rPr/>
      </w:pPr>
      <w:r>
        <w:rPr>
          <w:b/>
          <w:bCs/>
        </w:rPr>
        <w:t>Worked example (enrichment, 2025).</w:t>
      </w:r>
      <w:r>
        <w:rPr/>
        <w:t xml:space="preserve"> 1. Rosatom’s share = 100 × 29,133 / 68,077 = 42.79%; squared = 1,831.3. 2. Repeat for Urenco, CNNC, Orano and Other; sum = 1,831.3 + 645.8 + 410.3 + 121.4 + 0.3 = </w:t>
      </w:r>
      <w:r>
        <w:rPr>
          <w:b/>
          <w:bCs/>
        </w:rPr>
        <w:t>3,009</w:t>
      </w:r>
      <w:r>
        <w:rPr/>
        <w:t xml:space="preserve">. N_eq = 10,000 / 3,009 = 3.3. 3. Without Russia: total = 68,077 − 29,133 = 38,944 kSWU. Urenco’s share = 100 × 17,300 / 38,944 = 44.42%; and so on. HHI = </w:t>
      </w:r>
      <w:r>
        <w:rPr>
          <w:b/>
          <w:bCs/>
        </w:rPr>
        <w:t>3,599</w:t>
      </w:r>
      <w:r>
        <w:rPr/>
        <w:t xml:space="preserve">. 4. Without Russia and China: total = 38,944 − 13,789 = 25,155 kSWU. Urenco 68.77%, Orano 29.82%, Other 1.41%. HHI = </w:t>
      </w:r>
      <w:r>
        <w:rPr>
          <w:b/>
          <w:bCs/>
        </w:rPr>
        <w:t>5,621</w:t>
      </w:r>
      <w:r>
        <w:rPr/>
        <w:t xml:space="preserve"> (N_eq = 1.8).</w:t>
      </w:r>
      <w:bookmarkEnd w:id="194"/>
    </w:p>
    <w:p>
      <w:pPr>
        <w:pStyle w:val="Heading5"/>
        <w:rPr/>
      </w:pPr>
      <w:bookmarkStart w:id="195" w:name="b2.2-inputs-and-shares"/>
      <w:r>
        <w:rPr/>
        <w:t>B2.2 Inputs and shares</w:t>
      </w:r>
    </w:p>
    <w:p>
      <w:pPr>
        <w:pStyle w:val="FirstParagraph"/>
        <w:rPr/>
      </w:pPr>
      <w:r>
        <w:rPr>
          <w:i/>
          <w:iCs/>
        </w:rPr>
        <w:t>Table B7. Uranium mine output by country, 2024.</w:t>
      </w:r>
      <w:r>
        <w:rPr/>
        <w:t xml:space="preserve"> </w:t>
      </w:r>
      <w:r>
        <w:rPr>
          <w:i/>
          <w:iCs/>
        </w:rPr>
        <w:t xml:space="preserve">Source: World Nuclear Association (2026); several rows are WNA estimates; calculated in </w:t>
      </w:r>
      <w:r>
        <w:rPr>
          <w:rStyle w:val="VerbatimChar"/>
          <w:i/>
          <w:iCs/>
        </w:rPr>
        <w:t>hhi.py</w:t>
      </w:r>
      <w:r>
        <w:rPr>
          <w:i/>
          <w:iCs/>
        </w:rPr>
        <w:t xml:space="preserve"> (</w:t>
      </w:r>
      <w:r>
        <w:rPr>
          <w:rStyle w:val="VerbatimChar"/>
          <w:i/>
          <w:iCs/>
        </w:rPr>
        <w:t>results/hhi.md</w:t>
      </w:r>
      <w:r>
        <w:rPr>
          <w:i/>
          <w:iCs/>
        </w:rPr>
        <w:t xml:space="preserve"> section 3.1–3.2). Internal check: the rows sum exactly to 60,213 tU.</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Country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without Russia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Kazakhstan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23,270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38.65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1,493.5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1,639.2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14,309</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24.90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619.8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Namibia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7,333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4,598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Uzbekistan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2,738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China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962</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Ukraine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South Africa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(tU) / HHI</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60,213</w:t>
            </w:r>
            <w:r>
              <w:rPr>
                <w:rFonts w:eastAsia="Aptos" w:cs="Aptos"/>
                <w:kern w:val="0"/>
                <w:lang w:val="en-US"/>
              </w:rPr>
              <w:t xml:space="preserve"> (57,475 without Russia)</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2,341</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2,546</w:t>
            </w:r>
          </w:p>
        </w:tc>
      </w:tr>
    </w:tbl>
    <w:p>
      <w:pPr>
        <w:pStyle w:val="BodyText"/>
        <w:rPr/>
      </w:pPr>
      <w:r>
        <w:rPr/>
        <w:t>Without Russia and China, the mining HHI is 2,686 (</w:t>
      </w:r>
      <w:r>
        <w:rPr>
          <w:rStyle w:val="VerbatimChar"/>
        </w:rPr>
        <w:t>hhi_summary.csv</w:t>
      </w:r>
      <w:r>
        <w:rPr/>
        <w:t xml:space="preserve">; </w:t>
      </w:r>
      <w:r>
        <w:rPr>
          <w:rStyle w:val="VerbatimChar"/>
        </w:rPr>
        <w:t>hhi.py</w:t>
      </w:r>
      <w:r>
        <w:rPr/>
        <w:t xml:space="preserve"> does not print the share table for this case).</w:t>
      </w:r>
    </w:p>
    <w:p>
      <w:pPr>
        <w:pStyle w:val="BodyText"/>
        <w:rPr/>
      </w:pPr>
      <w:r>
        <w:rPr>
          <w:i/>
          <w:iCs/>
        </w:rPr>
        <w:t>Table B8. Mining by country, earlier years (only the eight largest rows retrieved; residual bounded).</w:t>
      </w:r>
      <w:r>
        <w:rPr/>
        <w:t xml:space="preserve"> </w:t>
      </w:r>
      <w:r>
        <w:rPr>
          <w:i/>
          <w:iCs/>
        </w:rPr>
        <w:t xml:space="preserve">Source: World Nuclear Association (2026); </w:t>
      </w:r>
      <w:r>
        <w:rPr>
          <w:rStyle w:val="VerbatimChar"/>
          <w:i/>
          <w:iCs/>
        </w:rPr>
        <w:t>results/hhi.md</w:t>
      </w:r>
      <w:r>
        <w:rPr>
          <w:i/>
          <w:iCs/>
        </w:rPr>
        <w:t xml:space="preserve"> section 3.3.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Residual (tU)</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lower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upper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 (%)</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1,083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2,368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2,248</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r>
    </w:tbl>
    <w:p>
      <w:pPr>
        <w:pStyle w:val="BodyText"/>
        <w:rPr/>
      </w:pPr>
      <w:r>
        <w:rPr>
          <w:i/>
          <w:iCs/>
        </w:rPr>
        <w:t>Table B9. Conversion by company, licensed capacity (tU as UF₆ per year).</w:t>
      </w:r>
      <w:r>
        <w:rPr/>
        <w:t xml:space="preserve"> </w:t>
      </w:r>
      <w:r>
        <w:rPr>
          <w:i/>
          <w:iCs/>
        </w:rPr>
        <w:t xml:space="preserve">Source: World Nuclear Association (2024); CNNC and Rosatom are WNA estimates; </w:t>
      </w:r>
      <w:r>
        <w:rPr>
          <w:rStyle w:val="VerbatimChar"/>
          <w:i/>
          <w:iCs/>
        </w:rPr>
        <w:t>results/hhi.md</w:t>
      </w:r>
      <w:r>
        <w:rPr>
          <w:i/>
          <w:iCs/>
        </w:rPr>
        <w:t xml:space="preserve"> section 3.5.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 (country)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 (China)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 (France)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43.48</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1,890.4</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Cameco (Canada)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25.25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36.23</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1,312.7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 (Russia)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(USA)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20.29</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411.7</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(tU/yr)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62,000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2,111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49,500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2,674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34,500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3,615</w:t>
            </w:r>
          </w:p>
        </w:tc>
      </w:tr>
    </w:tbl>
    <w:p>
      <w:pPr>
        <w:pStyle w:val="BodyText"/>
        <w:rPr/>
      </w:pPr>
      <w:r>
        <w:rPr>
          <w:i/>
          <w:iCs/>
        </w:rPr>
        <w:t>Table B10. Enrichment by company, 2025 capacity (thousand SWU per year).</w:t>
      </w:r>
      <w:r>
        <w:rPr/>
        <w:t xml:space="preserve"> </w:t>
      </w:r>
      <w:r>
        <w:rPr>
          <w:i/>
          <w:iCs/>
        </w:rPr>
        <w:t xml:space="preserve">Source: World Nuclear Association (2025); CNNC is a WNA estimate; 2030 figures are plans; </w:t>
      </w:r>
      <w:r>
        <w:rPr>
          <w:rStyle w:val="VerbatimChar"/>
          <w:i/>
          <w:iCs/>
        </w:rPr>
        <w:t>results/hhi.md</w:t>
      </w:r>
      <w:r>
        <w:rPr>
          <w:i/>
          <w:iCs/>
        </w:rPr>
        <w:t xml:space="preserve"> section 3.6.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kSWU/yr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29,133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42.79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1,831.3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645.8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44.42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1,973.4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68.77</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4,729.8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13,789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29.82</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888.9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(INB, JNFL)</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(kSWU/yr)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68,077</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38,944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25,155</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r>
    </w:tbl>
    <w:p>
      <w:pPr>
        <w:pStyle w:val="BodyText"/>
        <w:rPr/>
      </w:pPr>
      <w:bookmarkStart w:id="196" w:name="b2.2-inputs-and-shares"/>
      <w:r>
        <w:rPr/>
        <w:t>Russia’s enrichment share is 43.3% in 2022 and 38.3% in the 2030 plans (World Nuclear Association, 2025). It is 42.8% on WNA’s 2025 capacity and 41.0% on World Nuclear University’s (2025) figures, which gives the range quoted in Section 3.5.2.</w:t>
      </w:r>
      <w:bookmarkEnd w:id="196"/>
    </w:p>
    <w:p>
      <w:pPr>
        <w:pStyle w:val="Heading5"/>
        <w:rPr/>
      </w:pPr>
      <w:bookmarkStart w:id="197" w:name="b2.3-headline-results"/>
      <w:r>
        <w:rPr/>
        <w:t>B2.3 Headline results</w:t>
      </w:r>
    </w:p>
    <w:p>
      <w:pPr>
        <w:pStyle w:val="FirstParagraph"/>
        <w:rPr/>
      </w:pPr>
      <w:r>
        <w:rPr>
          <w:i/>
          <w:iCs/>
        </w:rPr>
        <w:t>Table B11. HHI of the uranium front end by stage, with and without Russia and China.</w:t>
      </w:r>
      <w:r>
        <w:rPr/>
        <w:t xml:space="preserve"> </w:t>
      </w:r>
      <w:r>
        <w:rPr>
          <w:i/>
          <w:iCs/>
        </w:rPr>
        <w:t xml:space="preserve">Source: </w:t>
      </w:r>
      <w:r>
        <w:rPr>
          <w:rStyle w:val="VerbatimChar"/>
          <w:i/>
          <w:iCs/>
        </w:rPr>
        <w:t>03_LCA_Calculations/results/hhi.md</w:t>
      </w:r>
      <w:r>
        <w:rPr>
          <w:i/>
          <w:iCs/>
        </w:rPr>
        <w:t xml:space="preserve"> section 2 and </w:t>
      </w:r>
      <w:r>
        <w:rPr>
          <w:rStyle w:val="VerbatimChar"/>
          <w:i/>
          <w:iCs/>
        </w:rPr>
        <w:t>hhi_summary.csv</w:t>
      </w:r>
      <w:r>
        <w:rPr>
          <w:i/>
          <w:iCs/>
        </w:rPr>
        <w:t>, from the inputs in Tables B7–B10.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r>
    </w:tbl>
    <w:p>
      <w:pPr>
        <w:pStyle w:val="BodyText"/>
        <w:rPr/>
      </w:pPr>
      <w:bookmarkStart w:id="198" w:name="b2.3-headline-results"/>
      <w:r>
        <w:rPr/>
        <w:t>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bookmarkEnd w:id="198"/>
    </w:p>
    <w:p>
      <w:pPr>
        <w:pStyle w:val="Heading5"/>
        <w:rPr/>
      </w:pPr>
      <w:bookmarkStart w:id="199" w:name="b2.4-sensitivity"/>
      <w:r>
        <w:rPr/>
        <w:t>B2.4 Sensitivity</w:t>
      </w:r>
    </w:p>
    <w:p>
      <w:pPr>
        <w:pStyle w:val="FirstParagraph"/>
        <w:rPr/>
      </w:pPr>
      <w:r>
        <w:rPr>
          <w:i/>
          <w:iCs/>
        </w:rPr>
        <w:t>Table B12. HHI under every tested scenario.</w:t>
      </w:r>
      <w:r>
        <w:rPr/>
        <w:t xml:space="preserve"> </w:t>
      </w:r>
      <w:r>
        <w:rPr>
          <w:i/>
          <w:iCs/>
        </w:rPr>
        <w:t xml:space="preserve">Source: </w:t>
      </w:r>
      <w:r>
        <w:rPr>
          <w:rStyle w:val="VerbatimChar"/>
          <w:i/>
          <w:iCs/>
        </w:rPr>
        <w:t>03_LCA_Calculations/results/hhi_summary.csv</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 “Others” atomistic</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bound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China and Niger</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 exports disrupted since the 2023 coup (secondary)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2,368–2,372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2,598–2,603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2,243–2,248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2,457–2,462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Mining (company)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2024 bounds (top three known)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Not 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Unconcentrated</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Range 851–1,384; partial data</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15,000 tU (alternative)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Secondary source; sensitivity only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3,356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capacity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5,722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capacity (plans)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 and China</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4,827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bl>
    <w:p>
      <w:pPr>
        <w:pStyle w:val="BodyText"/>
        <w:rPr/>
      </w:pPr>
      <w:r>
        <w:rPr/>
        <w:t xml:space="preserve">Reading: - </w:t>
      </w:r>
      <w:r>
        <w:rPr>
          <w:b/>
          <w:bCs/>
        </w:rPr>
        <w:t>Data year</w:t>
      </w:r>
      <w:r>
        <w:rPr/>
        <w:t xml:space="preserve"> moves the HHI by a few hundred points but never changes the 2023 class. Enrichment and conversion are highly concentrated in every year tested. - </w:t>
      </w:r>
      <w:r>
        <w:rPr>
          <w:b/>
          <w:bCs/>
        </w:rPr>
        <w:t>Capacity versus production</w:t>
      </w:r>
      <w:r>
        <w:rPr/>
        <w:t xml:space="preserve"> (conversion) changes the HHI by less than 10 points. - </w:t>
      </w:r>
      <w:r>
        <w:rPr>
          <w:b/>
          <w:bCs/>
        </w:rPr>
        <w:t>ConverDyn’s capacity</w:t>
      </w:r>
      <w:r>
        <w:rPr/>
        <w:t xml:space="preserve"> (7,000 or 15,000 tU) is the largest data uncertainty for conversion. The higher value lowers the HHI to 2,015, still above 1,800. - </w:t>
      </w:r>
      <w:r>
        <w:rPr>
          <w:b/>
          <w:bCs/>
        </w:rPr>
        <w:t>Threshold choice</w:t>
      </w:r>
      <w:r>
        <w:rPr/>
        <w:t xml:space="preserve"> matters for mining and conversion only: both are “highly” concentrated on the 2023 scale and “moderately” on the 2010 scale. Enrichment is highly concentrated on both. - </w:t>
      </w:r>
      <w:r>
        <w:rPr>
          <w:b/>
          <w:bCs/>
        </w:rPr>
        <w:t>Removing Russia</w:t>
      </w:r>
      <w:r>
        <w:rPr/>
        <w:t xml:space="preserve"> is the dominant effect at every stage, and it always increases concentration.</w:t>
      </w:r>
    </w:p>
    <w:p>
      <w:pPr>
        <w:pStyle w:val="BodyText"/>
        <w:rPr/>
      </w:pPr>
      <w:r>
        <w:rPr>
          <w:b/>
          <w:bCs/>
        </w:rPr>
        <w:t>Mining by company (the one case below 1,800).</w:t>
      </w:r>
      <w:r>
        <w:rPr/>
        <w:t xml:space="preserve"> Only the top three 2024 shares were retrieved: Kazatomprom 21%, Cameco 17%, Orano 11% (World Nuclear Association, 2026); Kazatomprom’s 21% is cross-checked by Kazatomprom (2025). Together they hold 49%. 1. Lower bound (the other 51% held by many small firms): 21² + 17² + 11² = 441 + 289 + 121 = </w:t>
      </w:r>
      <w:r>
        <w:rPr>
          <w:b/>
          <w:bCs/>
        </w:rPr>
        <w:t>851</w:t>
      </w:r>
      <w:r>
        <w:rPr/>
        <w:t xml:space="preserve">. 2. Upper bound (the other 51% split into firms no larger than the third-ranked, 11%, i.e. four at 11% and one at 7%): 851 + 4 × 11² + 7² = 851 + 484 + 49 = </w:t>
      </w:r>
      <w:r>
        <w:rPr>
          <w:b/>
          <w:bCs/>
        </w:rPr>
        <w:t>1,384</w:t>
      </w:r>
      <w:r>
        <w:rPr/>
        <w:t xml:space="preserve">. 3. Central value reported by </w:t>
      </w:r>
      <w:r>
        <w:rPr>
          <w:rStyle w:val="VerbatimChar"/>
        </w:rPr>
        <w:t>hhi.py</w:t>
      </w:r>
      <w:r>
        <w:rPr/>
        <w:t xml:space="preserve">: the midpoint, (851 + 1,384) / 2 = </w:t>
      </w:r>
      <w:r>
        <w:rPr>
          <w:b/>
          <w:bCs/>
        </w:rPr>
        <w:t>1,118</w:t>
      </w:r>
      <w:r>
        <w:rPr/>
        <w:t xml:space="preserve"> (N_eq = 8.9).</w:t>
      </w:r>
    </w:p>
    <w:p>
      <w:pPr>
        <w:pStyle w:val="BodyText"/>
        <w:rPr/>
      </w:pPr>
      <w:bookmarkStart w:id="200" w:name="b2.4-sensitivity"/>
      <w:r>
        <w:rPr/>
        <w:t>Both bounds are below 1,500, so firms are not concentrated even though countries are. Kazakhstan’s 38.6% country share includes joint ventures with foreign partners, whose ownership was not assessed.</w:t>
      </w:r>
      <w:bookmarkEnd w:id="200"/>
    </w:p>
    <w:p>
      <w:pPr>
        <w:pStyle w:val="Heading5"/>
        <w:rPr/>
      </w:pPr>
      <w:bookmarkStart w:id="201" w:name="b2.5-limitations"/>
      <w:r>
        <w:rPr/>
        <w:t>B2.5 Limitations</w:t>
      </w:r>
    </w:p>
    <w:p>
      <w:pPr>
        <w:pStyle w:val="FirstParagraph"/>
        <w:rPr/>
      </w:pPr>
      <w:r>
        <w:rPr/>
        <w:t>“</w:t>
      </w:r>
      <w:r>
        <w:rPr/>
        <w:t>High” is above 1,800 on the 2023 guidelines and above 2,500 on the 2010 guidelines; “Moderate” 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rPr/>
      </w:pPr>
      <w:bookmarkStart w:id="202" w:name="b2.5-limitations"/>
      <w:r>
        <w:rPr/>
        <w:t>Limits: - Capacity is not supply. Nameplate SWU includes capacity Rosatom uses for underfeeding and tails re-enrichment, and CNNC’s figures are WNA estimates. - Secondary supply (inventories, down-blending, re-enriched tails) is excluded. Mine output in 2024 (60,213 tU) met about 93% of reactor requirements (64,500 tU at 1 January 2025; OECD Nuclear Energy Agency and International Atomic Energy Agency, 2026). - Company-level enrichment shares hide plant location: Urenco operates in the UK, Germany, the Netherlands and the USA; Orano only in France. - Mining by country ignores ownership and the transport routes for Kazakh exports, which were not assessed, so Russia’s 4.5% of mining may understate its reach. The company-level bound only partly addresses ownership. - Fuel fabrication, where BWR fuel is thought to have few suppliers, was not assessed (Section 4). - The HHI is a world-market measure. Darlington’s own demand is sized against it in B2.6.</w:t>
      </w:r>
      <w:bookmarkEnd w:id="202"/>
    </w:p>
    <w:p>
      <w:pPr>
        <w:pStyle w:val="Heading5"/>
        <w:rPr/>
      </w:pPr>
      <w:bookmarkStart w:id="203" w:name="X38b76fede8e58c0e5d473d8915656eae0265e01"/>
      <w:r>
        <w:rPr/>
        <w:t>B2.6 Darlington’s fuel demand against supplier capacity</w:t>
      </w:r>
    </w:p>
    <w:p>
      <w:pPr>
        <w:pStyle w:val="FirstParagraph"/>
        <w:rPr/>
      </w:pPr>
      <w:r>
        <w:rPr>
          <w:b/>
          <w:bCs/>
        </w:rPr>
        <w:t>Result.</w:t>
      </w:r>
      <w:r>
        <w:rPr/>
        <w:t xml:space="preserve"> Four BWRX-300s need about 196 t of natural uranium and 138 thousand separative work units (tSWU) a year: </w:t>
      </w:r>
      <w:r>
        <w:rPr>
          <w:b/>
          <w:bCs/>
        </w:rPr>
        <w:t>3.2% of Urenco USA’s current capacity</w:t>
      </w:r>
      <w:r>
        <w:rPr/>
        <w:t xml:space="preserve"> 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rPr/>
      </w:pPr>
      <w:r>
        <w:rPr/>
        <w:t xml:space="preserve">Working (one unit; </w:t>
      </w:r>
      <w:r>
        <w:rPr>
          <w:rStyle w:val="VerbatimChar"/>
        </w:rPr>
        <w:t>hhi.md</w:t>
      </w:r>
      <w:r>
        <w:rPr/>
        <w:t xml:space="preserve"> section 6): 1. Net generation: 300 MWe × 8,760 h × 0.9 = 2,365,200 MWh. Thermal power 870 MWt gives efficiency η = 300 / 870 = 0.3448. 2. Energy per kg of enriched uranium (3.8% U-235, burnup 45 GWd/t) = 45 × 24,000 kWh × η = 372,414 kWh. Enriched uranium needed = 2,365,200,000 kWh / 372,414 = 6.35 t a year. 3. Natural uranium feed factor 7.701 (tails 0.25%): 6.35 × 7.701 = 48.9 t U. Separative work: 5.422 SWU per kg, so 34.4 tSWU. 4. Four units: 25.4 t enriched, </w:t>
      </w:r>
      <w:r>
        <w:rPr>
          <w:b/>
          <w:bCs/>
        </w:rPr>
        <w:t>195.6 t U</w:t>
      </w:r>
      <w:r>
        <w:rPr/>
        <w:t xml:space="preserve"> and </w:t>
      </w:r>
      <w:r>
        <w:rPr>
          <w:b/>
          <w:bCs/>
        </w:rPr>
        <w:t>137.7 tSWU</w:t>
      </w:r>
      <w:r>
        <w:rPr/>
        <w:t xml:space="preserve"> a year.</w:t>
      </w:r>
    </w:p>
    <w:p>
      <w:pPr>
        <w:pStyle w:val="BodyText"/>
        <w:rPr/>
      </w:pPr>
      <w:r>
        <w:rPr>
          <w:i/>
          <w:iCs/>
        </w:rPr>
        <w:t>Table B12a. Four-unit demand set against supplier capacity.</w:t>
      </w:r>
      <w:r>
        <w:rPr/>
        <w:t xml:space="preserve"> </w:t>
      </w:r>
      <w:r>
        <w:rPr>
          <w:i/>
          <w:iCs/>
        </w:rPr>
        <w:t xml:space="preserve">Source: </w:t>
      </w:r>
      <w:r>
        <w:rPr>
          <w:rStyle w:val="VerbatimChar"/>
          <w:i/>
          <w:iCs/>
        </w:rPr>
        <w:t>results/hhi.md</w:t>
      </w:r>
      <w:r>
        <w:rPr>
          <w:i/>
          <w:iCs/>
        </w:rPr>
        <w:t xml:space="preserve"> section 6.2, using World Nuclear Association (2025) capacities; demand inputs are assumed.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Capacity</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tSWU a year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Four-unit demand as a 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(Eunice), current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3.20%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2027 project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2032–2036 expansion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and Orano together</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 enrichment capacity</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68,077</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r>
    </w:tbl>
    <w:p>
      <w:pPr>
        <w:pStyle w:val="BodyText"/>
        <w:rPr/>
      </w:pPr>
      <w:r>
        <w:rP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 </w:t>
      </w:r>
      <w:r>
        <w:rPr>
          <w:b/>
          <w:bCs/>
        </w:rPr>
        <w:t>Reserve:</w:t>
      </w:r>
      <w:r>
        <w:rPr/>
        <w:t xml:space="preserve"> two reloads held in stock embody 275–551 tSWU (6–13% of one year of Urenco USA output), depending on a cycle length of 12 to 24 months (assumed). This is a working-capital question (fuel price, not sourced) rather than a supply question.</w:t>
      </w:r>
    </w:p>
    <w:p>
      <w:pPr>
        <w:pStyle w:val="normal1"/>
        <w:rPr/>
      </w:pPr>
      <w:bookmarkStart w:id="204" w:name="X372cadb88b67a633233203304eb4ef38d3c0c77"/>
      <w:bookmarkStart w:id="205" w:name="X38b76fede8e58c0e5d473d8915656eae0265e01"/>
      <w:r>
        <w:rPr/>
        <mc:AlternateContent>
          <mc:Choice Requires="wps">
            <w:drawing>
              <wp:inline distT="0" distB="0" distL="0" distR="0">
                <wp:extent cx="57315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p>
    <w:p>
      <w:pPr>
        <w:pStyle w:val="Heading4"/>
        <w:rPr/>
      </w:pPr>
      <w:bookmarkStart w:id="206" w:name="X4d39e6569850789c0bc5244e03826205e394972"/>
      <w:r>
        <w:rPr/>
        <w:t>B3. Routes to a licensable SMR in Australia: scored comparison</w:t>
      </w:r>
    </w:p>
    <w:p>
      <w:pPr>
        <w:pStyle w:val="FirstParagraph"/>
        <w:rPr/>
      </w:pPr>
      <w:r>
        <w:rPr>
          <w:b/>
          <w:bCs/>
        </w:rPr>
        <w:t>Result.</w:t>
      </w:r>
      <w:r>
        <w:rPr/>
        <w:t xml:space="preserve"> 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 </w:t>
      </w:r>
      <w:r>
        <w:rPr>
          <w:b/>
          <w:bCs/>
        </w:rPr>
        <w:t>These scores are our own qualitative judgement from the evidence in B1, not sourced scores, and the totals and the weight test (Table B14) are hand calculations.</w:t>
      </w:r>
      <w:r>
        <w:rPr/>
        <w:t xml:space="preserve"> They feed the “feasibility” criterion of the Section 3.7 MCDA.</w:t>
      </w:r>
    </w:p>
    <w:p>
      <w:pPr>
        <w:pStyle w:val="BodyText"/>
        <w:rPr/>
      </w:pPr>
      <w:r>
        <w:rPr>
          <w:i/>
          <w:iCs/>
        </w:rPr>
        <w:t>Table B13. Three routes scored against four non-technical objectives (1 = poor, 3 = good).</w:t>
      </w:r>
      <w:r>
        <w:rPr/>
        <w:t xml:space="preserve"> </w:t>
      </w:r>
      <w:r>
        <w:rPr>
          <w:i/>
          <w:iCs/>
        </w:rPr>
        <w:t>Source: our qualitative judgement, from the evidence cited in the table.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Objective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Commonwealth-owned plant under ARPANSA (the Coalition’s 2024 model)</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Federal licensing law for private operators, overriding the states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 Cooperative: state repeal plus a state or joint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changes needed (not scored)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plus a s 109 override of NSW (or NSW repeal)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a new federal Act and a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NSW repeal and a NSW regulator Act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Fewest veto points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(or the High Court, if the Commonwealth overrides); site owner. A would score 2 only if s 8(3) exempted a Commonwealth operator (our inference)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High Court; site owner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Parliament; site owner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builds on ARPANSA, which already regulates Commonwealth entities such as ANSTO (ARPANSA,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w:t>
            </w:r>
            <w:r>
              <w:rPr>
                <w:rFonts w:eastAsia="Aptos" w:cs="Aptos"/>
                <w:kern w:val="0"/>
                <w:lang w:val="en-US"/>
              </w:rPr>
              <w:t>: a new body, as with the ANNPSR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NSW has no nuclear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(low exposure to political reversal)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one government’s decision; the next can sell or cancel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as A, plus litigation risk (Canberra Times,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both levels of government committed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the states rejected it in 2024 (Canberra Times, n.d., as reported)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overrides the states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the states consent, if they do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(of 12)</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8</w:t>
            </w:r>
          </w:p>
        </w:tc>
      </w:tr>
    </w:tbl>
    <w:p>
      <w:pPr>
        <w:pStyle w:val="BodyText"/>
        <w:rPr/>
      </w:pPr>
      <w:r>
        <w:rPr/>
        <w:t>Route A’s description rests on ABC News (2024), as reported.</w:t>
      </w:r>
    </w:p>
    <w:p>
      <w:pPr>
        <w:pStyle w:val="BodyText"/>
        <w:rPr/>
      </w:pPr>
      <w:r>
        <w:rPr>
          <w:i/>
          <w:iCs/>
        </w:rPr>
        <w:t>Table B14. Weight test: totals when one objective counts double (maximum 15).</w:t>
      </w:r>
      <w:r>
        <w:rPr/>
        <w:t xml:space="preserve"> </w:t>
      </w:r>
      <w:r>
        <w:rPr>
          <w:i/>
          <w:iCs/>
        </w:rPr>
        <w:t>Source: calculated from Table B13.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Weighting</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Equal weights (base, of 12)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 × 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6 + 3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+ 2 = 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+ 1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and C tie, B</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 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 + 1 = 7</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+ 1 = 6</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+ 3 = </w:t>
            </w:r>
            <w:r>
              <w:rPr>
                <w:rFonts w:eastAsia="Aptos" w:cs="Aptos"/>
                <w:b/>
                <w:bCs/>
                <w:kern w:val="0"/>
                <w:lang w:val="en-US"/>
              </w:rPr>
              <w:t>11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bl>
    <w:p>
      <w:pPr>
        <w:pStyle w:val="BodyText"/>
        <w:rPr/>
      </w:pPr>
      <w:r>
        <w:rPr/>
        <w:t>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p>
      <w:pPr>
        <w:pStyle w:val="Heading5"/>
        <w:rPr/>
      </w:pPr>
      <w:bookmarkStart w:id="207" w:name="X4d7620ad6684f736307b127d60379d32821a480"/>
      <w:r>
        <w:rPr/>
        <w:t>B3.1 Implementation levers for C1 (the Section 3.6.2 lever table): scores and weight test</w:t>
      </w:r>
    </w:p>
    <w:p>
      <w:pPr>
        <w:pStyle w:val="FirstParagraph"/>
        <w:rPr/>
      </w:pPr>
      <w:r>
        <w:rPr/>
        <w:t>Each lever is scored 1 (poor) to 3 (good) on enforceability, speed and low schedule risk. The scores are our judgement, not sourced; the totals are hand calculations.</w:t>
      </w:r>
    </w:p>
    <w:p>
      <w:pPr>
        <w:pStyle w:val="BodyText"/>
        <w:rPr/>
      </w:pPr>
      <w:r>
        <w:rPr>
          <w:i/>
          <w:iCs/>
        </w:rPr>
        <w:t>Table B14a. Lever scores and weight test for the Section 3.6.2 lever table.</w:t>
      </w:r>
      <w:r>
        <w:rPr/>
        <w:t xml:space="preserve"> </w:t>
      </w:r>
      <w:r>
        <w:rPr>
          <w:i/>
          <w:iCs/>
        </w:rPr>
        <w:t>Source: our judgement and hand calculation.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Low risk</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 (of 9)</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 × 2</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 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 + 3 + 3 = 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2 + 3×2 + 3 = </w:t>
            </w:r>
            <w:r>
              <w:rPr>
                <w:rFonts w:eastAsia="Aptos" w:cs="Aptos"/>
                <w:b/>
                <w:bCs/>
                <w:kern w:val="0"/>
                <w:lang w:val="en-US"/>
              </w:rPr>
              <w:t>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Equity-tranche milestone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3×2 + 2 + 3 = </w:t>
            </w:r>
            <w:r>
              <w:rPr>
                <w:rFonts w:eastAsia="Aptos" w:cs="Aptos"/>
                <w:b/>
                <w:bCs/>
                <w:kern w:val="0"/>
                <w:lang w:val="en-US"/>
              </w:rPr>
              <w:t>11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+ 3 = 10</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 + 2 + 2 = 10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+ 2 = 9</w:t>
            </w:r>
          </w:p>
        </w:tc>
      </w:tr>
    </w:tbl>
    <w:p>
      <w:pPr>
        <w:pStyle w:val="BodyText"/>
        <w:rPr/>
      </w:pPr>
      <w:r>
        <w:rPr/>
        <w:t>Reading: L1 and L2 tie at 8 on equal weights. L2 leads (11) if enforceability counts double and L1 leads (11) if speed does. L3 is never first, so the recommendation (L1 now, L2 at tranche 2) holds under all three weightings.</w:t>
      </w:r>
    </w:p>
    <w:p>
      <w:pPr>
        <w:pStyle w:val="normal1"/>
        <w:rPr/>
      </w:pPr>
      <w:bookmarkStart w:id="208" w:name="X4d39e6569850789c0bc5244e03826205e394972"/>
      <w:bookmarkStart w:id="209" w:name="X4d7620ad6684f736307b127d60379d32821a480"/>
      <w:r>
        <w:rPr/>
        <mc:AlternateContent>
          <mc:Choice Requires="wps">
            <w:drawing>
              <wp:inline distT="0" distB="0" distL="0" distR="0">
                <wp:extent cx="57315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p>
    <w:p>
      <w:pPr>
        <w:pStyle w:val="Heading4"/>
        <w:rPr/>
      </w:pPr>
      <w:bookmarkStart w:id="210" w:name="X6942ef6bc025069590c0c205010015835f1b9ab"/>
      <w:r>
        <w:rPr/>
        <w:t>B4. Displacement: CO₂e avoided by one BWRX-300, Darlington vs Liddell</w:t>
      </w:r>
    </w:p>
    <w:p>
      <w:pPr>
        <w:pStyle w:val="FirstParagraph"/>
        <w:rPr/>
      </w:pPr>
      <w:r>
        <w:rPr>
          <w:b/>
          <w:bCs/>
        </w:rPr>
        <w:t>Result.</w:t>
      </w:r>
      <w:r>
        <w:rPr/>
        <w:t xml:space="preserve"> At static grid factors, one unit avoids 1.50 Mt CO₂e a year on the NSW grid average. That is 9.1× what it avoids on Ontario’s 2024 average (0.165 Mt), but only 1.9× its avoidance on Ontario’s marginal factor (0.80 Mt). Valued over the years each plant could actually run, the gap mostly closes: - Darlington Unit 1 from 2030 avoids </w:t>
      </w:r>
      <w:r>
        <w:rPr>
          <w:b/>
          <w:bCs/>
        </w:rPr>
        <w:t>1.01–6.80 Mt to 2050</w:t>
      </w:r>
      <w:r>
        <w:rPr/>
        <w:t xml:space="preserve">. - Liddell from 2040 avoids </w:t>
      </w:r>
      <w:r>
        <w:rPr>
          <w:b/>
          <w:bCs/>
        </w:rPr>
        <w:t>0.67–3.85 Mt to 2050</w:t>
      </w:r>
      <w:r>
        <w:rPr/>
        <w:t>: less than Darlington on the Step Change proxy, and comparable on the slow transition. - Liddell wins clearly only if the NEM stops decarbonising (frozen grid, 16.54 Mt).</w:t>
      </w:r>
    </w:p>
    <w:p>
      <w:pPr>
        <w:pStyle w:val="BodyText"/>
        <w:rPr/>
      </w:pPr>
      <w:r>
        <w:rPr/>
        <w:t xml:space="preserve">The grid trajectory, the start year and the post-coal floor dominate the result. The SMR’s own life-cycle value moves it by a few per cent. Script: </w:t>
      </w:r>
      <w:r>
        <w:rPr>
          <w:rStyle w:val="VerbatimChar"/>
        </w:rPr>
        <w:t>python3 -I 03_LCA_Calculations/scripts/displacement.py</w:t>
      </w:r>
      <w:r>
        <w:rPr/>
        <w:t xml:space="preserve">, with inputs in </w:t>
      </w:r>
      <w:r>
        <w:rPr>
          <w:rStyle w:val="VerbatimChar"/>
        </w:rPr>
        <w:t>parameters_run1.yaml</w:t>
      </w:r>
      <w:r>
        <w:rPr/>
        <w:t xml:space="preserve"> and output in </w:t>
      </w:r>
      <w:r>
        <w:rPr>
          <w:rStyle w:val="VerbatimChar"/>
        </w:rPr>
        <w:t>results/displacement.md</w:t>
      </w:r>
      <w:r>
        <w:rPr/>
        <w:t>.</w:t>
      </w:r>
    </w:p>
    <w:p>
      <w:pPr>
        <w:pStyle w:val="Heading5"/>
        <w:rPr/>
      </w:pPr>
      <w:r>
        <w:rPr/>
        <w:t>B4.1 Method</w:t>
      </w:r>
    </w:p>
    <w:p>
      <w:pPr>
        <w:pStyle w:val="Compact"/>
        <w:numPr>
          <w:ilvl w:val="0"/>
          <w:numId w:val="44"/>
        </w:numPr>
        <w:rPr/>
      </w:pPr>
      <w:r>
        <w:rPr/>
        <w:t xml:space="preserve">Annual output of one unit: E = P × 8,760 h × CF = 300 MW × 1,000 kW/MW × 8,760 h × 0.90 = </w:t>
      </w:r>
      <w:r>
        <w:rPr>
          <w:b/>
          <w:bCs/>
        </w:rPr>
        <w:t>2,365,200,000 kWh (2.365 TWh) a year</w:t>
      </w:r>
      <w:r>
        <w:rPr/>
        <w:t>.</w:t>
      </w:r>
    </w:p>
    <w:p>
      <w:pPr>
        <w:pStyle w:val="Compact"/>
        <w:numPr>
          <w:ilvl w:val="0"/>
          <w:numId w:val="45"/>
        </w:numPr>
        <w:rPr/>
      </w:pPr>
      <w:r>
        <w:rPr/>
        <w:t xml:space="preserve">CO₂e avoided in year </w:t>
      </w:r>
      <w:r>
        <w:rPr>
          <w:i/>
          <w:iCs/>
        </w:rPr>
        <w:t>y</w:t>
      </w:r>
      <w:r>
        <w:rPr/>
        <w:t>: A(</w:t>
      </w:r>
      <w:r>
        <w:rPr>
          <w:i/>
          <w:iCs/>
        </w:rPr>
        <w:t>y</w:t>
      </w:r>
      <w:r>
        <w:rPr/>
        <w:t>) = E × (EF_grid(</w:t>
      </w:r>
      <w:r>
        <w:rPr>
          <w:i/>
          <w:iCs/>
        </w:rPr>
        <w:t>y</w:t>
      </w:r>
      <w:r>
        <w:rPr/>
        <w:t>) − EF_SMR) / 10⁶ t. EF is in g CO₂e/kWh, and EF_SMR = 4.2 g/kWh (our Monte Carlo median, Section 3.2; 90% interval 3.0–5.8).</w:t>
      </w:r>
    </w:p>
    <w:p>
      <w:pPr>
        <w:pStyle w:val="Compact"/>
        <w:numPr>
          <w:ilvl w:val="0"/>
          <w:numId w:val="46"/>
        </w:numPr>
        <w:rPr/>
      </w:pPr>
      <w:r>
        <w:rPr/>
        <w:t>The cumulative total is the sum of A(</w:t>
      </w:r>
      <w:r>
        <w:rPr>
          <w:i/>
          <w:iCs/>
        </w:rPr>
        <w:t>y</w:t>
      </w:r>
      <w:r>
        <w:rPr/>
        <w:t>) from the first full year of operation to 2035, to 2050 (inclusive), or to the end of a 60-year life.</w:t>
      </w:r>
    </w:p>
    <w:p>
      <w:pPr>
        <w:pStyle w:val="Compact"/>
        <w:numPr>
          <w:ilvl w:val="0"/>
          <w:numId w:val="47"/>
        </w:numPr>
        <w:rPr/>
      </w:pPr>
      <w:r>
        <w:rPr/>
        <w:t>Each grid trajectory is linear between its anchor points and flat afterwards. These are our constructions, not AEMO or IESO series: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Path</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Role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(2024) → 15 (2040)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(2024) → 15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assumes gas leaves the margin by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ON-marginal-flat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values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floor (2038)</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Central NEM case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Slow transition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UB-coal-LCA</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1,000 held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upper bounds</w:t>
            </w:r>
          </w:p>
        </w:tc>
      </w:tr>
    </w:tbl>
    <w:p>
      <w:pPr>
        <w:pStyle w:val="BodyText"/>
        <w:rPr/>
      </w:pPr>
      <w:r>
        <w:rPr>
          <w:b/>
          <w:bCs/>
        </w:rPr>
        <w:t>Worked example 1 (static, NSW 2025).</w:t>
      </w:r>
      <w:r>
        <w:rPr/>
        <w:t xml:space="preserve"> 2,365,200,000 × (640 − 4.2) / 10⁶ = </w:t>
      </w:r>
      <w:r>
        <w:rPr>
          <w:b/>
          <w:bCs/>
        </w:rPr>
        <w:t>1,503,794 t a year</w:t>
      </w:r>
      <w:r>
        <w:rPr/>
        <w:t>.</w:t>
      </w:r>
    </w:p>
    <w:p>
      <w:pPr>
        <w:pStyle w:val="BodyText"/>
        <w:rPr/>
      </w:pPr>
      <w:r>
        <w:rPr>
          <w:b/>
          <w:bCs/>
        </w:rPr>
        <w:t>Worked example 2 (cumulative, Liddell from 2040 on NEM-T1).</w:t>
      </w:r>
      <w:r>
        <w:rPr/>
        <w:t xml:space="preserve"> The NEM is at its 30 g/kWh floor from 2038, so each year avoids 2,365,200,000 × (30 − 4.2) / 10⁶ = 61,022 t. - To 2050 (11 years, 2040–2050): 11 × 61,022 = </w:t>
      </w:r>
      <w:r>
        <w:rPr>
          <w:b/>
          <w:bCs/>
        </w:rPr>
        <w:t>671 kt</w:t>
      </w:r>
      <w:r>
        <w:rPr/>
        <w:t xml:space="preserve">. - Whole life (60 years): 60 × 61,022 = </w:t>
      </w:r>
      <w:r>
        <w:rPr>
          <w:b/>
          <w:bCs/>
        </w:rPr>
        <w:t>3.66 Mt</w:t>
      </w:r>
      <w:r>
        <w:rPr/>
        <w:t>.</w:t>
      </w:r>
    </w:p>
    <w:p>
      <w:pPr>
        <w:pStyle w:val="BodyText"/>
        <w:rPr/>
      </w:pPr>
      <w:r>
        <w:rPr>
          <w:i/>
          <w:iCs/>
        </w:rPr>
        <w:t>Table B15. Inputs to B4–B6.</w:t>
      </w:r>
      <w:r>
        <w:rPr/>
        <w:t xml:space="preserve"> </w:t>
      </w:r>
      <w:r>
        <w:rPr>
          <w:i/>
          <w:iCs/>
        </w:rPr>
        <w:t xml:space="preserve">Source: </w:t>
      </w:r>
      <w:r>
        <w:rPr>
          <w:rStyle w:val="VerbatimChar"/>
          <w:i/>
          <w:iCs/>
        </w:rPr>
        <w:t>03_LCA_Calculations/parameters_run1.yaml</w:t>
      </w:r>
      <w:r>
        <w:rPr>
          <w:i/>
          <w:iCs/>
        </w:rPr>
        <w:t xml:space="preserve"> and the references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(290–300)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(an OPG filing gives 315)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315 tested in Table B19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 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 (0.80–0.95); 60 years (40–80)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g/kWh (3.0–5.8)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study, bottom-up model (Section 3.2, Appendix C); the re-based 4.40 g/kWh changes avoided CO₂e by at most 0.3% (Ontario average grid: (73.8 − 4.40)/(73.8 − 4.2))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result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(73–73.8)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53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Energy Regulator (n.d.); Government of Ontario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Electricity System Operator (2024)</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g/kWh (343–472)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high = gas generation, The Atmospheric Fund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(definition ambiguous)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Year gas leaves Ontario’s margin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2050 (2040–2060)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NSW/ACT grid, 2025 (scope 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Department of Climate Change, Energy, the Environment and Water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coal exit (T1); slow exit (T2)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2038; 2050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(2024), as reported; 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reported; 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sent out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(older value)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1,000 g/kWh (751–1,095)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 Units 2–4 2035 (2034–2036); Liddell 2035 (Coalition claim), 2040 (CSIRO earliest), 2045 (late case)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 Ontario Power Generation (2025a); ABC News (2024), as reported; Graham, Hayward and Foster (2024); assumption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assumed</w:t>
            </w:r>
            <w:bookmarkStart w:id="211" w:name="b4.1-method"/>
            <w:bookmarkEnd w:id="211"/>
          </w:p>
        </w:tc>
      </w:tr>
    </w:tbl>
    <w:p>
      <w:pPr>
        <w:pStyle w:val="Heading5"/>
        <w:rPr/>
      </w:pPr>
      <w:r>
        <w:rPr/>
        <w:t>B4.2 Results</w:t>
      </w:r>
    </w:p>
    <w:p>
      <w:pPr>
        <w:pStyle w:val="FirstParagraph"/>
        <w:rPr/>
      </w:pPr>
      <w:r>
        <w:rPr>
          <w:i/>
          <w:iCs/>
        </w:rPr>
        <w:t>Table B16. Annual CO₂e avoided by one unit at static grid factors.</w:t>
      </w:r>
      <w:r>
        <w:rPr/>
        <w:t xml:space="preserve"> </w:t>
      </w:r>
      <w:r>
        <w:rPr>
          <w:i/>
          <w:iCs/>
        </w:rPr>
        <w:t xml:space="preserve">Source: </w:t>
      </w:r>
      <w:r>
        <w:rPr>
          <w:rStyle w:val="VerbatimChar"/>
          <w:i/>
          <w:iCs/>
        </w:rPr>
        <w:t>results/displacement.md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electricity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(g/kWh)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 a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Ratio to Ontario average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(CER)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72,848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2023 (energy snapshot)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115,422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 (TAF)</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164,618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(TAF 2024)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801,330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gas-fired generation (TAF 2021)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1,106,441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NSW/NEM average 2025 (NGA Factors, scope 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1,503,794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coal, sent out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2,331,614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 (UNECE)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2,355,266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combined cycle, life cycle (UNECE)</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458</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1,073,328</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6.5×</w:t>
            </w:r>
          </w:p>
        </w:tc>
      </w:tr>
    </w:tbl>
    <w:p>
      <w:pPr>
        <w:pStyle w:val="BodyText"/>
        <w:rPr/>
      </w:pPr>
      <w:r>
        <w:rPr/>
        <w:t>On Canada Energy Regulator (n.d.) data for 2022 (35 g/kWh), the NSW figure is 20.6× the Ontario one (1,503,794 / 72,848), against 9.1× on the 2024 average.</w:t>
      </w:r>
    </w:p>
    <w:p>
      <w:pPr>
        <w:pStyle w:val="BodyText"/>
        <w:rPr/>
      </w:pPr>
      <w:r>
        <w:rPr>
          <w:i/>
          <w:iCs/>
        </w:rPr>
        <w:t>Table B17. Cumulative CO₂e avoided by one unit, by site, start year and grid trajectory (Figure F6 data).</w:t>
      </w:r>
      <w:r>
        <w:rPr/>
        <w:t xml:space="preserve"> </w:t>
      </w:r>
      <w:r>
        <w:rPr>
          <w:i/>
          <w:iCs/>
        </w:rPr>
        <w:t xml:space="preserve">Source: </w:t>
      </w:r>
      <w:r>
        <w:rPr>
          <w:rStyle w:val="VerbatimChar"/>
          <w:i/>
          <w:iCs/>
        </w:rPr>
        <w:t>results/displacement.md</w:t>
      </w:r>
      <w:r>
        <w:rPr>
          <w:i/>
          <w:iCs/>
        </w:rPr>
        <w:t xml:space="preserve"> section 3.</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Start</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Year-1 EF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7.80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16.83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927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10.59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671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6.84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25.65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139.90 Mt</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UB-coal-LCA flat (upper bound)</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25.91 Mt</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141.32 Mt</w:t>
            </w:r>
          </w:p>
        </w:tc>
      </w:tr>
    </w:tbl>
    <w:p>
      <w:pPr>
        <w:pStyle w:val="BodyText"/>
        <w:rPr/>
      </w:pPr>
      <w:r>
        <w:rPr>
          <w:i/>
          <w:iCs/>
        </w:rPr>
        <w:t>Table B18. All four Darlington units (Unit 1 from 2030; Units 2–4 from 2035).</w:t>
      </w:r>
      <w:r>
        <w:rPr/>
        <w:t xml:space="preserve"> </w:t>
      </w:r>
      <w:r>
        <w:rPr>
          <w:i/>
          <w:iCs/>
        </w:rPr>
        <w:t xml:space="preserve">Source: </w:t>
      </w:r>
      <w:r>
        <w:rPr>
          <w:rStyle w:val="VerbatimChar"/>
          <w:i/>
          <w:iCs/>
        </w:rPr>
        <w:t>results/displacement.md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751 kt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2.63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11.36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39.51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18.77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23.14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 Mt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55.29 Mt</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192.32 Mt</w:t>
            </w:r>
          </w:p>
        </w:tc>
      </w:tr>
    </w:tbl>
    <w:p>
      <w:pPr>
        <w:pStyle w:val="BodyText"/>
        <w:rPr/>
      </w:pPr>
      <w:r>
        <w:rPr>
          <w:i/>
          <w:iCs/>
        </w:rPr>
        <w:t>Table B19. One-at-a-time sensitivity, Liddell central case (start 2040, NEM-T1). Central: 671 kt to 2050; 3.66 Mt over the whole life.</w:t>
      </w:r>
      <w:r>
        <w:rPr/>
        <w:t xml:space="preserve"> </w:t>
      </w:r>
      <w:r>
        <w:rPr>
          <w:i/>
          <w:iCs/>
        </w:rPr>
        <w:t xml:space="preserve">Source: </w:t>
      </w:r>
      <w:r>
        <w:rPr>
          <w:rStyle w:val="VerbatimChar"/>
          <w:i/>
          <w:iCs/>
        </w:rPr>
        <w:t>results/displacement.md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2050 (low → high input)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Whole life (low → high input)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597 → 709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3.25 → 3.86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290–300 MWe (315 MWe, as in an OPG filing, adds about 5%, proportionally)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649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(our 95th → 5th percentile)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5.8–3.0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630 → 702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 3.83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UNECE midpoint instead of ours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5.75 vs 4.2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stress (IPCC AR5 upper value)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110–12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2.08 Mt → 468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11.35 → 2.55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 exit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109 kt → 1.97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596 kt → 10.76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exit year (T1)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1.75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4.74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40–80 years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2.44 → 4.88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Mt → 366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4.33 → 3.66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trajectory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T1 → T0 (frozen)</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16.54 Mt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90.23 Mt</w:t>
            </w:r>
          </w:p>
        </w:tc>
      </w:tr>
    </w:tbl>
    <w:p>
      <w:pPr>
        <w:pStyle w:val="BodyText"/>
        <w:rPr/>
      </w:pPr>
      <w:r>
        <w:rPr/>
        <w:t xml:space="preserve">Reading: - </w:t>
      </w:r>
      <w:r>
        <w:rPr>
          <w:b/>
          <w:bCs/>
        </w:rPr>
        <w:t>Order-of-magnitude drivers.</w:t>
      </w:r>
      <w:r>
        <w:rPr/>
        <w:t xml:space="preserve"> The grid trajectory, the start year and the post-coal floor each move the result by an order of magnitude. Under T1 the SMR spends its whole life displacing the residual mix, so the floor is in effect the displaced intensity. - </w:t>
      </w:r>
      <w:r>
        <w:rPr>
          <w:b/>
          <w:bCs/>
        </w:rPr>
        <w:t>Minor drivers.</w:t>
      </w:r>
      <w:r>
        <w:rPr/>
        <w:t xml:space="preserve"> Capacity factor, net output and our life-cycle interval move it by a few per cent. - </w:t>
      </w:r>
      <w:r>
        <w:rPr>
          <w:b/>
          <w:bCs/>
        </w:rPr>
        <w:t>When the SMR’s own value matters.</w:t>
      </w:r>
      <w:r>
        <w:rPr/>
        <w:t xml:space="preserve"> Only in the 110 g/kWh stress case, or on a near-zero floor, where the result turns negative.</w:t>
      </w:r>
    </w:p>
    <w:p>
      <w:pPr>
        <w:pStyle w:val="Heading5"/>
        <w:rPr/>
      </w:pPr>
      <w:bookmarkStart w:id="212" w:name="b4.3-limitations"/>
      <w:r>
        <w:rPr/>
        <w:t>B4.3 Limitations</w:t>
      </w:r>
    </w:p>
    <w:p>
      <w:pPr>
        <w:pStyle w:val="Compact"/>
        <w:numPr>
          <w:ilvl w:val="0"/>
          <w:numId w:val="48"/>
        </w:numPr>
        <w:rPr/>
      </w:pPr>
      <w:r>
        <w:rPr>
          <w:b/>
          <w:bCs/>
        </w:rPr>
        <w:t>Boundary mismatch.</w:t>
      </w:r>
      <w:r>
        <w:rPr/>
        <w:t xml:space="preserve"> The grid factors (NGA scope 2, TAF, CER) count combustion at the power station only, while the SMR value is life cycle, so displacement is slightly understated. The UNECE coal row gives the boundary-consistent upper bound.</w:t>
      </w:r>
    </w:p>
    <w:p>
      <w:pPr>
        <w:pStyle w:val="Compact"/>
        <w:numPr>
          <w:ilvl w:val="0"/>
          <w:numId w:val="49"/>
        </w:numPr>
        <w:rPr/>
      </w:pPr>
      <w:r>
        <w:rPr>
          <w:b/>
          <w:bCs/>
        </w:rPr>
        <w:t>Average vs marginal.</w:t>
      </w:r>
      <w:r>
        <w:rPr/>
        <w:t xml:space="preserve"> A new baseload unit displaces what is on the margin when it runs. In Ontario that is mostly gas, so the marginal factor is the better short-run estimate. Over a 60-year life the margin decarbonises, which makes the flat-marginal case an upper bound.</w:t>
      </w:r>
    </w:p>
    <w:p>
      <w:pPr>
        <w:pStyle w:val="Compact"/>
        <w:numPr>
          <w:ilvl w:val="0"/>
          <w:numId w:val="50"/>
        </w:numPr>
        <w:rPr/>
      </w:pPr>
      <w:r>
        <w:rPr>
          <w:b/>
          <w:bCs/>
        </w:rPr>
        <w:t>Counterfactual.</w:t>
      </w:r>
      <w:r>
        <w:rPr/>
        <w:t xml:space="preserve"> In both grids the real alternative is other new supply, not today’s grid forever (B6).</w:t>
      </w:r>
    </w:p>
    <w:p>
      <w:pPr>
        <w:pStyle w:val="Compact"/>
        <w:numPr>
          <w:ilvl w:val="0"/>
          <w:numId w:val="51"/>
        </w:numPr>
        <w:rPr/>
      </w:pPr>
      <w:r>
        <w:rPr>
          <w:b/>
          <w:bCs/>
        </w:rPr>
        <w:t>Liddell</w:t>
      </w:r>
      <w:r>
        <w:rPr/>
        <w:t xml:space="preserve"> was approved to close by April 2023 (Australian Energy Regulator, 2021) and has since closed. An SMR on the site displaces the NEM mix, so Bayswater is an upper bound only.</w:t>
      </w:r>
    </w:p>
    <w:p>
      <w:pPr>
        <w:pStyle w:val="Compact"/>
        <w:numPr>
          <w:ilvl w:val="0"/>
          <w:numId w:val="52"/>
        </w:numPr>
        <w:rPr/>
      </w:pPr>
      <w:r>
        <w:rPr>
          <w:b/>
          <w:bCs/>
        </w:rPr>
        <w:t>Assumptions.</w:t>
      </w:r>
      <w:r>
        <w:rPr/>
        <w:t xml:space="preserve"> Net output, capacity factor, design life and start years are assumed; Table B19 and Table B17 test them.</w:t>
      </w:r>
    </w:p>
    <w:p>
      <w:pPr>
        <w:pStyle w:val="normal1"/>
        <w:rPr/>
      </w:pPr>
      <w:bookmarkStart w:id="213" w:name="X6942ef6bc025069590c0c205010015835f1b9ab"/>
      <w:bookmarkStart w:id="214" w:name="b4.3-limitations"/>
      <w:r>
        <w:rPr/>
        <mc:AlternateContent>
          <mc:Choice Requires="wps">
            <w:drawing>
              <wp:inline distT="0" distB="0" distL="0" distR="0">
                <wp:extent cx="57315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bookmarkEnd w:id="214"/>
    </w:p>
    <w:p>
      <w:pPr>
        <w:pStyle w:val="Heading4"/>
        <w:rPr/>
      </w:pPr>
      <w:bookmarkStart w:id="215" w:name="X66860b851f2e133f81978e30598e738689cf6de"/>
      <w:r>
        <w:rPr/>
        <w:t>B5. Value of schedule: the CO₂e and dollar cost of delay, and C1’s break-even</w:t>
      </w:r>
    </w:p>
    <w:p>
      <w:pPr>
        <w:pStyle w:val="FirstParagraph"/>
        <w:rPr/>
      </w:pPr>
      <w:r>
        <w:rPr>
          <w:b/>
          <w:bCs/>
        </w:rPr>
        <w:t>Result.</w:t>
      </w:r>
      <w:r>
        <w:rPr/>
        <w:t xml:space="preserve"> On Ontario’s average factor, C1’s per-unit saving (2,200 t; 1,100–3,300 at 20–60% eligible) is cancelled by </w:t>
      </w:r>
      <w:r>
        <w:rPr>
          <w:b/>
          <w:bCs/>
        </w:rPr>
        <w:t>11.6–18.5 days</w:t>
      </w:r>
      <w:r>
        <w:rPr/>
        <w:t xml:space="preserve"> of delay to that unit (gross–net). On the marginal factor it is cancelled by </w:t>
      </w:r>
      <w:r>
        <w:rPr>
          <w:b/>
          <w:bCs/>
        </w:rPr>
        <w:t>1.7–1.8 days</w:t>
      </w:r>
      <w:r>
        <w:rPr/>
        <w:t xml:space="preserve">. Even all of Units 2–4’s saving (6,600 t) is cancelled by 35–55 days (average) or 5.1–5.4 days (marginal) of delay to a single unit. In money, a one-month slip of Units 2–4 costs </w:t>
      </w:r>
      <w:r>
        <w:rPr>
          <w:b/>
          <w:bCs/>
        </w:rPr>
        <w:t>29–175 times</w:t>
      </w:r>
      <w:r>
        <w:rPr/>
        <w:t xml:space="preserve"> C1’s carbon value. The saving is 50,000 m³ of concrete per unit (BWRX-300 Ostrołęka sp. z o.o., 2023) × the eligible share × 0.110 t CO₂e/m³ (OPC 380 less LC³ 270 kg CO₂e/m³; Pillai et al., 2019). Script: </w:t>
      </w:r>
      <w:r>
        <w:rPr>
          <w:rStyle w:val="VerbatimChar"/>
        </w:rPr>
        <w:t>python3 -I 03_LCA_Calculations/scripts/schedule_value.py</w:t>
      </w:r>
      <w:r>
        <w:rPr/>
        <w:t xml:space="preserve">, with output in </w:t>
      </w:r>
      <w:r>
        <w:rPr>
          <w:rStyle w:val="VerbatimChar"/>
        </w:rPr>
        <w:t>results/schedule_value.md</w:t>
      </w:r>
      <w:r>
        <w:rPr/>
        <w:t xml:space="preserve">; </w:t>
      </w:r>
      <w:r>
        <w:rPr>
          <w:rStyle w:val="VerbatimChar"/>
        </w:rPr>
        <w:t>--c1-case old_1734</w:t>
      </w:r>
      <w:r>
        <w:rPr/>
        <w:t xml:space="preserve"> reproduces the cross-check. The carrying-cost and deferred-output inputs are read from </w:t>
      </w:r>
      <w:r>
        <w:rPr>
          <w:rStyle w:val="VerbatimChar"/>
        </w:rPr>
        <w:t>parameters_run5.yaml</w:t>
      </w:r>
      <w:r>
        <w:rPr/>
        <w:t>.</w:t>
      </w:r>
    </w:p>
    <w:p>
      <w:pPr>
        <w:pStyle w:val="Heading5"/>
        <w:rPr/>
      </w:pPr>
      <w:bookmarkStart w:id="216" w:name="b5.1-method"/>
      <w:r>
        <w:rPr/>
        <w:t>B5.1 Method</w:t>
      </w:r>
    </w:p>
    <w:p>
      <w:pPr>
        <w:pStyle w:val="Compact"/>
        <w:numPr>
          <w:ilvl w:val="0"/>
          <w:numId w:val="53"/>
        </w:numPr>
        <w:rPr/>
      </w:pPr>
      <w:r>
        <w:rPr/>
        <w:t>Output of one unit: monthly M = E / 12 = 197,100,000 kWh; daily D = E / 365 = 6,480,000 kWh.</w:t>
      </w:r>
    </w:p>
    <w:p>
      <w:pPr>
        <w:pStyle w:val="Compact"/>
        <w:numPr>
          <w:ilvl w:val="0"/>
          <w:numId w:val="54"/>
        </w:numPr>
        <w:rPr/>
      </w:pPr>
      <w:r>
        <w:rPr>
          <w:b/>
          <w:bCs/>
        </w:rPr>
        <w:t>Gross loss</w:t>
      </w:r>
      <w:r>
        <w:rPr/>
        <w:t xml:space="preserve"> per month of delay = M × (EF_grid(start) − EF_SMR) / 10⁶ t. This is the displacement that does not happen while the plant is late, and it matches carbon budgets to 2035 or 2050.</w:t>
      </w:r>
    </w:p>
    <w:p>
      <w:pPr>
        <w:pStyle w:val="Compact"/>
        <w:numPr>
          <w:ilvl w:val="0"/>
          <w:numId w:val="55"/>
        </w:numPr>
        <w:rPr/>
      </w:pPr>
      <w:r>
        <w:rPr>
          <w:b/>
          <w:bCs/>
        </w:rPr>
        <w:t>Net loss</w:t>
      </w:r>
      <w:r>
        <w:rPr/>
        <w:t xml:space="preserve"> per month = M × (EF_grid(start) − EF_grid(start + life)) / 10⁶ t. A late plant still runs its full life, so the lost month returns at the end of life, on a cleaner grid. On a flat grid this gives zero by construction, which is an artefact of assuming the grid never changes.</w:t>
      </w:r>
    </w:p>
    <w:p>
      <w:pPr>
        <w:pStyle w:val="Compact"/>
        <w:numPr>
          <w:ilvl w:val="0"/>
          <w:numId w:val="56"/>
        </w:numPr>
        <w:rPr/>
      </w:pPr>
      <w:r>
        <w:rPr>
          <w:b/>
          <w:bCs/>
        </w:rPr>
        <w:t>Break-even delay</w:t>
      </w:r>
      <w:r>
        <w:rPr/>
        <w:t xml:space="preserve"> for a saving S (t CO₂e) = S / (loss per day), on both bases.</w:t>
      </w:r>
    </w:p>
    <w:p>
      <w:pPr>
        <w:pStyle w:val="FirstParagraph"/>
        <w:rPr/>
      </w:pPr>
      <w:r>
        <w:rPr>
          <w:b/>
          <w:bCs/>
        </w:rPr>
        <w:t>Worked example (one of Units 2–4, start 2035, ON-avg-traj).</w:t>
      </w:r>
      <w:r>
        <w:rPr/>
        <w:t xml:space="preserve"> 1. Grid factor in 2035: EF(2035) = 73.8 − (73.8 − 15) × 11/16 = 33.4 g/kWh. 2. Gross loss: 6,480,000 × (33.4 − 4.2) / 10⁶ = </w:t>
      </w:r>
      <w:r>
        <w:rPr>
          <w:b/>
          <w:bCs/>
        </w:rPr>
        <w:t>189 t a day</w:t>
      </w:r>
      <w:r>
        <w:rPr/>
        <w:t xml:space="preserve">, so the break-even is 2,200 / 189 = </w:t>
      </w:r>
      <w:r>
        <w:rPr>
          <w:b/>
          <w:bCs/>
        </w:rPr>
        <w:t>11.6 days</w:t>
      </w:r>
      <w:r>
        <w:rPr/>
        <w:t xml:space="preserve">. 3. Net loss: 6,480,000 × (33.4 − 15) / 10⁶ = </w:t>
      </w:r>
      <w:r>
        <w:rPr>
          <w:b/>
          <w:bCs/>
        </w:rPr>
        <w:t>119 t a day</w:t>
      </w:r>
      <w:r>
        <w:rPr/>
        <w:t xml:space="preserve">, so the break-even is 2,200 / 119 = </w:t>
      </w:r>
      <w:r>
        <w:rPr>
          <w:b/>
          <w:bCs/>
        </w:rPr>
        <w:t>18.5 days</w:t>
      </w:r>
      <w:r>
        <w:rPr/>
        <w:t>.</w:t>
      </w:r>
    </w:p>
    <w:p>
      <w:pPr>
        <w:pStyle w:val="BodyText"/>
        <w:rPr/>
      </w:pPr>
      <w:r>
        <w:rPr>
          <w:b/>
          <w:bCs/>
        </w:rPr>
        <w:t>Marginal case.</w:t>
      </w:r>
      <w:r>
        <w:rPr/>
        <w:t xml:space="preserve"> EF(2035) = 343 − (343 − 15) × 11/26 = 204.2 g/kWh. The gross loss is 6,480,000 × 200.0 / 10⁶ = 1,296 t a day, so the break-even is 2,200 / 1,296 = </w:t>
      </w:r>
      <w:r>
        <w:rPr>
          <w:b/>
          <w:bCs/>
        </w:rPr>
        <w:t>1.7 days</w:t>
      </w:r>
      <w:r>
        <w:rPr/>
        <w:t>.</w:t>
      </w:r>
      <w:bookmarkEnd w:id="216"/>
    </w:p>
    <w:p>
      <w:pPr>
        <w:pStyle w:val="Heading5"/>
        <w:rPr/>
      </w:pPr>
      <w:bookmarkStart w:id="217" w:name="b5.2-co₂e-lost-per-month-of-delay"/>
      <w:r>
        <w:rPr/>
        <w:t>B5.2 CO₂e lost per month of delay</w:t>
      </w:r>
    </w:p>
    <w:p>
      <w:pPr>
        <w:pStyle w:val="FirstParagraph"/>
        <w:rPr/>
      </w:pPr>
      <w:r>
        <w:rPr>
          <w:i/>
          <w:iCs/>
        </w:rPr>
        <w:t>Table B20. CO₂e lost per month of delay, one unit.</w:t>
      </w:r>
      <w:r>
        <w:rPr/>
        <w:t xml:space="preserve"> </w:t>
      </w:r>
      <w:r>
        <w:rPr>
          <w:i/>
          <w:iCs/>
        </w:rPr>
        <w:t xml:space="preserve">Source: </w:t>
      </w:r>
      <w:r>
        <w:rPr>
          <w:rStyle w:val="VerbatimChar"/>
          <w:i/>
          <w:iCs/>
        </w:rPr>
        <w:t>results/schedule_value.md</w:t>
      </w:r>
      <w:r>
        <w:rPr>
          <w:i/>
          <w:iCs/>
        </w:rPr>
        <w:t xml:space="preserve"> section 2. “None” = flat grid, so the month is recovered at the end of life.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 start year</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start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end of life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t/month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t/month</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cancel 1 kt (gross / net)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7,243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51,859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49,730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3,622</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5.3 / 8.4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39,426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37,297</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 / 0.8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32,831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27,746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 / 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77,224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72,139</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 / 0.4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5,085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6.0 / none</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53,178</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48,092</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bl>
    <w:p>
      <w:pPr>
        <w:pStyle w:val="BodyText"/>
        <w:rPr/>
      </w:pPr>
      <w:r>
        <w:rPr/>
        <w:t>A one-month slip of all three of Units 2–4 loses: - 17,251 t gross / 10,865 t net (ON-avg-traj); - 118,278 / 111,892 t (ON-marginal-declining); - 200,332 / 0 t (ON-marginal-flat).</w:t>
      </w:r>
    </w:p>
    <w:p>
      <w:pPr>
        <w:pStyle w:val="BodyText"/>
        <w:rPr/>
      </w:pPr>
      <w:r>
        <w:rPr>
          <w:b/>
          <w:bCs/>
        </w:rPr>
        <w:t>Break-even sensitivity</w:t>
      </w:r>
      <w:r>
        <w:rPr/>
        <w:t xml:space="preserve"> (Units 2–4, ON-marginal-declining; central 1,226 t a day net, 0.8 days per kt): - capacity factor 0.80 or 0.95: 0.9 or 0.8 days per kt; - marginal factor 472 g/kWh (gas generation): 0.6 days per kt; - gas off the margin by 2040: 1.5 days per kt; by 2060: 0.7 days per kt (</w:t>
      </w:r>
      <w:r>
        <w:rPr>
          <w:rStyle w:val="VerbatimChar"/>
        </w:rPr>
        <w:t>results/schedule_value.md</w:t>
      </w:r>
      <w:r>
        <w:rPr/>
        <w:t xml:space="preserve"> section 5).</w:t>
      </w:r>
      <w:bookmarkEnd w:id="217"/>
    </w:p>
    <w:p>
      <w:pPr>
        <w:pStyle w:val="Heading5"/>
        <w:rPr/>
      </w:pPr>
      <w:bookmarkStart w:id="218" w:name="b5.3-break-even-delay-for-c1"/>
      <w:r>
        <w:rPr/>
        <w:t>B5.3 Break-even delay for C1</w:t>
      </w:r>
    </w:p>
    <w:p>
      <w:pPr>
        <w:pStyle w:val="FirstParagraph"/>
        <w:rPr/>
      </w:pPr>
      <w:r>
        <w:rPr>
          <w:i/>
          <w:iCs/>
        </w:rPr>
        <w:t>Table B21. Days of delay that cancel C1’s LC³ saving (Units 2–4, start 2035).</w:t>
      </w:r>
      <w:r>
        <w:rPr/>
        <w:t xml:space="preserve"> </w:t>
      </w:r>
      <w:r>
        <w:rPr>
          <w:i/>
          <w:iCs/>
        </w:rPr>
        <w:t xml:space="preserve">Source: </w:t>
      </w:r>
      <w:r>
        <w:rPr>
          <w:rStyle w:val="VerbatimChar"/>
          <w:i/>
          <w:iCs/>
        </w:rPr>
        <w:t>results/schedule_value.md</w:t>
      </w:r>
      <w:r>
        <w:rPr>
          <w:i/>
          <w:iCs/>
        </w:rPr>
        <w:t xml:space="preserve"> section 6; </w:t>
      </w:r>
      <w:r>
        <w:rPr>
          <w:rStyle w:val="VerbatimChar"/>
          <w:i/>
          <w:iCs/>
        </w:rPr>
        <w:t>results/c1_deck_case.md</w:t>
      </w:r>
      <w:r>
        <w:rPr>
          <w:i/>
          <w:iCs/>
        </w:rPr>
        <w:t>. Saving 2,200 t per unit and 6,600 t for Units 2–4 at 40% eligible (BWRX-300 Ostrołęka sp. z o.o., 2023; Pillai et al., 2019). Brackets give the 20% and 60% eligibility cases (1,100 and 3,300 t per unit), not a Monte Carlo interval.</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 (factor type)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t/day per 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t/day per unit</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gross days</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net days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Programme saving, one unit late: gross days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Net days</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 (average, declining to 2040)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119</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18.5 (9.2–27.7)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34.9 (17.5–52.4)</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55.4 (27.7–83.1)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(average, held at 2024)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4.9 (2.4–7.3)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 (7.3–22.0)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 (gas leaves the margin by 2050)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1,226</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 (0.9–2.7)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(2.5–7.6)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5.4 (2.7–8.1)</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(held at 2024)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2,195</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 (0.5–1.5)</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(1.5–4.5)</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bl>
    <w:p>
      <w:pPr>
        <w:pStyle w:val="BodyText"/>
        <w:rPr/>
      </w:pPr>
      <w:r>
        <w:rPr/>
        <w:t xml:space="preserve">The two cases: - </w:t>
      </w:r>
      <w:r>
        <w:rPr>
          <w:b/>
          <w:bCs/>
        </w:rPr>
        <w:t>(a)</w:t>
      </w:r>
      <w:r>
        <w:rPr/>
        <w:t xml:space="preserve"> compares one unit’s saving with a delay to that unit. All three units’ saving against a three-unit slip gives the same answer, because both scale by 3. - </w:t>
      </w:r>
      <w:r>
        <w:rPr>
          <w:b/>
          <w:bCs/>
        </w:rPr>
        <w:t>(b)</w:t>
      </w:r>
      <w:r>
        <w:rPr/>
        <w:t xml:space="preserve"> compares all of Units 2–4’s saving with a delay to only one unit, for example when the first LC³ pour holds one unit’s critical path.</w:t>
      </w:r>
    </w:p>
    <w:p>
      <w:pPr>
        <w:pStyle w:val="BodyText"/>
        <w:rPr/>
      </w:pPr>
      <w:r>
        <w:rPr>
          <w:b/>
          <w:bCs/>
        </w:rPr>
        <w:t>Cross-check (earlier geometric model, 20,700 m³ per unit).</w:t>
      </w:r>
      <w:r>
        <w:rPr/>
        <w:t xml:space="preserve"> Its saving of 1,734 t per unit (5,201 t for Units 2–4; Monte Carlo 90% interval 1,387–2,153 t) gives break-evens of 9.2–14.6 days on the average factor and 1.3–1.4 days on the marginal factor. The deck case lengthens them by about 27% (2,200 / 1,734).</w:t>
      </w:r>
      <w:bookmarkEnd w:id="218"/>
    </w:p>
    <w:p>
      <w:pPr>
        <w:pStyle w:val="Heading5"/>
        <w:rPr/>
      </w:pPr>
      <w:bookmarkStart w:id="219" w:name="Xaea02f89b8298bc8af300b41fdf9ad8acb92793"/>
      <w:r>
        <w:rPr/>
        <w:t>B5.4 C1’s carbon value against one month’s delay</w:t>
      </w:r>
    </w:p>
    <w:p>
      <w:pPr>
        <w:pStyle w:val="FirstParagraph"/>
        <w:rPr/>
      </w:pPr>
      <w:r>
        <w:rPr>
          <w:i/>
          <w:iCs/>
        </w:rPr>
        <w:t>Table B22. C1’s carbon value (Units 2–4, 6,600 t) against the value of the CO₂e lost in a one-month slip of all three units.</w:t>
      </w:r>
      <w:r>
        <w:rPr/>
        <w:t xml:space="preserve"> </w:t>
      </w:r>
      <w:r>
        <w:rPr>
          <w:i/>
          <w:iCs/>
        </w:rPr>
        <w:t xml:space="preserve">Source: </w:t>
      </w:r>
      <w:r>
        <w:rPr>
          <w:rStyle w:val="VerbatimChar"/>
          <w:i/>
          <w:iCs/>
        </w:rPr>
        <w:t>results/schedule_value.md</w:t>
      </w:r>
      <w:r>
        <w:rPr>
          <w:i/>
          <w:iCs/>
        </w:rPr>
        <w:t xml:space="preserve"> section 7. Carbon prices: federal headline industrial trajectory (Environment and Climate Change Canada, 2026); the superseded 2021 path is shown for comparison only. Brackets: 20–60% eligibility.</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Carbon price (C$/t)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carbon value, Units 2–4 (C$ m)</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in a one-month slip, average factor (C$ m, gross / net)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Same, marginal factor (C$ m, gross / net)</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95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2026,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0.63 (0.31–0.94)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 1.03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11.24 / 10.63</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2026, superseded path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0.73 (0.36–1.09)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1.90 / 1.20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13.01 / 12.31</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2030,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0.76 (0.38–1.14)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1.98 / 1.25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13.60 / 12.87</w:t>
            </w:r>
          </w:p>
        </w:tc>
      </w:tr>
      <w:tr>
        <w:trPr/>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superseded path</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 (0.56–1.68)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2.93 / 1.85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20.11 / 19.02</w:t>
            </w:r>
          </w:p>
        </w:tc>
      </w:tr>
    </w:tbl>
    <w:p>
      <w:pPr>
        <w:pStyle w:val="BodyText"/>
        <w:rPr/>
      </w:pPr>
      <w:r>
        <w:rPr/>
        <w:t>Working: carbon value = saving × price. For example, 6,600 t × C$95/t = C$0.63 m, and 6,600 × 115 = C$0.76 m. C1’s concrete would be placed in about 2029–2033, so the 2030 price is the relevant one; 2026 is today’s price.</w:t>
      </w:r>
    </w:p>
    <w:p>
      <w:pPr>
        <w:pStyle w:val="BodyText"/>
        <w:rPr/>
      </w:pPr>
      <w:r>
        <w:rPr>
          <w:b/>
          <w:bCs/>
        </w:rPr>
        <w:t>Direct cost of a one-month slip of Units 2–4</w:t>
      </w:r>
      <w:r>
        <w:rPr/>
        <w:t xml:space="preserve"> (inputs from </w:t>
      </w:r>
      <w:r>
        <w:rPr>
          <w:rStyle w:val="VerbatimChar"/>
        </w:rPr>
        <w:t>parameters_run5.yaml</w:t>
      </w:r>
      <w:r>
        <w:rPr/>
        <w:t xml:space="preserve">; assumptions where stated): - </w:t>
      </w:r>
      <w:r>
        <w:rPr>
          <w:b/>
          <w:bCs/>
        </w:rPr>
        <w:t>Deferred output:</w:t>
      </w:r>
      <w:r>
        <w:rPr/>
        <w:t xml:space="preserve"> 3 × 300 MW × 8,760 h × 0.90 / 12 = 591,300 MWh × C$149/MWh (OPG’s reported LCOE; Ontario Power Generation, 2026b) = </w:t>
      </w:r>
      <w:r>
        <w:rPr>
          <w:b/>
          <w:bCs/>
        </w:rPr>
        <w:t>C$88 m</w:t>
      </w:r>
      <w:r>
        <w:rPr/>
        <w:t xml:space="preserve">. The output is deferred, not lost, so this is a cash-flow cost to OPG and ratepayers, not a social loss of that size. - </w:t>
      </w:r>
      <w:r>
        <w:rPr>
          <w:b/>
          <w:bCs/>
        </w:rPr>
        <w:t>Carrying cost:</w:t>
      </w:r>
      <w:r>
        <w:rPr/>
        <w:t xml:space="preserve"> C$13.2 bn (Units 2–4: C$20.9 bn less C$7.7 bn for Unit 1 and common infrastructure) × r / 12. At r = 3, 5, 7 and 10%, that is </w:t>
      </w:r>
      <w:r>
        <w:rPr>
          <w:b/>
          <w:bCs/>
        </w:rPr>
        <w:t>C$33, 55, 77 and 110 m</w:t>
      </w:r>
      <w:r>
        <w:rPr/>
        <w:t>. It is an upper bound, because it assumes all the capital is already spent.</w:t>
      </w:r>
    </w:p>
    <w:p>
      <w:pPr>
        <w:pStyle w:val="BodyText"/>
        <w:rPr/>
      </w:pPr>
      <w:r>
        <w:rPr>
          <w:b/>
          <w:bCs/>
        </w:rPr>
        <w:t>How the 29–175× in Section 3.3 is derived (current carbon-price path):</w:t>
      </w:r>
      <w:r>
        <w:rPr/>
        <w:t xml:space="preserve"> - </w:t>
      </w:r>
      <w:r>
        <w:rPr>
          <w:b/>
          <w:bCs/>
        </w:rPr>
        <w:t>Low end:</w:t>
      </w:r>
      <w:r>
        <w:rPr/>
        <w:t xml:space="preserve"> the lowest monthly cost (C$33.0 m) over the largest carbon value on the current path (9,900 t × C$115/t = C$1.139 m) = 29.0×. - </w:t>
      </w:r>
      <w:r>
        <w:rPr>
          <w:b/>
          <w:bCs/>
        </w:rPr>
        <w:t>High end:</w:t>
      </w:r>
      <w:r>
        <w:rPr/>
        <w:t xml:space="preserve"> the highest cost (C$110.0 m) over the central value at C$95/t (C$0.627 m) = 175.4×. - </w:t>
      </w:r>
      <w:r>
        <w:rPr>
          <w:b/>
          <w:bCs/>
        </w:rPr>
        <w:t>Including the superseded C$170/t path,</w:t>
      </w:r>
      <w:r>
        <w:rPr/>
        <w:t xml:space="preserve"> the low end is C$33 m / 1.68 = 20×. The earlier 1,734 t model gave 30–223× (44–223× on the current path). - </w:t>
      </w:r>
      <w:r>
        <w:rPr>
          <w:b/>
          <w:bCs/>
        </w:rPr>
        <w:t>In carbon alone,</w:t>
      </w:r>
      <w:r>
        <w:rPr/>
        <w:t xml:space="preserve"> the slip loses 10,865–118,278 t against C1’s 6,600 t, which is 1.6–17.9 times the saving (earlier model: 2.1–22.7×).</w:t>
      </w:r>
    </w:p>
    <w:p>
      <w:pPr>
        <w:pStyle w:val="BodyText"/>
        <w:rPr/>
      </w:pPr>
      <w:r>
        <w:rPr/>
        <w:t>One day of delay costs C$1.8–2.9 m (</w:t>
      </w:r>
      <w:r>
        <w:rPr>
          <w:rStyle w:val="VerbatimChar"/>
        </w:rPr>
        <w:t>results/initiative_cost.md</w:t>
      </w:r>
      <w:r>
        <w:rPr/>
        <w:t xml:space="preserve"> section 5), against C1’s total carbon value of C$0.63–0.76 m (C$1.14 m at 60% eligibility and C$115/t).</w:t>
      </w:r>
      <w:bookmarkEnd w:id="219"/>
    </w:p>
    <w:p>
      <w:pPr>
        <w:pStyle w:val="Heading5"/>
        <w:rPr/>
      </w:pPr>
      <w:r>
        <w:rPr/>
        <w:t>B5.5 Year-scale delays</w:t>
      </w:r>
    </w:p>
    <w:p>
      <w:pPr>
        <w:pStyle w:val="FirstParagraph"/>
        <w:rPr/>
      </w:pPr>
      <w:r>
        <w:rPr>
          <w:i/>
          <w:iCs/>
        </w:rPr>
        <w:t>Table B23. CO₂e avoided to 2050 lost per year of delay, one unit.</w:t>
      </w:r>
      <w:r>
        <w:rPr/>
        <w:t xml:space="preserve"> </w:t>
      </w:r>
      <w:r>
        <w:rPr>
          <w:i/>
          <w:iCs/>
        </w:rPr>
        <w:t xml:space="preserve">Source: </w:t>
      </w:r>
      <w:r>
        <w:rPr>
          <w:rStyle w:val="VerbatimChar"/>
          <w:i/>
          <w:iCs/>
        </w:rPr>
        <w:t>results/schedule_value.md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 per year of delay</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2.61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 Mt</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 Mt</w:t>
            </w:r>
            <w:bookmarkStart w:id="220" w:name="b5.5-year-scale-delays"/>
            <w:bookmarkEnd w:id="220"/>
          </w:p>
        </w:tc>
      </w:tr>
    </w:tbl>
    <w:p>
      <w:pPr>
        <w:pStyle w:val="Heading5"/>
        <w:rPr/>
      </w:pPr>
      <w:r>
        <w:rPr/>
        <w:t>B5.6 Limitations</w:t>
      </w:r>
    </w:p>
    <w:p>
      <w:pPr>
        <w:pStyle w:val="Compact"/>
        <w:numPr>
          <w:ilvl w:val="0"/>
          <w:numId w:val="57"/>
        </w:numPr>
        <w:rPr/>
      </w:pPr>
      <w:r>
        <w:rPr/>
        <w:t>Average factors understate what a late baseload unit would have displaced in Ontario, where gas is on the margin.</w:t>
      </w:r>
    </w:p>
    <w:p>
      <w:pPr>
        <w:pStyle w:val="Compact"/>
        <w:numPr>
          <w:ilvl w:val="0"/>
          <w:numId w:val="58"/>
        </w:numPr>
        <w:rPr/>
      </w:pPr>
      <w:r>
        <w:rPr/>
        <w:t>The net basis assumes the plant’s life is fixed in years, not extended.</w:t>
      </w:r>
    </w:p>
    <w:p>
      <w:pPr>
        <w:pStyle w:val="Compact"/>
        <w:numPr>
          <w:ilvl w:val="0"/>
          <w:numId w:val="59"/>
        </w:numPr>
        <w:rPr/>
      </w:pPr>
      <w:r>
        <w:rPr/>
        <w:t>The carbon value is realised only if someone prices it. Construction-material emissions appear to fall outside Ontario’s Emissions Performance Standards (our inference).</w:t>
      </w:r>
    </w:p>
    <w:p>
      <w:pPr>
        <w:pStyle w:val="Compact"/>
        <w:numPr>
          <w:ilvl w:val="0"/>
          <w:numId w:val="60"/>
        </w:numPr>
        <w:rPr/>
      </w:pPr>
      <w:r>
        <w:rPr/>
        <w:t>The carrying cost is an upper bound for an early slip.</w:t>
      </w:r>
    </w:p>
    <w:p>
      <w:pPr>
        <w:pStyle w:val="Compact"/>
        <w:numPr>
          <w:ilvl w:val="0"/>
          <w:numId w:val="61"/>
        </w:numPr>
        <w:rPr/>
      </w:pPr>
      <w:r>
        <w:rPr/>
        <w:t>The eligible share (20–60%) is an assumption; the saving per m³ (0.110 t) is fixed, so volume and saving move together.</w:t>
      </w:r>
    </w:p>
    <w:p>
      <w:pPr>
        <w:pStyle w:val="normal1"/>
        <w:rPr/>
      </w:pPr>
      <w:bookmarkStart w:id="221" w:name="X66860b851f2e133f81978e30598e738689cf6de"/>
      <w:r>
        <w:rPr/>
        <mc:AlternateContent>
          <mc:Choice Requires="wps">
            <w:drawing>
              <wp:inline distT="0" distB="0" distL="0" distR="0">
                <wp:extent cx="57315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21"/>
    </w:p>
    <w:p>
      <w:pPr>
        <w:pStyle w:val="Heading4"/>
        <w:rPr/>
      </w:pPr>
      <w:bookmarkStart w:id="222" w:name="Xe9bf8aa20110d892414618c9830b1120addc14d"/>
      <w:r>
        <w:rPr/>
        <w:t>B6. Same money: Darlington’s budget spent on firmed renewables</w:t>
      </w:r>
    </w:p>
    <w:p>
      <w:pPr>
        <w:pStyle w:val="FirstParagraph"/>
        <w:rPr/>
      </w:pPr>
      <w:r>
        <w:rPr>
          <w:b/>
          <w:bCs/>
        </w:rPr>
        <w:t>Result.</w:t>
      </w:r>
      <w:r>
        <w:rPr/>
        <w:t xml:space="preserve"> On GenCost 2023-24’s 2030 costs, the same annual spend as one SMR unit (A$0.72 bn a year) buys </w:t>
      </w:r>
      <w:r>
        <w:rPr>
          <w:b/>
          <w:bCs/>
        </w:rPr>
        <w:t>2.9×</w:t>
      </w:r>
      <w:r>
        <w:rPr/>
        <w:t xml:space="preserve"> the energy from firmed renewables (6.8 TWh a year against 2.37). For a Liddell SMR from 2040 on the slow trajectory, those renewables avoid </w:t>
      </w:r>
      <w:r>
        <w:rPr>
          <w:b/>
          <w:bCs/>
        </w:rPr>
        <w:t>10.9×</w:t>
      </w:r>
      <w:r>
        <w:rPr/>
        <w:t xml:space="preserve"> more CO₂e to 2050 (5.7× on the GenCost 2030 reading alone, with renewables at A$153). Across all Liddell cases tested the ratio is 4.9–26.0× (4.9× is the lowest, with the A$198 SMR lead and A$153 renewables), so renewables avoid more CO₂e by 2050 in every Liddell case tested. </w:t>
      </w:r>
      <w:r>
        <w:rPr>
          <w:b/>
          <w:bCs/>
        </w:rPr>
        <w:t>On Ontario’s average grid the SMR wins, on two assumptions</w:t>
      </w:r>
      <w:r>
        <w:rPr/>
        <w:t xml:space="preserve"> (the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 </w:t>
      </w:r>
      <w:r>
        <w:rPr>
          <w:rStyle w:val="VerbatimChar"/>
        </w:rPr>
        <w:t>python3 -I 03_LCA_Calculations/scripts/same_money.py</w:t>
      </w:r>
      <w:r>
        <w:rPr/>
        <w:t xml:space="preserve">, with output in </w:t>
      </w:r>
      <w:r>
        <w:rPr>
          <w:rStyle w:val="VerbatimChar"/>
        </w:rPr>
        <w:t>results/same_money.md</w:t>
      </w:r>
      <w:r>
        <w:rPr/>
        <w:t>.</w:t>
      </w:r>
    </w:p>
    <w:p>
      <w:pPr>
        <w:pStyle w:val="BodyText"/>
        <w:rPr/>
      </w:pPr>
      <w:r>
        <w:rPr>
          <w:b/>
          <w:bCs/>
        </w:rPr>
        <w:t>Basis of the tables.</w:t>
      </w:r>
      <w:r>
        <w:rPr/>
        <w:t xml:space="preserve"> The script runs on the 2030 reading: SMR A$306/MWh (range 230–382) and firmed renewables A$107/MWh (89–125), from a report of GenCost 2023-24 (Graham, Hayward and Foster, 2024, as reported) that gives A$387–641 as the SMR’s </w:t>
      </w:r>
      <w:r>
        <w:rPr>
          <w:b/>
          <w:bCs/>
        </w:rPr>
        <w:t>2023</w:t>
      </w:r>
      <w:r>
        <w:rPr/>
        <w:t xml:space="preserve"> value and A$230–382 as its </w:t>
      </w:r>
      <w:r>
        <w:rPr>
          <w:b/>
          <w:bCs/>
        </w:rPr>
        <w:t>2030</w:t>
      </w:r>
      <w:r>
        <w:rPr/>
        <w:t xml:space="preserve"> value. The A$514 (387–641) / A$102 reading is kept as the alternative, in the sensitivity rows of Table B28 only. If the GenCost table reads otherwise, change </w:t>
      </w:r>
      <w:r>
        <w:rPr>
          <w:rStyle w:val="VerbatimChar"/>
        </w:rPr>
        <w:t>smr_lcoe_aud</w:t>
      </w:r>
      <w:r>
        <w:rPr/>
        <w:t xml:space="preserve"> and </w:t>
      </w:r>
      <w:r>
        <w:rPr>
          <w:rStyle w:val="VerbatimChar"/>
        </w:rPr>
        <w:t>vre_firmed_lcoe_aud</w:t>
      </w:r>
      <w:r>
        <w:rPr/>
        <w:t xml:space="preserve"> in </w:t>
      </w:r>
      <w:r>
        <w:rPr>
          <w:rStyle w:val="VerbatimChar"/>
        </w:rPr>
        <w:t>parameters_run1.yaml</w:t>
      </w:r>
      <w:r>
        <w:rPr/>
        <w:t xml:space="preserve"> and re-run; every table here regenerates.</w:t>
      </w:r>
    </w:p>
    <w:p>
      <w:pPr>
        <w:pStyle w:val="Heading5"/>
        <w:rPr/>
      </w:pPr>
      <w:bookmarkStart w:id="223" w:name="b6.1-inputs-and-method"/>
      <w:r>
        <w:rPr/>
        <w:t>B6.1 Inputs and method</w:t>
      </w:r>
    </w:p>
    <w:p>
      <w:pPr>
        <w:pStyle w:val="FirstParagraph"/>
        <w:rPr/>
      </w:pPr>
      <w:r>
        <w:rPr>
          <w:i/>
          <w:iCs/>
        </w:rPr>
        <w:t>Table B24. Cost inputs and the two GenCost readings.</w:t>
      </w:r>
      <w:r>
        <w:rPr/>
        <w:t xml:space="preserve"> </w:t>
      </w:r>
      <w:r>
        <w:rPr>
          <w:i/>
          <w:iCs/>
        </w:rPr>
        <w:t xml:space="preserve">Source: </w:t>
      </w:r>
      <w:r>
        <w:rPr>
          <w:rStyle w:val="VerbatimChar"/>
          <w:i/>
          <w:iCs/>
        </w:rPr>
        <w:t>parameters_run1.yaml</w:t>
      </w:r>
      <w:r>
        <w:rPr>
          <w:i/>
          <w:iCs/>
        </w:rPr>
        <w:t xml:space="preserve">; </w:t>
      </w:r>
      <w:r>
        <w:rPr>
          <w:rStyle w:val="VerbatimChar"/>
          <w:i/>
          <w:iCs/>
        </w:rPr>
        <w:t>results/lcoe.md</w:t>
      </w:r>
      <w:r>
        <w:rPr>
          <w:i/>
          <w:iCs/>
        </w:rPr>
        <w:t xml:space="preserve"> section 5; references as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(used in Section 3.3)</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Alternative reading (sensitivity only)</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A$306/MWh (230–382), 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A$514 (387–641), the 2023 value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A$107/MWh (89–125), solar and wind with integration costs, 2030; 153 = high case, assumption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(sensitivity)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A$198/MWh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 and Macfarlane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budget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C$20.9 bn for four units; Unit 1 plus common infrastructure C$7.7 bn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Exchange rate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A$1.119 per C$1 (1.10–1.13)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Reserve Bank of Australia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Discount rate; annuity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real (3–10%); 30 years (30–60)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year of renewables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2028 (2027–2030)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(8–83)</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(range: UNECE PV, United Nations Economic Commission for Europe, 2021)</w:t>
            </w:r>
          </w:p>
        </w:tc>
      </w:tr>
    </w:tbl>
    <w:p>
      <w:pPr>
        <w:pStyle w:val="BodyText"/>
        <w:rPr/>
      </w:pPr>
      <w:r>
        <w:rPr>
          <w:b/>
          <w:bCs/>
        </w:rPr>
        <w:t>Method A: what the Darlington capital would buy.</w:t>
      </w:r>
      <w:r>
        <w:rPr/>
        <w:t xml:space="preserve"> 1. Capital recovery factor: CRF(r, n) = r(1 + r)ⁿ / ((1 + r)ⁿ − 1). CRF(7%, 30) = 0.07 × 7.612 / 6.612 = 0.0806. 2. Annual capital charge = budget (A$) × CRF. 3. Capital-only LCOE = charge / annual output. 4. Firmed renewables bought with that charge = charge / renewables LCOE.</w:t>
      </w:r>
    </w:p>
    <w:p>
      <w:pPr>
        <w:pStyle w:val="BodyText"/>
        <w:rPr/>
      </w:pPr>
      <w:r>
        <w:rPr/>
        <w:t xml:space="preserve">Worked example (one unit, simple share): 1. Budget: C$5.225 bn × 1.119 = A$5.85 bn. 2. Annual charge: 5.85 bn × 0.0806 = A$471 m a year. 3. Capital-only LCOE: 471 m / 2,365,200 MWh = </w:t>
      </w:r>
      <w:r>
        <w:rPr>
          <w:b/>
          <w:bCs/>
        </w:rPr>
        <w:t>A$199/MWh</w:t>
      </w:r>
      <w:r>
        <w:rPr/>
        <w:t xml:space="preserve">. 4. Renewables bought: 471 m / A$107 = 4.40 TWh, which is </w:t>
      </w:r>
      <w:r>
        <w:rPr>
          <w:b/>
          <w:bCs/>
        </w:rPr>
        <w:t>1.9×</w:t>
      </w:r>
      <w:r>
        <w:rPr/>
        <w:t xml:space="preserve"> the SMR’s 2.37 TWh.</w:t>
      </w:r>
    </w:p>
    <w:p>
      <w:pPr>
        <w:pStyle w:val="BodyText"/>
        <w:rPr/>
      </w:pPr>
      <w:r>
        <w:rPr/>
        <w:t>The result is a lower bound on the renewables’ advantage, because it ignores the SMR’s operating and fuel costs.</w:t>
      </w:r>
    </w:p>
    <w:p>
      <w:pPr>
        <w:pStyle w:val="BodyText"/>
        <w:rPr/>
      </w:pPr>
      <w:r>
        <w:rPr>
          <w:b/>
          <w:bCs/>
        </w:rPr>
        <w:t>Method B: LCOE ratio and CO₂e per dollar.</w:t>
      </w:r>
      <w:r>
        <w:rPr/>
        <w:t xml:space="preserve"> 1. Energy ratio = SMR LCOE / renewables LCOE: 306 / 107 = </w:t>
      </w:r>
      <w:r>
        <w:rPr>
          <w:b/>
          <w:bCs/>
        </w:rPr>
        <w:t>2.9×</w:t>
      </w:r>
      <w:r>
        <w:rPr/>
        <w:t>. 2. CO₂e per A$1 m = (10⁶ / LCOE) MWh × (EF_grid − EF_technology) kg/MWh / 1,000. Example (SMR, NSW 640 g/kWh, A$306): 3,268 MWh × 635.8 / 1,000 = 2,078 t. 3. Cumulative comparison: the annual spend = SMR output × SMR LCOE, and the renewables bought with it = spend / renewables LCOE, from 2028. Each technology’s avoided CO₂e is summed on the same trajectory (B4.1), net of its own life-cycle intensity (4.2 or 30 g/kWh).</w:t>
      </w:r>
      <w:bookmarkEnd w:id="223"/>
    </w:p>
    <w:p>
      <w:pPr>
        <w:pStyle w:val="Heading5"/>
        <w:rPr/>
      </w:pPr>
      <w:r>
        <w:rPr/>
        <w:t>B6.2 Results</w:t>
      </w:r>
    </w:p>
    <w:p>
      <w:pPr>
        <w:pStyle w:val="FirstParagraph"/>
        <w:rPr/>
      </w:pPr>
      <w:r>
        <w:rPr>
          <w:i/>
          <w:iCs/>
        </w:rPr>
        <w:t>Table B25. Method A: what Darlington’s capital would buy (7%, 30-year annuity).</w:t>
      </w:r>
      <w:r>
        <w:rPr/>
        <w:t xml:space="preserve"> </w:t>
      </w:r>
      <w:r>
        <w:rPr>
          <w:i/>
          <w:iCs/>
        </w:rPr>
        <w:t xml:space="preserve">Source: </w:t>
      </w:r>
      <w:r>
        <w:rPr>
          <w:rStyle w:val="VerbatimChar"/>
          <w:i/>
          <w:iCs/>
        </w:rPr>
        <w:t>results/same_money.md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Budget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Annual capital charge (A$ m)</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capital-only LCOE (A$/MWh)</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output (TWh a year)</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 bought (TWh a year)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energy</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Four units, C$20.9 bn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1,885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unit, simple share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plus common infrastructure, C$7.7 bn</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694</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r>
    </w:tbl>
    <w:p>
      <w:pPr>
        <w:pStyle w:val="BodyText"/>
        <w:rPr/>
      </w:pPr>
      <w:r>
        <w:rPr/>
        <w:t>Capital-only LCOE for one unit across discount rates (30-year / 60-year annuity): 3%, A$126 / 89; 7%, A$199 / 176; 10%, A$262 / 248 per MWh (</w:t>
      </w:r>
      <w:r>
        <w:rPr>
          <w:rStyle w:val="VerbatimChar"/>
        </w:rPr>
        <w:t>results/same_money.md</w:t>
      </w:r>
      <w:r>
        <w:rPr/>
        <w:t xml:space="preserve"> section 2).</w:t>
      </w:r>
    </w:p>
    <w:p>
      <w:pPr>
        <w:pStyle w:val="BodyText"/>
        <w:rPr/>
      </w:pPr>
      <w:r>
        <w:rPr>
          <w:i/>
          <w:iCs/>
        </w:rPr>
        <w:t>Table B26. Method B (SMR A$306, renewables A$107 per MWh): CO₂e avoided per dollar, Liddell/NEM.</w:t>
      </w:r>
      <w:r>
        <w:rPr/>
        <w:t xml:space="preserve"> </w:t>
      </w:r>
      <w:r>
        <w:rPr>
          <w:i/>
          <w:iCs/>
        </w:rPr>
        <w:t xml:space="preserve">Source: </w:t>
      </w:r>
      <w:r>
        <w:rPr>
          <w:rStyle w:val="VerbatimChar"/>
          <w:i/>
          <w:iCs/>
        </w:rPr>
        <w:t>results/same_money.md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Displaced grid intensity (g/kWh)</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 CO₂e per A$1 m</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 CO₂e per A$1 m</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A$/t (gross)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A$/t (gross)</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2025 average</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175</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in 2040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Post-coal mix + 50 (illustrative)</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4,037</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r>
    </w:tbl>
    <w:p>
      <w:pPr>
        <w:pStyle w:val="BodyText"/>
        <w:rPr/>
      </w:pPr>
      <w:r>
        <w:rPr>
          <w:i/>
          <w:iCs/>
        </w:rPr>
        <w:t>Table B27. Cumulative CO₂e avoided for the same annual spend as one SMR unit (A$0.72 bn a year buys 6.8 TWh a year of firmed renewables from 2028, against the SMR’s 2.37 TWh).</w:t>
      </w:r>
      <w:r>
        <w:rPr/>
        <w:t xml:space="preserve"> </w:t>
      </w:r>
      <w:r>
        <w:rPr>
          <w:i/>
          <w:iCs/>
        </w:rPr>
        <w:t xml:space="preserve">Source: </w:t>
      </w:r>
      <w:r>
        <w:rPr>
          <w:rStyle w:val="VerbatimChar"/>
          <w:i/>
          <w:iCs/>
        </w:rPr>
        <w:t>results/same_money.md</w:t>
      </w:r>
      <w:r>
        <w:rPr>
          <w:i/>
          <w:iCs/>
        </w:rPr>
        <w:t xml:space="preserve"> section 4. The alternative reading (A$514 / A$102; A$1.22 bn buys 11.9 TWh) gives Liddell ratios of 10.1×, 45.8×, 19.1× and 9.3× for the first four rows (</w:t>
      </w:r>
      <w:r>
        <w:rPr>
          <w:rStyle w:val="VerbatimChar"/>
          <w:i/>
          <w:iCs/>
        </w:rPr>
        <w:t>same_money.md</w:t>
      </w:r>
      <w:r>
        <w:rPr>
          <w:i/>
          <w:iCs/>
        </w:rPr>
        <w:t xml:space="preserve"> section 4; the NEM-T2 slow rows are in Table B28).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start</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2050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2050</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to 2050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94.90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17.46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0.88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0.39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0.4×</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11.82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bl>
    <w:p>
      <w:pPr>
        <w:pStyle w:val="BodyText"/>
        <w:rPr/>
      </w:pPr>
      <w:r>
        <w:rPr/>
        <w:t>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rPr/>
      </w:pPr>
      <w:r>
        <w:rPr>
          <w:i/>
          <w:iCs/>
        </w:rPr>
        <w:t>Table B28. Sensitivity of the same-money result (Liddell, NEM-T2 slow, SMR from 2040). Figure F7 data.</w:t>
      </w:r>
      <w:r>
        <w:rPr/>
        <w:t xml:space="preserve"> </w:t>
      </w:r>
      <w:r>
        <w:rPr>
          <w:i/>
          <w:iCs/>
        </w:rPr>
        <w:t xml:space="preserve">Source: </w:t>
      </w:r>
      <w:r>
        <w:rPr>
          <w:rStyle w:val="VerbatimChar"/>
          <w:i/>
          <w:iCs/>
        </w:rPr>
        <w:t>results/same_money.md</w:t>
      </w:r>
      <w:r>
        <w:rPr>
          <w:i/>
          <w:iCs/>
        </w:rPr>
        <w:t xml:space="preserve"> section 5. Bold row is the central case Section 3.3 uses; the last six rows are the alternative reading (SMR A$514).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 (SMR / renewables LCOE, A$/MWh)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Energy ratio</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CO₂e to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Central: GenCost 2023-24, 2030 midpoints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low (230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high (382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low (306 / 89)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high (306 / 125)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high, assumption (306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on the 2030 reading (230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(198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Lowest SMR lead, worst case tested (198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starts 2035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start 2030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 83 g/kWh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5.8 g/kWh, our 95th percentile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central (514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low (387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high (641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low (514 / 91)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high, assumption (514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starts 2035</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bookmarkStart w:id="224" w:name="b6.2-results"/>
            <w:bookmarkEnd w:id="224"/>
          </w:p>
        </w:tc>
      </w:tr>
    </w:tbl>
    <w:p>
      <w:pPr>
        <w:pStyle w:val="Heading5"/>
        <w:rPr/>
      </w:pPr>
      <w:r>
        <w:rPr/>
        <w:t>B6.3 Capital cost alone, and the check against our own LCOE and OPG’s figure</w:t>
      </w:r>
    </w:p>
    <w:p>
      <w:pPr>
        <w:pStyle w:val="FirstParagraph"/>
        <w:rPr/>
      </w:pPr>
      <w:r>
        <w:rPr>
          <w:b/>
          <w:bCs/>
        </w:rPr>
        <w:t>Capital cost alone (moved from Section 3.3.3).</w:t>
      </w:r>
      <w:r>
        <w:rPr/>
        <w:t xml:space="preserve"> 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rPr/>
      </w:pPr>
      <w:r>
        <w:rPr/>
        <w:t>Our Darlington LCOE (</w:t>
      </w:r>
      <w:r>
        <w:rPr>
          <w:rStyle w:val="VerbatimChar"/>
        </w:rPr>
        <w:t>results/lcoe.md</w:t>
      </w:r>
      <w:r>
        <w:rPr/>
        <w:t xml:space="preserve">; case B, 60 years, vendor operating costs, CF 0.90) is C$112/151/198/280 per MWh at 3/5/7/10% real (A$125/169/221/313). - </w:t>
      </w:r>
      <w:r>
        <w:rPr>
          <w:b/>
          <w:bCs/>
        </w:rPr>
        <w:t>Against GenCost:</w:t>
      </w:r>
      <w:r>
        <w:rPr/>
        <w:t xml:space="preserve"> 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 </w:t>
      </w:r>
      <w:r>
        <w:rPr>
          <w:rStyle w:val="VerbatimChar"/>
        </w:rPr>
        <w:t>results/lcoe.md</w:t>
      </w:r>
      <w:r>
        <w:rPr/>
        <w:t xml:space="preserve"> section 5), so A$221 is below the GenCost ranges we found. GenCost 2025-26 still ranks SMRs as the highest-cost option (Graham and Hayward, 2026), and its SMR range was not retrieved. - </w:t>
      </w:r>
      <w:r>
        <w:rPr>
          <w:b/>
          <w:bCs/>
        </w:rPr>
        <w:t>Against OPG:</w:t>
      </w:r>
      <w:r>
        <w:rPr/>
        <w:t xml:space="preserve"> OPG’s reported four-unit average of C$149/MWh (Ontario Power Generation, 2026b) is reproduced at a real discount rate of 4.9%. That rate is consistent with a ratepayer-backed Crown utility, not with merchant finance. - </w:t>
      </w:r>
      <w:r>
        <w:rPr>
          <w:b/>
          <w:bCs/>
        </w:rPr>
        <w:t>Cost ratio:</w:t>
      </w:r>
      <w:r>
        <w:rPr/>
        <w:t xml:space="preserve"> on our 7% value against GenCost 2024-25’s firmed-renewables lead, the SMR/renewables cost ratio is 221 / 101 = 2.2× (</w:t>
      </w:r>
      <w:r>
        <w:rPr>
          <w:rStyle w:val="VerbatimChar"/>
        </w:rPr>
        <w:t>results/lcoe.md</w:t>
      </w:r>
      <w:r>
        <w:rPr/>
        <w:t xml:space="preserve"> section 5). On GenCost 2023-24’s 2030 values it is about 2.9× (1.8–4.3×), or 5.0× on the alternative reading. - </w:t>
      </w:r>
      <w:r>
        <w:rPr>
          <w:b/>
          <w:bCs/>
        </w:rPr>
        <w:t>Overrun:</w:t>
      </w:r>
      <w:r>
        <w:rPr/>
        <w:t xml:space="preserve"> a NuScale-sized capital overrun (×1.75) at 7% gives C$317/MWh (Section 3.5.1), the largest single input, ahead of the discount rate. - </w:t>
      </w:r>
      <w:r>
        <w:rPr>
          <w:b/>
          <w:bCs/>
        </w:rPr>
        <w:t>Market value against revenue (NuScale, 2025):</w:t>
      </w:r>
      <w:r>
        <w:rPr/>
        <w:t xml:space="preserve"> US$5.3 bn public float against US$31.5 m revenue, 168× (NuScale Power Corporation, 2026). Equity prices future orders; it does not finance first plants. - </w:t>
      </w:r>
      <w:r>
        <w:rPr>
          <w:b/>
          <w:bCs/>
        </w:rPr>
        <w:t>Full working:</w:t>
      </w:r>
      <w:r>
        <w:rPr/>
        <w:t xml:space="preserve"> in </w:t>
      </w:r>
      <w:r>
        <w:rPr>
          <w:rStyle w:val="VerbatimChar"/>
        </w:rPr>
        <w:t>results/lcoe.md</w:t>
      </w:r>
      <w:r>
        <w:rPr/>
        <w:t>.</w:t>
      </w:r>
    </w:p>
    <w:p>
      <w:pPr>
        <w:pStyle w:val="Heading5"/>
        <w:rPr/>
      </w:pPr>
      <w:bookmarkStart w:id="225" w:name="b6.4-limitations"/>
      <w:r>
        <w:rPr/>
        <w:t>B6.4 Limitations</w:t>
      </w:r>
    </w:p>
    <w:p>
      <w:pPr>
        <w:pStyle w:val="Compact"/>
        <w:numPr>
          <w:ilvl w:val="0"/>
          <w:numId w:val="62"/>
        </w:numPr>
        <w:rPr/>
      </w:pPr>
      <w:r>
        <w:rPr/>
        <w:t>Adding several TWh a year of firmed renewables would itself change the NEM trajectory, so the comparison holds only at the margin of the stated trajectory.</w:t>
      </w:r>
    </w:p>
    <w:p>
      <w:pPr>
        <w:pStyle w:val="Compact"/>
        <w:numPr>
          <w:ilvl w:val="0"/>
          <w:numId w:val="63"/>
        </w:numPr>
        <w:rPr/>
      </w:pPr>
      <w:r>
        <w:rPr/>
        <w:t>The LCOE of firmed renewables rises with their share, and GenCost’s integration costs cover this only up to the shares it models.</w:t>
      </w:r>
    </w:p>
    <w:p>
      <w:pPr>
        <w:pStyle w:val="Compact"/>
        <w:numPr>
          <w:ilvl w:val="0"/>
          <w:numId w:val="64"/>
        </w:numPr>
        <w:rPr/>
      </w:pPr>
      <w:r>
        <w:rPr/>
        <w:t>Darlington’s budget is in nominal Canadian dollars (2025 announcement), while GenCost is in real Australian dollars. Method A is therefore an order-of-magnitude cross-check, not a precise conversion.</w:t>
      </w:r>
    </w:p>
    <w:p>
      <w:pPr>
        <w:pStyle w:val="Compact"/>
        <w:numPr>
          <w:ilvl w:val="0"/>
          <w:numId w:val="65"/>
        </w:numPr>
        <w:rPr/>
      </w:pPr>
      <w:r>
        <w:rPr/>
        <w:t>Renewable assets last about 25–30 years (GenCost). No replacement falls before 2050, but a whole-life comparison would need one.</w:t>
      </w:r>
    </w:p>
    <w:p>
      <w:pPr>
        <w:pStyle w:val="Compact"/>
        <w:numPr>
          <w:ilvl w:val="0"/>
          <w:numId w:val="66"/>
        </w:numPr>
        <w:rPr/>
      </w:pPr>
      <w:r>
        <w:rPr/>
        <w:t>The Ontario rows use Australian costs and are indicative only. Ontario-specific costs were a stretch item in the plan and were not done.</w:t>
      </w:r>
    </w:p>
    <w:p>
      <w:pPr>
        <w:pStyle w:val="normal1"/>
        <w:rPr/>
      </w:pPr>
      <w:bookmarkStart w:id="226" w:name="Xe9bf8aa20110d892414618c9830b1120addc14d"/>
      <w:bookmarkStart w:id="227" w:name="b6.4-limitations"/>
      <w:r>
        <w:rPr/>
        <mc:AlternateContent>
          <mc:Choice Requires="wps">
            <w:drawing>
              <wp:inline distT="0" distB="0" distL="0" distR="0">
                <wp:extent cx="57315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p>
    <w:p>
      <w:pPr>
        <w:pStyle w:val="Heading4"/>
        <w:rPr/>
      </w:pPr>
      <w:bookmarkStart w:id="228" w:name="Xc131c5b7da9b849e6bc37677db63fd4f3349dcd"/>
      <w:r>
        <w:rPr/>
        <w:t>B7. Multi-criteria analysis (MCDA): status quo, SMR, SMR + C1 and firmed renewables</w:t>
      </w:r>
    </w:p>
    <w:p>
      <w:pPr>
        <w:pStyle w:val="FirstParagraph"/>
        <w:rPr/>
      </w:pPr>
      <w:r>
        <w:rPr>
          <w:b/>
          <w:bCs/>
        </w:rPr>
        <w:t>Result.</w:t>
      </w:r>
      <w:r>
        <w:rPr/>
        <w:t xml:space="preserve"> Firmed renewables for the same money score highest under all four weight sets (80.1, 85.9, 63.7 and 89.3 of 100). The status quo is second, and SMR and SMR + C1 tie for third (29.7, 24.0, 43.6 and 20.4). C1 moves the SMR’s score by under 0.005 point. </w:t>
      </w:r>
      <w:r>
        <w:rPr>
          <w:b/>
          <w:bCs/>
        </w:rPr>
        <w:t>The ranking is a structured comparison, not a measurement:</w:t>
      </w:r>
      <w:r>
        <w:rPr/>
        <w:t xml:space="preserve"> the social, legal and renewables-supply scores and the weights are our judgement. The main-text summary is Section 3.7 (the Section 3.7 tables). Source: </w:t>
      </w:r>
      <w:r>
        <w:rPr>
          <w:rStyle w:val="VerbatimChar"/>
        </w:rPr>
        <w:t>scripts/mcda.py</w:t>
      </w:r>
      <w:r>
        <w:rPr/>
        <w:t xml:space="preserve"> (C1 case </w:t>
      </w:r>
      <w:r>
        <w:rPr>
          <w:rStyle w:val="VerbatimChar"/>
        </w:rPr>
        <w:t>new_2200</w:t>
      </w:r>
      <w:r>
        <w:rPr/>
        <w:t xml:space="preserve">), </w:t>
      </w:r>
      <w:r>
        <w:rPr>
          <w:rStyle w:val="VerbatimChar"/>
        </w:rPr>
        <w:t>results/mcda.md</w:t>
      </w:r>
      <w:r>
        <w:rPr/>
        <w:t xml:space="preserve"> and </w:t>
      </w:r>
      <w:r>
        <w:rPr>
          <w:rStyle w:val="VerbatimChar"/>
        </w:rPr>
        <w:t>results/mcda_scores.csv</w:t>
      </w:r>
      <w:r>
        <w:rPr/>
        <w:t>, which holds every raw score, normalised score, weight set and perturbation (593 rows).</w:t>
      </w:r>
    </w:p>
    <w:p>
      <w:pPr>
        <w:pStyle w:val="Heading5"/>
        <w:rPr/>
      </w:pPr>
      <w:bookmarkStart w:id="229" w:name="b7.1-options-criteria-and-inputs"/>
      <w:r>
        <w:rPr/>
        <w:t>B7.1 Options, criteria and inputs</w:t>
      </w:r>
    </w:p>
    <w:p>
      <w:pPr>
        <w:pStyle w:val="FirstParagraph"/>
        <w:rPr/>
      </w:pPr>
      <w:r>
        <w:rPr/>
        <w:t>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rPr/>
      </w:pPr>
      <w:r>
        <w:rPr>
          <w:i/>
          <w:iCs/>
        </w:rPr>
        <w:t>Table B29. Performance matrix (raw values) and the source of each score.</w:t>
      </w:r>
      <w:r>
        <w:rPr/>
        <w:t xml:space="preserve"> </w:t>
      </w:r>
      <w:r>
        <w:rPr>
          <w:i/>
          <w:iCs/>
        </w:rPr>
        <w:t xml:space="preserve">Source: </w:t>
      </w:r>
      <w:r>
        <w:rPr>
          <w:rStyle w:val="VerbatimChar"/>
          <w:i/>
          <w:iCs/>
        </w:rPr>
        <w:t>results/mcda.md</w:t>
      </w:r>
      <w:r>
        <w:rPr>
          <w:i/>
          <w:iCs/>
        </w:rPr>
        <w:t xml:space="preserve"> section 2. SMR + C1 shown for the 2,200 t case.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(status)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CO₂e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4.1845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team LCA median (Section 3.2). Renewables: 30 g/kWh assumption inside UNECE’s PV range of 8–83. Status quo: NSW grid factor 2025 (NGA Factors)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CO₂e avoided to 2050 (Mt per A$1 bn/yr)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frame (</w:t>
            </w:r>
            <w:r>
              <w:rPr>
                <w:rStyle w:val="VerbatimChar"/>
                <w:rFonts w:eastAsia="Aptos" w:cs="Aptos"/>
                <w:kern w:val="0"/>
                <w:lang w:val="en-US"/>
              </w:rPr>
              <w:t>same_money.py</w:t>
            </w:r>
            <w:r>
              <w:rPr>
                <w:rFonts w:eastAsia="Aptos" w:cs="Aptos"/>
                <w:kern w:val="0"/>
                <w:lang w:val="en-US"/>
              </w:rPr>
              <w:t>); GenCost 2030 LCOEs; NEM trajectory T2, slow (assumption)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 LCOE (A$/MWh)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midpoints: SMR 230–382, firmed renewables 89–125. C1 adds A$0.038/MWh (assumptions)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full year of new supply</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2050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CSIRO’s 2040 for nuclear (Graham, Hayward and Foster, 2024). Renewables: 2028 (assumption). Status quo: no new supply by 2050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 concentration (HHI)</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enrichment, B2. Renewables: lower bound from China’s share, above 80% of every PV stage (International Energy Agency, 2022). Status quo: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 (Table B39 total, 5–15)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3.4.2 and Table B39 (our judgement)</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 (Table B13 total, 4–12)</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best SMR route under equal weights (route C, 8); route A scores 6, which leaves this input unchanged (our judgement)</w:t>
            </w:r>
          </w:p>
        </w:tc>
      </w:tr>
    </w:tbl>
    <w:p>
      <w:pPr>
        <w:pStyle w:val="BodyText"/>
        <w:rPr/>
      </w:pPr>
      <w:r>
        <w:rPr>
          <w:b/>
          <w:bCs/>
        </w:rPr>
        <w:t>Conventions for the status quo (a do-nothing reference).</w:t>
      </w:r>
      <w:r>
        <w:rPr/>
        <w:t xml:space="preserve"> It takes the NSW grid factor as its “life cycle” (a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rPr/>
      </w:pPr>
      <w:r>
        <w:rPr>
          <w:b/>
          <w:bCs/>
        </w:rPr>
        <w:t>Not scored.</w:t>
      </w:r>
      <w:r>
        <w:rPr/>
        <w:t xml:space="preserve"> Technology readiness level (TRL) is not scored. Schedule risk enters through the first-power year (tested at 2035 and 2045) and the C1 delay case.</w:t>
      </w:r>
      <w:bookmarkEnd w:id="229"/>
    </w:p>
    <w:p>
      <w:pPr>
        <w:pStyle w:val="Heading5"/>
        <w:rPr/>
      </w:pPr>
      <w:r>
        <w:rPr/>
        <w:t>B7.2 Method</w:t>
      </w:r>
    </w:p>
    <w:p>
      <w:pPr>
        <w:pStyle w:val="Compact"/>
        <w:numPr>
          <w:ilvl w:val="0"/>
          <w:numId w:val="67"/>
        </w:numPr>
        <w:rPr/>
      </w:pPr>
      <w:r>
        <w:rPr>
          <w:b/>
          <w:bCs/>
        </w:rPr>
        <w:t>Model.</w:t>
      </w:r>
      <w:r>
        <w:rPr/>
        <w:t xml:space="preserve"> Linear additive (weighted-sum) MCDA, the standard compensatory model in the UK government manual (Dodgson et al., 2009).</w:t>
      </w:r>
    </w:p>
    <w:p>
      <w:pPr>
        <w:pStyle w:val="Compact"/>
        <w:numPr>
          <w:ilvl w:val="0"/>
          <w:numId w:val="68"/>
        </w:numPr>
        <w:rPr/>
      </w:pPr>
      <w:r>
        <w:rPr>
          <w:b/>
          <w:bCs/>
        </w:rPr>
        <w:t>Normalisation.</w:t>
      </w:r>
      <w:r>
        <w:rPr/>
        <w:t xml:space="preserve"> Each criterion is min–max normalised across the four options: s = (x − worst) / (best − worst), so the best option scores 1 and the worst 0.</w:t>
      </w:r>
    </w:p>
    <w:p>
      <w:pPr>
        <w:pStyle w:val="Compact"/>
        <w:numPr>
          <w:ilvl w:val="0"/>
          <w:numId w:val="69"/>
        </w:numPr>
        <w:rPr/>
      </w:pPr>
      <w:r>
        <w:rPr>
          <w:b/>
          <w:bCs/>
        </w:rPr>
        <w:t>Total.</w:t>
      </w:r>
      <w:r>
        <w:rPr/>
        <w:t xml:space="preserve"> T = 100 × Σ w_c s_c, with weights renormalised to sum to 1.</w:t>
      </w:r>
    </w:p>
    <w:p>
      <w:pPr>
        <w:pStyle w:val="Compact"/>
        <w:numPr>
          <w:ilvl w:val="0"/>
          <w:numId w:val="70"/>
        </w:numPr>
        <w:rPr/>
      </w:pPr>
      <w:r>
        <w:rPr>
          <w:b/>
          <w:bCs/>
        </w:rPr>
        <w:t>CO₂e avoided per dollar.</w:t>
      </w:r>
      <w:r>
        <w:rPr/>
        <w:t xml:space="preserve"> 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pStyle w:val="Compact"/>
        <w:numPr>
          <w:ilvl w:val="0"/>
          <w:numId w:val="71"/>
        </w:numPr>
        <w:rPr/>
      </w:pPr>
      <w:r>
        <w:rPr>
          <w:b/>
          <w:bCs/>
        </w:rPr>
        <w:t>C1 in the model.</w:t>
      </w:r>
      <w:r>
        <w:rPr/>
        <w:t xml:space="preserve"> Life-cycle reduction = saving / lifetime output. For 2,200 t: 2,200 × 10⁶ g / (2,365,200 MWh × 1,000 × 60 years = 1.419 × 10¹¹ kWh) = </w:t>
      </w:r>
      <w:r>
        <w:rPr>
          <w:b/>
          <w:bCs/>
        </w:rPr>
        <w:t>0.0155 g/kWh</w:t>
      </w:r>
      <w:r>
        <w:rPr/>
        <w:t xml:space="preserve"> (0.37% of 4.2). For the earlier 1,734 t it is 0.0122 g/kWh (0.29%). C1’s cost is a premium (base 0%) × C$229/m³ × 20,000 m³ plus qualification (base C$1.0 m), × 1.119 AUD/CAD, annualised at a capital recovery factor of 0.0806 (7%, 30 years) over 2,365,200 MWh: </w:t>
      </w:r>
      <w:r>
        <w:rPr>
          <w:b/>
          <w:bCs/>
        </w:rPr>
        <w:t>+A$0.038/MWh</w:t>
      </w:r>
      <w:r>
        <w:rPr/>
        <w:t>. The base case is schedule-neutral (the Section 3.6.2 condition).</w:t>
      </w:r>
    </w:p>
    <w:p>
      <w:pPr>
        <w:pStyle w:val="FirstParagraph"/>
        <w:rPr/>
      </w:pPr>
      <w:r>
        <w:rPr>
          <w:b/>
          <w:bCs/>
        </w:rPr>
        <w:t>Worked example (equal weights, SMR).</w:t>
      </w:r>
      <w:r>
        <w:rPr/>
        <w:t xml:space="preserve"> Life cycle: (640 − 4.2) / (640 − 4.1845) = 0.99998. Avoided per dollar: 5.31 / 57.69 = 0.0921. Cost: (306.04 − 306.00) / 306.04 = 0.0001. Time: (2050 − 2040) / (2050 − 2028) = 0.4545. Supply: (6,400 − 3,009) / 6,400 = 0.5298. Social: (11 − 11) / (14 − 11) = 0. Legal: (8 − 8) / (12 − 8) = 0. The sum is 2.0766, and T = 100 × 2.0766 / 7 = </w:t>
      </w:r>
      <w:r>
        <w:rPr>
          <w:b/>
          <w:bCs/>
        </w:rPr>
        <w:t>29.7</w:t>
      </w:r>
      <w:r>
        <w:rPr/>
        <w:t>.</w:t>
      </w:r>
    </w:p>
    <w:p>
      <w:pPr>
        <w:pStyle w:val="BodyText"/>
        <w:rPr/>
      </w:pPr>
      <w:r>
        <w:rPr>
          <w:i/>
          <w:iCs/>
        </w:rPr>
        <w:t>Table B30. Normalised scores (1 = best of the four options).</w:t>
      </w:r>
      <w:r>
        <w:rPr/>
        <w:t xml:space="preserve"> </w:t>
      </w:r>
      <w:r>
        <w:rPr>
          <w:i/>
          <w:iCs/>
        </w:rPr>
        <w:t xml:space="preserve">Source: </w:t>
      </w:r>
      <w:r>
        <w:rPr>
          <w:rStyle w:val="VerbatimChar"/>
          <w:i/>
          <w:iCs/>
        </w:rPr>
        <w:t>results/mcda.md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0.9594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Avoided per dollar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Time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0.6667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bookmarkStart w:id="230" w:name="b7.2-method"/>
            <w:bookmarkEnd w:id="230"/>
          </w:p>
        </w:tc>
      </w:tr>
    </w:tbl>
    <w:p>
      <w:pPr>
        <w:pStyle w:val="Heading5"/>
        <w:rPr/>
      </w:pPr>
      <w:r>
        <w:rPr/>
        <w:t>B7.3 Weights and results</w:t>
      </w:r>
    </w:p>
    <w:p>
      <w:pPr>
        <w:pStyle w:val="FirstParagraph"/>
        <w:rPr/>
      </w:pPr>
      <w:r>
        <w:rPr/>
        <w:t>The weights are our reading of each group’s stated priorities (</w:t>
      </w:r>
      <w:r>
        <w:rPr>
          <w:rStyle w:val="VerbatimChar"/>
        </w:rPr>
        <w:t>parameters_run9.yaml</w:t>
      </w:r>
      <w:r>
        <w:rPr/>
        <w:t>), not elicited from them.</w:t>
      </w:r>
    </w:p>
    <w:p>
      <w:pPr>
        <w:pStyle w:val="BodyText"/>
        <w:rPr/>
      </w:pPr>
      <w:r>
        <w:rPr>
          <w:i/>
          <w:iCs/>
        </w:rPr>
        <w:t>Table B31. Weight sets and total scores (0–100).</w:t>
      </w:r>
      <w:r>
        <w:rPr/>
        <w:t xml:space="preserve"> </w:t>
      </w:r>
      <w:r>
        <w:rPr>
          <w:i/>
          <w:iCs/>
        </w:rPr>
        <w:t xml:space="preserve">Source: </w:t>
      </w:r>
      <w:r>
        <w:rPr>
          <w:rStyle w:val="VerbatimChar"/>
          <w:i/>
          <w:iCs/>
        </w:rPr>
        <w:t>results/mcda.md</w:t>
      </w:r>
      <w:r>
        <w:rPr>
          <w:i/>
          <w:iCs/>
        </w:rPr>
        <w:t xml:space="preserve"> section 4. Rationale sources: Bowen’s statements; the Liberal Party 2026 energy plan; Section 3.4.2.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Life cycle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per $</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Cost</w:t>
            </w:r>
          </w:p>
        </w:tc>
        <w:tc>
          <w:tcPr>
            <w:tcW w:w="88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Time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Supply</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Rationale</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view privileged</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Government and AEMO lens: cost and speed of decarbonisation</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and advocate lens: zero-emission firm supply and security. The most SMR-favourable set we could justify, as a stress test</w:t>
            </w:r>
          </w:p>
        </w:tc>
      </w:tr>
      <w:tr>
        <w:trPr/>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 Traditional Owners and unions: consent, legal certainty, early jobs</w:t>
            </w:r>
          </w:p>
        </w:tc>
      </w:tr>
    </w:tbl>
    <w:p>
      <w:pPr>
        <w:pStyle w:val="normal1"/>
        <w:rPr/>
      </w:pPr>
      <w:r>
        <w:rPr/>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&gt; status quo &gt; SMR ≈ SMR + C1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bl>
    <w:p>
      <w:pPr>
        <w:pStyle w:val="Heading5"/>
        <w:rPr/>
      </w:pPr>
      <w:r>
        <w:rPr/>
        <w:t>B7.4 Rank reversal and input sensitivity</w:t>
      </w:r>
    </w:p>
    <w:p>
      <w:pPr>
        <w:pStyle w:val="FirstParagraph"/>
        <w:rPr/>
      </w:pPr>
      <w:r>
        <w:rPr>
          <w:i/>
          <w:iCs/>
        </w:rPr>
        <w:t>Table B32. Each weight varied by ±50% (then renormalised): 14 tests per weight set.</w:t>
      </w:r>
      <w:r>
        <w:rPr/>
        <w:t xml:space="preserve"> </w:t>
      </w:r>
      <w:r>
        <w:rPr>
          <w:i/>
          <w:iCs/>
        </w:rPr>
        <w:t xml:space="preserve">Source: </w:t>
      </w:r>
      <w:r>
        <w:rPr>
          <w:rStyle w:val="VerbatimChar"/>
          <w:i/>
          <w:iCs/>
        </w:rPr>
        <w:t>results/mcda.md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Tests</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First place changes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Cases that change the order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 0.5 and supply × 1.5: both give status quo &gt; renewables &gt; SMR</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bl>
    <w:p>
      <w:pPr>
        <w:pStyle w:val="Compact"/>
        <w:numPr>
          <w:ilvl w:val="0"/>
          <w:numId w:val="72"/>
        </w:numPr>
        <w:rPr/>
      </w:pPr>
      <w:r>
        <w:rPr>
          <w:b/>
          <w:bCs/>
        </w:rPr>
        <w:t>Random weights.</w:t>
      </w:r>
      <w:r>
        <w:rPr/>
        <w:t xml:space="preserve"> In 20,000 Dirichlet(1,…,1) draws (seed 20261021), first place goes to renewables in 85.4%, the status quo in 14.5%, SMR + C1 in 0.1% and SMR in 0.0%. An SMR option is above renewables in 1.1% of draws.</w:t>
      </w:r>
    </w:p>
    <w:p>
      <w:pPr>
        <w:pStyle w:val="Compact"/>
        <w:numPr>
          <w:ilvl w:val="0"/>
          <w:numId w:val="73"/>
        </w:numPr>
        <w:rPr/>
      </w:pPr>
      <w:r>
        <w:rPr>
          <w:b/>
          <w:bCs/>
        </w:rPr>
        <w:t>Threshold.</w:t>
      </w:r>
      <w:r>
        <w:rPr/>
        <w:t xml:space="preserve"> Putting one criterion’s weight at w and sharing the rest equally, an SMR option first ranks first only when life cycle carries at least 0.936. For the other six criteria it never does.</w:t>
      </w:r>
    </w:p>
    <w:p>
      <w:pPr>
        <w:pStyle w:val="Compact"/>
        <w:numPr>
          <w:ilvl w:val="0"/>
          <w:numId w:val="74"/>
        </w:numPr>
        <w:rPr/>
      </w:pPr>
      <w:r>
        <w:rPr>
          <w:b/>
          <w:bCs/>
        </w:rPr>
        <w:t>SMR versus SMR + C1.</w:t>
      </w:r>
      <w:r>
        <w:rPr/>
        <w:t xml:space="preserve"> They never swap places in any of the 56 tests.</w:t>
      </w:r>
    </w:p>
    <w:p>
      <w:pPr>
        <w:pStyle w:val="FirstParagraph"/>
        <w:rPr/>
      </w:pPr>
      <w:r>
        <w:rPr>
          <w:i/>
          <w:iCs/>
        </w:rPr>
        <w:t>Table B33. Input changes that alter first place or the order (base weights). All other changes leave “renewables &gt; status quo &gt; SMR” in all four sets.</w:t>
      </w:r>
      <w:r>
        <w:rPr/>
        <w:t xml:space="preserve"> </w:t>
      </w:r>
      <w:r>
        <w:rPr>
          <w:i/>
          <w:iCs/>
        </w:rPr>
        <w:t xml:space="preserve">Source: </w:t>
      </w:r>
      <w:r>
        <w:rPr>
          <w:rStyle w:val="VerbatimChar"/>
          <w:i/>
          <w:iCs/>
        </w:rPr>
        <w:t>results/mcda.md</w:t>
      </w:r>
      <w:r>
        <w:rPr>
          <w:i/>
          <w:iCs/>
        </w:rPr>
        <w:t xml:space="preserve"> section 6 (17 input cases × 4 weight sets = 68 tests).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(SMR A$198, renewables A$153)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social licence at 14 (instead of 13)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supply = renewables’ HHI (6,400)</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renewables &gt; SMR &gt; status quo; others unchanged</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global scales (best and worst fixed in advance)</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All four sets: renewables &gt; SMR &gt; status quo</w:t>
            </w:r>
          </w:p>
        </w:tc>
      </w:tr>
    </w:tbl>
    <w:p>
      <w:pPr>
        <w:pStyle w:val="BodyText"/>
        <w:rPr/>
      </w:pPr>
      <w:r>
        <w:rP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 </w:t>
      </w:r>
      <w:r>
        <w:rPr>
          <w:b/>
          <w:bCs/>
        </w:rPr>
        <w:t>The status quo above the SMR is not:</w:t>
      </w:r>
      <w:r>
        <w:rPr/>
        <w:t xml:space="preserve"> it comes from the four-option scale, where doing nothing scores full marks on cost, supply and legal feasibility.</w:t>
      </w:r>
    </w:p>
    <w:p>
      <w:pPr>
        <w:pStyle w:val="Heading5"/>
        <w:rPr/>
      </w:pPr>
      <w:bookmarkStart w:id="231" w:name="X655acef3214253160cddaea55a74ab651fff5b4"/>
      <w:r>
        <w:rPr/>
        <w:t>B7.5 SMR versus SMR + C1 under each C1 case</w:t>
      </w:r>
    </w:p>
    <w:p>
      <w:pPr>
        <w:pStyle w:val="FirstParagraph"/>
        <w:rPr/>
      </w:pPr>
      <w:r>
        <w:rPr>
          <w:i/>
          <w:iCs/>
        </w:rPr>
        <w:t>Table B34. Effect of C1 on the SMR’s life cycle and score, by C1 case.</w:t>
      </w:r>
      <w:r>
        <w:rPr/>
        <w:t xml:space="preserve"> </w:t>
      </w:r>
      <w:r>
        <w:rPr>
          <w:i/>
          <w:iCs/>
        </w:rPr>
        <w:t xml:space="preserve">Source: </w:t>
      </w:r>
      <w:r>
        <w:rPr>
          <w:rStyle w:val="VerbatimChar"/>
          <w:i/>
          <w:iCs/>
        </w:rPr>
        <w:t>results/mcda.md</w:t>
      </w:r>
      <w:r>
        <w:rPr>
          <w:i/>
          <w:iCs/>
        </w:rPr>
        <w:t xml:space="preserve"> section 7. The 1,100, 2,200 and 3,300 t cases (eligibility of 20/40/60%) are the deck case (BWRX-300 Ostrołęka sp. z o.o., 2023; Pillai et al., 2019). The 1,734 t row is the earlier-model cross-check.</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 cycle, SMR → SMR + C1 (g/kWh)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equal weights (points)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if qualification is free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4.1922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0.0078 g/kWh (0.18%)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+0.00024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 t (central)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4.1845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0.0155 g/kWh (0.37%)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+0.00049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4.1767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0.0233 g/kWh (0.55%)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+0.00073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1,734 t (earlier model, cross-check)</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4.1878</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0.0122 g/kWh (0.29%)</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0.0016</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+0.00038</w:t>
            </w:r>
          </w:p>
        </w:tc>
      </w:tr>
    </w:tbl>
    <w:p>
      <w:pPr>
        <w:pStyle w:val="BodyText"/>
        <w:rPr/>
      </w:pPr>
      <w:r>
        <w:rP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 </w:t>
      </w:r>
      <w:r>
        <w:rPr>
          <w:b/>
          <w:bCs/>
        </w:rPr>
        <w:t>Delay case.</w:t>
      </w:r>
      <w:r>
        <w:rPr/>
        <w:t xml:space="preserve"> 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bookmarkEnd w:id="231"/>
    </w:p>
    <w:p>
      <w:pPr>
        <w:pStyle w:val="Heading5"/>
        <w:rPr/>
      </w:pPr>
      <w:bookmarkStart w:id="232" w:name="b7.6-limitations"/>
      <w:r>
        <w:rPr/>
        <w:t>B7.6 Limitations</w:t>
      </w:r>
    </w:p>
    <w:p>
      <w:pPr>
        <w:pStyle w:val="Compact"/>
        <w:numPr>
          <w:ilvl w:val="0"/>
          <w:numId w:val="75"/>
        </w:numPr>
        <w:rPr/>
      </w:pPr>
      <w:r>
        <w:rPr/>
        <w:t>Social licence, legal feasibility and the renewables supply score are our scored judgement (Table B39; Table B13; B7.1). The weights are our reading, not elicited. A stakeholder survey would replace them.</w:t>
      </w:r>
    </w:p>
    <w:p>
      <w:pPr>
        <w:pStyle w:val="Compact"/>
        <w:numPr>
          <w:ilvl w:val="0"/>
          <w:numId w:val="76"/>
        </w:numPr>
        <w:rPr/>
      </w:pPr>
      <w:r>
        <w:rPr/>
        <w:t>Local min–max scaling makes each score depend on which options are compared. The status quo’s second place changes on fixed global scales (B7.4).</w:t>
      </w:r>
    </w:p>
    <w:p>
      <w:pPr>
        <w:pStyle w:val="Compact"/>
        <w:numPr>
          <w:ilvl w:val="0"/>
          <w:numId w:val="77"/>
        </w:numPr>
        <w:rPr/>
      </w:pPr>
      <w:r>
        <w:rPr/>
        <w:t>Renewables’ supply HHI uses solar PV only; batteries, wind turbines and transmission are not assessed, and the IEA (2022) report was not opened in full.</w:t>
      </w:r>
    </w:p>
    <w:p>
      <w:pPr>
        <w:pStyle w:val="Compact"/>
        <w:numPr>
          <w:ilvl w:val="0"/>
          <w:numId w:val="78"/>
        </w:numPr>
        <w:rPr/>
      </w:pPr>
      <w:r>
        <w:rPr/>
        <w:t>TRL is not scored, and first-power years depend on CSIRO’s 2040 and the Coalition’s 2035 (as reported).</w:t>
      </w:r>
    </w:p>
    <w:p>
      <w:pPr>
        <w:pStyle w:val="Compact"/>
        <w:numPr>
          <w:ilvl w:val="0"/>
          <w:numId w:val="79"/>
        </w:numPr>
        <w:rPr/>
      </w:pPr>
      <w:r>
        <w:rPr/>
        <w:t>Renewables’ 30 g/kWh and 2028 start are assumptions, and the GenCost reading is the one stated in B6. Adding several TWh of renewables would itself change the grid trajectory (B6.4).</w:t>
      </w:r>
    </w:p>
    <w:p>
      <w:pPr>
        <w:pStyle w:val="Compact"/>
        <w:numPr>
          <w:ilvl w:val="0"/>
          <w:numId w:val="80"/>
        </w:numPr>
        <w:rPr/>
      </w:pPr>
      <w:r>
        <w:rPr/>
        <w:t>The UK government manual (Dodgson et al., 2009) was not opened in full.</w:t>
      </w:r>
    </w:p>
    <w:p>
      <w:pPr>
        <w:pStyle w:val="FirstParagraph"/>
        <w:rPr/>
      </w:pPr>
      <w:r>
        <w:rPr>
          <w:b/>
          <w:bCs/>
        </w:rPr>
        <w:t>Reproduce.</w:t>
      </w:r>
      <w:r>
        <w:rPr/>
        <w:t xml:space="preserve"> From the repository root: </w:t>
      </w:r>
      <w:r>
        <w:rPr>
          <w:rStyle w:val="VerbatimChar"/>
        </w:rPr>
        <w:t>python3 -I 03_LCA_Calculations/scripts/mcda.py --c1-case new_2200</w:t>
      </w:r>
      <w:r>
        <w:rPr/>
        <w:t xml:space="preserve"> (cases: </w:t>
      </w:r>
      <w:r>
        <w:rPr>
          <w:rStyle w:val="VerbatimChar"/>
        </w:rPr>
        <w:t>old_1734</w:t>
      </w:r>
      <w:r>
        <w:rPr/>
        <w:t xml:space="preserve">, </w:t>
      </w:r>
      <w:r>
        <w:rPr>
          <w:rStyle w:val="VerbatimChar"/>
        </w:rPr>
        <w:t>new_1100</w:t>
      </w:r>
      <w:r>
        <w:rPr/>
        <w:t xml:space="preserve">, </w:t>
      </w:r>
      <w:r>
        <w:rPr>
          <w:rStyle w:val="VerbatimChar"/>
        </w:rPr>
        <w:t>new_2200</w:t>
      </w:r>
      <w:r>
        <w:rPr/>
        <w:t xml:space="preserve">, </w:t>
      </w:r>
      <w:r>
        <w:rPr>
          <w:rStyle w:val="VerbatimChar"/>
        </w:rPr>
        <w:t>new_3300</w:t>
      </w:r>
      <w:r>
        <w:rPr/>
        <w:t xml:space="preserve">). Inputs are in </w:t>
      </w:r>
      <w:r>
        <w:rPr>
          <w:rStyle w:val="VerbatimChar"/>
        </w:rPr>
        <w:t>03_LCA_Calculations/parameters_run9.yaml</w:t>
      </w:r>
      <w:r>
        <w:rPr/>
        <w:t xml:space="preserve">; outputs are </w:t>
      </w:r>
      <w:r>
        <w:rPr>
          <w:rStyle w:val="VerbatimChar"/>
        </w:rPr>
        <w:t>results/mcda.md</w:t>
      </w:r>
      <w:r>
        <w:rPr/>
        <w:t xml:space="preserve"> and </w:t>
      </w:r>
      <w:r>
        <w:rPr>
          <w:rStyle w:val="VerbatimChar"/>
        </w:rPr>
        <w:t>results/mcda_scores.csv</w:t>
      </w:r>
      <w:r>
        <w:rPr/>
        <w:t>.</w:t>
      </w:r>
    </w:p>
    <w:p>
      <w:pPr>
        <w:pStyle w:val="normal1"/>
        <w:rPr/>
      </w:pPr>
      <w:bookmarkStart w:id="233" w:name="Xc131c5b7da9b849e6bc37677db63fd4f3349dcd"/>
      <w:bookmarkStart w:id="234" w:name="b7.6-limitations"/>
      <w:r>
        <w:rPr/>
        <mc:AlternateContent>
          <mc:Choice Requires="wps">
            <w:drawing>
              <wp:inline distT="0" distB="0" distL="0" distR="0">
                <wp:extent cx="57315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p>
    <w:p>
      <w:pPr>
        <w:pStyle w:val="Heading4"/>
        <w:rPr/>
      </w:pPr>
      <w:bookmarkStart w:id="235" w:name="Xf511f31261708a0052acbe2a7ca6790c4cfa87f"/>
      <w:r>
        <w:rPr/>
        <w:t>B8. Social licence and stakeholder working (for Section 3.4.2 and Section 3.4.1)</w:t>
      </w:r>
    </w:p>
    <w:p>
      <w:pPr>
        <w:pStyle w:val="FirstParagraph"/>
        <w:rPr/>
      </w:pPr>
      <w:r>
        <w:rPr>
          <w:b/>
          <w:bCs/>
        </w:rPr>
        <w:t>Result.</w:t>
      </w:r>
      <w:r>
        <w:rPr/>
        <w:t xml:space="preserve"> 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 </w:t>
      </w:r>
      <w:r>
        <w:rPr>
          <w:b/>
          <w:bCs/>
        </w:rPr>
        <w:t>The stance scores and route scores are our judgement, not measurements.</w:t>
      </w:r>
      <w:r>
        <w:rPr/>
        <w:t xml:space="preserve"> Script: </w:t>
      </w:r>
      <w:r>
        <w:rPr>
          <w:rStyle w:val="VerbatimChar"/>
        </w:rPr>
        <w:t>python3 -I 03_LCA_Calculations/scripts/social_licence.py</w:t>
      </w:r>
      <w:r>
        <w:rPr/>
        <w:t xml:space="preserve"> (</w:t>
      </w:r>
      <w:r>
        <w:rPr>
          <w:rStyle w:val="VerbatimChar"/>
        </w:rPr>
        <w:t>parameters_run6.yaml</w:t>
      </w:r>
      <w:r>
        <w:rPr/>
        <w:t xml:space="preserve">; output </w:t>
      </w:r>
      <w:r>
        <w:rPr>
          <w:rStyle w:val="VerbatimChar"/>
        </w:rPr>
        <w:t>results/social_licence.md</w:t>
      </w:r>
      <w:r>
        <w:rPr/>
        <w:t>).</w:t>
      </w:r>
    </w:p>
    <w:p>
      <w:pPr>
        <w:pStyle w:val="BodyText"/>
        <w:rPr/>
      </w:pPr>
      <w:r>
        <w:rP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 </w:t>
      </w:r>
      <w:r>
        <w:rPr>
          <w:i/>
          <w:iCs/>
        </w:rPr>
        <w:t>Barngarla</w:t>
      </w:r>
      <w:r>
        <w:rPr/>
        <w:t xml:space="preserve"> [2023] FCA 809; Nuclear Waste Management Organization (2024a; 2024b; 2024c; n.d.); Department of Industry, Science, Energy and Resources (2020); Power Workers’ Union (2021); Conference Board of Canada (2021); Joint Standing Committee on Treaties (2024); Slovic (1987).</w:t>
      </w:r>
    </w:p>
    <w:p>
      <w:pPr>
        <w:pStyle w:val="Heading5"/>
        <w:rPr/>
      </w:pPr>
      <w:bookmarkStart w:id="236" w:name="X8871295422bcc52b42d843e419a224e284f0009"/>
      <w:r>
        <w:rPr/>
        <w:t>B8.1 Perceived and actual safety, and deaths avoided</w:t>
      </w:r>
    </w:p>
    <w:p>
      <w:pPr>
        <w:pStyle w:val="Compact"/>
        <w:numPr>
          <w:ilvl w:val="0"/>
          <w:numId w:val="81"/>
        </w:numPr>
        <w:rPr/>
      </w:pPr>
      <w:r>
        <w:rPr/>
        <w:t>Death rates per TWh (Ritchie, 2020; Markandya and Wilkinson, 2007): coal 24.62, brown coal 32.72, gas 2.82, wind 0.04, nuclear 0.03, solar 0.02. Coal is 24.62 / 0.03 = about 820 times nuclear (gas about 94 times).</w:t>
      </w:r>
    </w:p>
    <w:p>
      <w:pPr>
        <w:pStyle w:val="Compact"/>
        <w:numPr>
          <w:ilvl w:val="0"/>
          <w:numId w:val="82"/>
        </w:numPr>
        <w:rPr/>
      </w:pPr>
      <w:r>
        <w:rPr/>
        <w:t>Output of one unit: 300 MWe × 8,760 h × 0.9 = 2.365 TWh a year (2.102–2.497 at capacity factors of 0.80–0.95).</w:t>
      </w:r>
    </w:p>
    <w:p>
      <w:pPr>
        <w:pStyle w:val="Compact"/>
        <w:numPr>
          <w:ilvl w:val="0"/>
          <w:numId w:val="83"/>
        </w:numPr>
        <w:rPr/>
      </w:pPr>
      <w:r>
        <w:rPr/>
        <w:t xml:space="preserve">Deaths avoided a year = output × (death rate of the displaced source − nuclear’s rate). Example (black coal): 2.365 × (24.62 − 0.03) = </w:t>
      </w:r>
      <w:r>
        <w:rPr>
          <w:b/>
          <w:bCs/>
        </w:rPr>
        <w:t>58.2</w:t>
      </w:r>
      <w:r>
        <w:rPr/>
        <w:t>.</w:t>
      </w:r>
    </w:p>
    <w:p>
      <w:pPr>
        <w:pStyle w:val="FirstParagraph"/>
        <w:rPr/>
      </w:pPr>
      <w:r>
        <w:rPr>
          <w:i/>
          <w:iCs/>
        </w:rPr>
        <w:t>Table B36. Statistical deaths avoided a year by one unit, by displaced source.</w:t>
      </w:r>
      <w:r>
        <w:rPr/>
        <w:t xml:space="preserve"> </w:t>
      </w:r>
      <w:r>
        <w:rPr>
          <w:i/>
          <w:iCs/>
        </w:rPr>
        <w:t xml:space="preserve">Source: </w:t>
      </w:r>
      <w:r>
        <w:rPr>
          <w:rStyle w:val="VerbatimChar"/>
          <w:i/>
          <w:iCs/>
        </w:rPr>
        <w:t>results/social_licence.md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source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0.80</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0.90 (central)</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Black coal (Liddell; upper bound, because coal leaves the grid by 2038 in AEMO’s central scenario)</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58.2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Brown coal (stretch case)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81.6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(Darlington, per unit; Ontario has no coal)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four units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Wind</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Solar</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r>
    </w:tbl>
    <w:p>
      <w:pPr>
        <w:pStyle w:val="BodyText"/>
        <w:rPr/>
      </w:pPr>
      <w:bookmarkStart w:id="237" w:name="X8871295422bcc52b42d843e419a224e284f0009"/>
      <w:r>
        <w:rPr/>
        <w:t>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bookmarkEnd w:id="237"/>
    </w:p>
    <w:p>
      <w:pPr>
        <w:pStyle w:val="Heading5"/>
        <w:rPr/>
      </w:pPr>
      <w:bookmarkStart w:id="238" w:name="X92849018d318b05d1619841a208001b9b5d443e"/>
      <w:r>
        <w:rPr/>
        <w:t>B8.2 Stakeholder power, interest and stance (Figure F8)</w:t>
      </w:r>
    </w:p>
    <w:p>
      <w:pPr>
        <w:pStyle w:val="FirstParagraph"/>
        <w:rPr/>
      </w:pPr>
      <w:r>
        <w:rPr/>
        <w:t xml:space="preserve">Each actor is scored for power (1–5), interest (1–5) and stance (−2 strongly against to +2 strongly for) from the evidence in Sections 3.4–3.6 (evidence keys in </w:t>
      </w:r>
      <w:r>
        <w:rPr>
          <w:rStyle w:val="VerbatimChar"/>
        </w:rPr>
        <w:t>parameters_run6.yaml</w:t>
      </w:r>
      <w:r>
        <w:rPr/>
        <w:t xml:space="preserve">). “High power” is a score of 4 or more. Quadrant: power ≥ 4 and interest ≥ 4, manage closely; power ≥ 4 only, keep satisfied; interest ≥ 4 only, keep informed; neither, monitor. </w:t>
      </w:r>
      <w:r>
        <w:rPr>
          <w:b/>
          <w:bCs/>
        </w:rPr>
        <w:t>Power-weighted stance</w:t>
      </w:r>
      <w:r>
        <w:rPr/>
        <w:t xml:space="preserve"> = Σ(power × stance) / Σ(power).</w:t>
      </w:r>
    </w:p>
    <w:p>
      <w:pPr>
        <w:pStyle w:val="BodyText"/>
        <w:rPr/>
      </w:pPr>
      <w:r>
        <w:rPr>
          <w:i/>
          <w:iCs/>
        </w:rPr>
        <w:t>Table B37. Stakeholder scores, Darlington Units 2–4 with C1.</w:t>
      </w:r>
      <w:r>
        <w:rPr/>
        <w:t xml:space="preserve"> </w:t>
      </w:r>
      <w:r>
        <w:rPr>
          <w:i/>
          <w:iCs/>
        </w:rPr>
        <w:t xml:space="preserve">Source: our judgement from Sections 3.4–3.6 evidence; </w:t>
      </w:r>
      <w:r>
        <w:rPr>
          <w:rStyle w:val="VerbatimChar"/>
          <w:i/>
          <w:iCs/>
        </w:rPr>
        <w:t>results/social_licence.md</w:t>
      </w:r>
      <w:r>
        <w:rPr>
          <w:i/>
          <w:iCs/>
        </w:rPr>
        <w:t xml:space="preserve"> section 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Government (shareholder)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(licensee,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(safety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Canada (CIB, CGF, CILGC)</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(vendor)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Energy Board (rate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and Durham (host)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suppliers (no source found)</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+ 0 + 4 + 8 + 4 + 0 + 6 + 6 − 4 + 2 + 0 = 46; Σ(power) = 43; 46 / 43 = </w:t>
      </w:r>
      <w:r>
        <w:rPr>
          <w:b/>
          <w:bCs/>
        </w:rPr>
        <w:t>+1.07</w:t>
      </w:r>
      <w:r>
        <w:rPr/>
        <w:t>. Seven actors have high power and none is opposed.</w:t>
      </w:r>
    </w:p>
    <w:p>
      <w:pPr>
        <w:pStyle w:val="BodyText"/>
        <w:rPr/>
      </w:pPr>
      <w:r>
        <w:rPr>
          <w:i/>
          <w:iCs/>
        </w:rPr>
        <w:t>Table B38. Stakeholder scores, a hypothetical BWRX-300 at Liddell.</w:t>
      </w:r>
      <w:r>
        <w:rPr/>
        <w:t xml:space="preserve"> </w:t>
      </w:r>
      <w:r>
        <w:rPr>
          <w:i/>
          <w:iCs/>
        </w:rPr>
        <w:t>Source: as Table B37.</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Government (Labor)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Government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(site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ARPANSA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found; scored neutral by default)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 (ACTU, ETU)</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Investors in NEM renewables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Coalition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vendors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−10 − 10 − 8 + 0 − 6 + 0 − 6 − 3 + 4 + 0 + 2 = −37; Σ(power) = 36; −37 / 36 = </w:t>
      </w:r>
      <w:r>
        <w:rPr>
          <w:b/>
          <w:bCs/>
        </w:rPr>
        <w:t>−1.03</w:t>
      </w:r>
      <w:r>
        <w:rPr/>
        <w:t>. Four actors have high power and three are opposed. Scoring the Wonnarua people at −2 or +2 would move the Liddell result by −0.17 or +0.17 (3 × 2 / 36), which does not change its sign.</w:t>
      </w:r>
      <w:bookmarkEnd w:id="238"/>
    </w:p>
    <w:p>
      <w:pPr>
        <w:pStyle w:val="Heading5"/>
        <w:rPr/>
      </w:pPr>
      <w:bookmarkStart w:id="239" w:name="X896d2bfe54b9a94cdd26775c3af798143bf33da"/>
      <w:r>
        <w:rPr/>
        <w:t>B8.3 Social-licence routes for an SMR at Liddell</w:t>
      </w:r>
    </w:p>
    <w:p>
      <w:pPr>
        <w:pStyle w:val="FirstParagraph"/>
        <w:rPr/>
      </w:pPr>
      <w:r>
        <w:rPr/>
        <w:t>Four routes are scored 1–3 (3 best) on legitimacy (chance of durable consent), legal risk (low risk scores high), speed, public cost (low cost scores high) and fairness. Each weighted column doubles one criterion.</w:t>
      </w:r>
    </w:p>
    <w:p>
      <w:pPr>
        <w:pStyle w:val="BodyText"/>
        <w:rPr/>
      </w:pPr>
      <w:r>
        <w:rPr>
          <w:i/>
          <w:iCs/>
        </w:rPr>
        <w:t>Table B39. Route scores by criterion and totals.</w:t>
      </w:r>
      <w:r>
        <w:rPr/>
        <w:t xml:space="preserve"> </w:t>
      </w:r>
      <w:r>
        <w:rPr>
          <w:i/>
          <w:iCs/>
        </w:rPr>
        <w:t>Source: our judgement (</w:t>
      </w:r>
      <w:r>
        <w:rPr>
          <w:rStyle w:val="VerbatimChar"/>
          <w:i/>
          <w:iCs/>
        </w:rPr>
        <w:t>parameters_run6.yaml</w:t>
      </w:r>
      <w:r>
        <w:rPr>
          <w:i/>
          <w:iCs/>
        </w:rPr>
        <w:t xml:space="preserve">); totals by </w:t>
      </w:r>
      <w:r>
        <w:rPr>
          <w:rStyle w:val="VerbatimChar"/>
          <w:i/>
          <w:iCs/>
        </w:rPr>
        <w:t>social_licence.py</w:t>
      </w:r>
      <w:r>
        <w:rPr>
          <w:i/>
          <w:iCs/>
        </w:rPr>
        <w:t>; route models from Newcastle Herald (2024b), NWMO (2024a; 2024c) and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719"/>
        <w:gridCol w:w="720"/>
        <w:gridCol w:w="720"/>
        <w:gridCol w:w="720"/>
        <w:gridCol w:w="720"/>
        <w:gridCol w:w="721"/>
        <w:gridCol w:w="720"/>
        <w:gridCol w:w="720"/>
        <w:gridCol w:w="720"/>
        <w:gridCol w:w="720"/>
        <w:gridCol w:w="719"/>
      </w:tblGrid>
      <w:tr>
        <w:trPr>
          <w:tblHeader w:val="true"/>
        </w:trPr>
        <w:tc>
          <w:tcPr>
            <w:tcW w:w="7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w:t>
            </w:r>
          </w:p>
        </w:tc>
        <w:tc>
          <w:tcPr>
            <w:tcW w:w="7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 ×2</w:t>
            </w:r>
          </w:p>
        </w:tc>
        <w:tc>
          <w:tcPr>
            <w:tcW w:w="7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 ×2</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R1. Commonwealth-led siting</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R2. Volunteer host plus willingness test (NWMO model)</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R3. R2 plus First Nations equity and loan guarantee</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r>
      <w:tr>
        <w:trPr/>
        <w:tc>
          <w:tcPr>
            <w:tcW w:w="7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R4. No SMR: firmed renewables</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7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r>
    </w:tbl>
    <w:p>
      <w:pPr>
        <w:pStyle w:val="BodyText"/>
        <w:rPr/>
      </w:pPr>
      <w:bookmarkStart w:id="240" w:name="X896d2bfe54b9a94cdd26775c3af798143bf33da"/>
      <w:r>
        <w:rPr/>
        <w:t>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bookmarkEnd w:id="240"/>
    </w:p>
    <w:p>
      <w:pPr>
        <w:pStyle w:val="Heading5"/>
        <w:rPr/>
      </w:pPr>
      <w:bookmarkStart w:id="241" w:name="X7094c050e1e3614f8863513705ad571ff5d7276"/>
      <w:r>
        <w:rPr/>
        <w:t>B8.4 Who finances the Darlington New Nuclear Project</w:t>
      </w:r>
    </w:p>
    <w:p>
      <w:pPr>
        <w:pStyle w:val="FirstParagraph"/>
        <w:rPr/>
      </w:pPr>
      <w:r>
        <w:rPr>
          <w:i/>
          <w:iCs/>
        </w:rPr>
        <w:t>Table B40. Shares of the C$20.9 bn budget.</w:t>
      </w:r>
      <w:r>
        <w:rPr/>
        <w:t xml:space="preserve"> </w:t>
      </w:r>
      <w:r>
        <w:rPr>
          <w:i/>
          <w:iCs/>
        </w:rPr>
        <w:t xml:space="preserve">Source: </w:t>
      </w:r>
      <w:r>
        <w:rPr>
          <w:rStyle w:val="VerbatimChar"/>
          <w:i/>
          <w:iCs/>
        </w:rPr>
        <w:t>results/social_licence.md</w:t>
      </w:r>
      <w:r>
        <w:rPr>
          <w:i/>
          <w:iCs/>
        </w:rPr>
        <w:t xml:space="preserve"> section 4, from Government of Ontario (2025), Canada Growth Fund and Building Ontario Fund (2025), Canada Infrastructure Bank (2022),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Financier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 bn</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C$20.9 bn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Growth Fund equity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Building Ontario Fund equity (Ontario)</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phase 1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loan converting to equity</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Remainder: OPG’s balance sheet, recovered through Ontario Energy Board rates</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77.7%</w:t>
            </w:r>
          </w:p>
        </w:tc>
      </w:tr>
    </w:tbl>
    <w:p>
      <w:pPr>
        <w:pStyle w:val="BodyText"/>
        <w:rPr/>
      </w:pPr>
      <w:r>
        <w:rPr/>
        <w:t>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rPr/>
      </w:pPr>
      <w:r>
        <w:rPr>
          <w:b/>
          <w:bCs/>
        </w:rPr>
        <w:t>Limits.</w:t>
      </w:r>
      <w:r>
        <w:rPr/>
        <w:t xml:space="preserve"> 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pPr>
        <w:pStyle w:val="normal1"/>
        <w:rPr/>
      </w:pPr>
      <w:bookmarkStart w:id="242" w:name="X7e33b522909f8daae3037d2691d3cd94d9b7c55"/>
      <w:bookmarkStart w:id="243" w:name="Xf511f31261708a0052acbe2a7ca6790c4cfa87f"/>
      <w:bookmarkStart w:id="244" w:name="X7094c050e1e3614f8863513705ad571ff5d7276"/>
      <w:r>
        <w:rPr/>
        <mc:AlternateContent>
          <mc:Choice Requires="wps">
            <w:drawing>
              <wp:inline distT="0" distB="0" distL="0" distR="0">
                <wp:extent cx="57315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bookmarkEnd w:id="243"/>
      <w:bookmarkEnd w:id="244"/>
    </w:p>
    <w:p>
      <w:pPr>
        <w:pStyle w:val="Heading2"/>
        <w:rPr/>
      </w:pPr>
      <w:bookmarkStart w:id="245" w:name="__RefHeading___Toc26483_3211584216"/>
      <w:bookmarkStart w:id="246" w:name="X2538f2b2fc20c8063ffc88885f2cb513202a3b3"/>
      <w:bookmarkEnd w:id="245"/>
      <w:r>
        <w:rPr/>
        <w:t>Appendix C. Sensitivity: tornado and Monte Carlo set-up and results</w:t>
      </w:r>
    </w:p>
    <w:p>
      <w:pPr>
        <w:pStyle w:val="FirstParagraph"/>
        <w:rPr/>
      </w:pPr>
      <w:r>
        <w:rPr/>
        <w:t xml:space="preserve">This appendix shows how uncertain the Section 3.2 results are and which inputs drive them. </w:t>
      </w:r>
      <w:r>
        <w:rPr>
          <w:b/>
          <w:bCs/>
        </w:rPr>
        <w:t>The life-cycle intensity is uncertain mainly through the fuel inputs (conversion heat, mining, back end, burnup, enrichment); C1’s saving is uncertain mainly through the eligible share, the LC³ cut and the plant concrete volume.</w:t>
      </w:r>
      <w:r>
        <w:rPr/>
        <w:t xml:space="preserve"> All ranges come from </w:t>
      </w:r>
      <w:r>
        <w:rPr>
          <w:rStyle w:val="VerbatimChar"/>
        </w:rPr>
        <w:t>parameters_lca.yaml</w:t>
      </w:r>
      <w:r>
        <w:rPr/>
        <w:t>. The Ostrołęka and Pillai tables could not be opened and other inputs are as reported by secondary sources, assumptions or placeholders, so the intervals describe the uncertainty in our inputs as found, not in verified data.</w:t>
      </w:r>
    </w:p>
    <w:p>
      <w:pPr>
        <w:pStyle w:val="Heading4"/>
        <w:rPr/>
      </w:pPr>
      <w:bookmarkStart w:id="247" w:name="c1.-set-up"/>
      <w:r>
        <w:rPr/>
        <w:t>C1. Set-up</w:t>
      </w:r>
    </w:p>
    <w:p>
      <w:pPr>
        <w:pStyle w:val="Compact"/>
        <w:numPr>
          <w:ilvl w:val="0"/>
          <w:numId w:val="84"/>
        </w:numPr>
        <w:rPr/>
      </w:pPr>
      <w:r>
        <w:rPr>
          <w:b/>
          <w:bCs/>
        </w:rPr>
        <w:t>Tornado (one at a time).</w:t>
      </w:r>
      <w:r>
        <w:rPr/>
        <w:t xml:space="preserve"> Each of the 45 ranged inputs is set to its low and then its high value, with every other input at its central value. Outputs: life-cycle g CO₂e/kWh and C1’s saving (t CO₂e per unit, at 40% eligibility).</w:t>
      </w:r>
    </w:p>
    <w:p>
      <w:pPr>
        <w:pStyle w:val="Compact"/>
        <w:numPr>
          <w:ilvl w:val="0"/>
          <w:numId w:val="85"/>
        </w:numPr>
        <w:rPr/>
      </w:pPr>
      <w:r>
        <w:rPr>
          <w:b/>
          <w:bCs/>
        </w:rPr>
        <w:t>Monte Carlo.</w:t>
      </w:r>
      <w:r>
        <w:rPr/>
        <w:t xml:space="preserve"> N = 20,000 draws; seed 20261021; generator </w:t>
      </w:r>
      <w:r>
        <w:rPr>
          <w:rStyle w:val="VerbatimChar"/>
        </w:rPr>
        <w:t>numpy.random.default_rng</w:t>
      </w:r>
      <w:r>
        <w:rPr/>
        <w:t xml:space="preserve">. All 45 inputs are drawn </w:t>
      </w:r>
      <w:r>
        <w:rPr>
          <w:b/>
          <w:bCs/>
        </w:rPr>
        <w:t>independently</w:t>
      </w:r>
      <w:r>
        <w:rPr/>
        <w:t>: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pStyle w:val="Compact"/>
        <w:numPr>
          <w:ilvl w:val="0"/>
          <w:numId w:val="86"/>
        </w:numPr>
        <w:rPr/>
      </w:pPr>
      <w:r>
        <w:rPr>
          <w:b/>
          <w:bCs/>
        </w:rPr>
        <w:t>C1 in the draws.</w:t>
      </w:r>
      <w:r>
        <w:rPr/>
        <w:t xml:space="preserve"> Eligibility is drawn (triangular 0.2/0.4/0.6) in the headline saving; the 20/40/60% scenarios hold it fixed while everything else varies. Each draw’s saving is divided by the same draw’s life-cycle total.</w:t>
      </w:r>
    </w:p>
    <w:p>
      <w:pPr>
        <w:pStyle w:val="Compact"/>
        <w:numPr>
          <w:ilvl w:val="0"/>
          <w:numId w:val="87"/>
        </w:numPr>
        <w:rPr/>
      </w:pPr>
      <w:r>
        <w:rPr>
          <w:b/>
          <w:bCs/>
        </w:rPr>
        <w:t>Cross-check rule.</w:t>
      </w:r>
      <w:r>
        <w:rPr/>
        <w:t xml:space="preserve"> If a bottom-up draw’s whole-plant concrete falls below the cross-check C1 volume, the plant volume is set equal to it: 696 of 20,000 draws (3.5%). The main case never clips.</w:t>
      </w:r>
    </w:p>
    <w:p>
      <w:pPr>
        <w:pStyle w:val="Compact"/>
        <w:numPr>
          <w:ilvl w:val="0"/>
          <w:numId w:val="88"/>
        </w:numPr>
        <w:rPr/>
      </w:pPr>
      <w:r>
        <w:rPr>
          <w:b/>
          <w:bCs/>
        </w:rPr>
        <w:t>Outputs.</w:t>
      </w:r>
      <w:r>
        <w:rPr/>
        <w:t xml:space="preserve"> 5th, 50th and 95th percentiles and the mean. Stage means are additive, so they sum to the expected total.</w:t>
      </w:r>
    </w:p>
    <w:p>
      <w:pPr>
        <w:pStyle w:val="Compact"/>
        <w:numPr>
          <w:ilvl w:val="0"/>
          <w:numId w:val="89"/>
        </w:numPr>
        <w:rPr/>
      </w:pPr>
      <w:r>
        <w:rPr>
          <w:b/>
          <w:bCs/>
        </w:rPr>
        <w:t>Reproduce:</w:t>
      </w:r>
      <w:r>
        <w:rPr/>
        <w:t xml:space="preserve"> </w:t>
      </w:r>
      <w:r>
        <w:rPr>
          <w:rStyle w:val="VerbatimChar"/>
        </w:rPr>
        <w:t>python3 -I 03_LCA_Calculations/scripts/lca_uncertainty.py</w:t>
      </w:r>
      <w:r>
        <w:rPr/>
        <w:t>.</w:t>
      </w:r>
      <w:bookmarkEnd w:id="247"/>
    </w:p>
    <w:p>
      <w:pPr>
        <w:pStyle w:val="Heading4"/>
        <w:rPr/>
      </w:pPr>
      <w:bookmarkStart w:id="248" w:name="c2.-ranged-inputs-and-tornado-results"/>
      <w:r>
        <w:rPr/>
        <w:t>C2. Ranged inputs and tornado results</w:t>
      </w:r>
    </w:p>
    <w:p>
      <w:pPr>
        <w:pStyle w:val="FirstParagraph"/>
        <w:rPr/>
      </w:pPr>
      <w:r>
        <w:rPr>
          <w:b/>
          <w:bCs/>
        </w:rPr>
        <w:t>Result.</w:t>
      </w:r>
      <w:r>
        <w:rPr/>
        <w:t xml:space="preserve"> Five fuel-cycle inputs each move the life-cycle total by more than 0.6 g/kWh. No concrete input moves it by more than 0.06 g/kWh; plant steel moves it by 0.11 and the construction uplift by 0.34.</w:t>
      </w:r>
    </w:p>
    <w:p>
      <w:pPr>
        <w:pStyle w:val="BodyText"/>
        <w:rPr/>
      </w:pPr>
      <w:r>
        <w:rPr>
          <w:i/>
          <w:iCs/>
        </w:rPr>
        <w:t>Table C2. The 29 ranged inputs that affect the main case, their basis and tornado results (ranked by swing in life-cycle intensity; the other 16 are listed below).</w:t>
      </w:r>
      <w:r>
        <w:rPr/>
        <w:t xml:space="preserve"> </w:t>
      </w:r>
      <w:r>
        <w:rPr>
          <w:i/>
          <w:iCs/>
        </w:rPr>
        <w:t xml:space="preserve">Source: </w:t>
      </w:r>
      <w:r>
        <w:rPr>
          <w:rStyle w:val="VerbatimChar"/>
          <w:i/>
          <w:iCs/>
        </w:rPr>
        <w:t>parameters_lca.yaml</w:t>
      </w:r>
      <w:r>
        <w:rPr>
          <w:i/>
          <w:iCs/>
        </w:rPr>
        <w:t xml:space="preserve">; </w:t>
      </w:r>
      <w:r>
        <w:rPr>
          <w:rStyle w:val="VerbatimChar"/>
          <w:i/>
          <w:iCs/>
        </w:rPr>
        <w:t>results/lca_tornado.csv</w:t>
      </w:r>
      <w:r>
        <w:rPr>
          <w:i/>
          <w:iCs/>
        </w:rPr>
        <w:t>. P = placeholder, A = assumption; other rows are as reported by the source named. Distribution triangular unless stated. “—” = no effect on C1’s saving (2,200 t at 40% eligibility). Low, central and high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Low / central / high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Life-cycle g/kWh at low → high (swing)</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saving t at low → high</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 26 / 665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5.533 (2.669)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(kg CO₂e/kg U₃O₈)</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 / 42 / 81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2.425 → 3.815 (1.390)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0.28 / 0.56 / 1.11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2.584 → 3.414 (0.830)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(GWd/t)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45 / 55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3.281 → 2.599 (0.682)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 / 3.8 / 4.95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low A;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2.694 → 3.357 (0.663)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 / 0.33 / 0.67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2.704 → 3.204 (0.500)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2.629 → 3.056 (0.427)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construction uplift (fraction)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0.25 / 0.5 / 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2.797 → 3.135 (0.338)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energy (kWh/SWU)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50 / 100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2.810 → 3.136 (0.326)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 (years)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60 / 80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Canadian Nuclear Safety Commission (2024); bounds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3.067 → 2.763 (0.304)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0.11 / 0.33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2.814 → 3.084 (0.270)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Tails assay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0.25 / 0.30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2.800 → 2.960 (0.160)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steel per unit (t)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11,200 / 14,000 / 16,800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2.812 → 2.917 (0.105)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(MWe), uniform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 300 / 315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2.775 (0.089)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 / 1.73 / 2.50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high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2.829 → 2.917 (0.088)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factor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 / 0.97 / 1.99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American Institute of Steel Construction (2022); Circular Ecology (2019)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2.945 (0.087)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Conversion-plant grid, Ontario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 / 0.0738 / 0.343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Canada Energy Regulator (n.d.)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2.855 → 2.930 (0.075)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 0.90 / 0.95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2.915 → 2.843 (0.072)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ratio (t/m³)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 0.15 / 0.25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(high = forebay)</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2.884 → 2.824 (0.060)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per unit (m³)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40,000 / 50,000 / 60,000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2.836 → 2.893 (0.057)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1,760 → 2,640</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OPC concrete factor (kg CO₂e/m³)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 / 380 / 420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2.838 → 2.885 (0.048)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1,911 → 2,432</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2.848 → 2.890 (0.042)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 500 / 1,500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2.879 (0.021)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 energy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 36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2.878 (0.014)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 / 11.8 / 16.9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2.862 → 2.872 (0.010)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Truck factor (kg CO₂e/t-km)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0.10 / 0.15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2.861 → 2.869 (0.008)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 15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2.863 → 2.869 (0.006)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in concrete emissions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0.22 / 0.289 / 0.39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1,672 → 2,964</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of plant concrete</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0.4 / 0.6</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non-safety works first</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 3,300</w:t>
            </w:r>
          </w:p>
        </w:tc>
      </w:tr>
    </w:tbl>
    <w:p>
      <w:pPr>
        <w:pStyle w:val="BodyText"/>
        <w:rPr/>
      </w:pPr>
      <w:bookmarkStart w:id="249" w:name="c2.-ranged-inputs-and-tornado-results"/>
      <w:r>
        <w:rPr/>
        <w:t>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bookmarkEnd w:id="249"/>
    </w:p>
    <w:p>
      <w:pPr>
        <w:pStyle w:val="Heading4"/>
        <w:rPr/>
      </w:pPr>
      <w:bookmarkStart w:id="250" w:name="X8f754cc28aabff45bd5ffa0c19e17af6b52329b"/>
      <w:r>
        <w:rPr/>
        <w:t>C3. What the tornado shows, and where the emissions arise</w:t>
      </w:r>
    </w:p>
    <w:p>
      <w:pPr>
        <w:pStyle w:val="FirstParagraph"/>
        <w:rPr/>
      </w:pPr>
      <w:r>
        <w:rPr>
          <w:b/>
          <w:bCs/>
        </w:rPr>
        <w:t>Life-cycle intensity (Figure F3, left).</w:t>
      </w:r>
      <w:r>
        <w:rPr/>
        <w:t xml:space="preserve"> The ranking is dominated by the fuel chain. Conversion heat alone could double the result, because the published heat demand spans a factor of 25 (26–665 kWh/kg U). The mining factor ranks second because ore grade varies widely between Saskatchewan mines. Higher burnup </w:t>
      </w:r>
      <w:r>
        <w:rPr>
          <w:i/>
          <w:iCs/>
        </w:rPr>
        <w:t>lowers</w:t>
      </w:r>
      <w:r>
        <w:rPr/>
        <w:t xml:space="preserve"> the result (less uranium per MWh) and higher enrichment raises it (more separative work). Of the construction inputs, only the uplift (0.34) and plant steel (0.11) exceed 0.1 g/kWh.</w:t>
      </w:r>
    </w:p>
    <w:p>
      <w:pPr>
        <w:pStyle w:val="BodyText"/>
        <w:rPr/>
      </w:pPr>
      <w:r>
        <w:rPr>
          <w:b/>
          <w:bCs/>
        </w:rPr>
        <w:t>C1’s saving (Figure F3, right).</w:t>
      </w:r>
      <w:r>
        <w:rPr/>
        <w:t xml:space="preserve"> 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rPr/>
      </w:pPr>
      <w:r>
        <w:rPr>
          <w:i/>
          <w:iCs/>
        </w:rPr>
        <w:t>Table C3. Expected life-cycle emissions by stage (Monte Carlo mean) against the mode case.</w:t>
      </w:r>
      <w:r>
        <w:rPr/>
        <w:t xml:space="preserve"> </w:t>
      </w:r>
      <w:r>
        <w:rPr>
          <w:i/>
          <w:iCs/>
        </w:rPr>
        <w:t xml:space="preserve">Source: </w:t>
      </w:r>
      <w:r>
        <w:rPr>
          <w:rStyle w:val="VerbatimChar"/>
          <w:i/>
          <w:iCs/>
        </w:rPr>
        <w:t>results/lca_uncertainty.md</w:t>
      </w:r>
      <w:r>
        <w:rPr>
          <w:i/>
          <w:iCs/>
        </w:rPr>
        <w:t>; last column is our subtraction (mean − mode).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mean</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 mode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0.390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+0.060</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0.634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+0.003</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4.487</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r>
    </w:tbl>
    <w:p>
      <w:pPr>
        <w:pStyle w:val="BodyText"/>
        <w:rPr/>
      </w:pPr>
      <w:bookmarkStart w:id="251" w:name="X8f754cc28aabff45bd5ffa0c19e17af6b52329b"/>
      <w:r>
        <w:rPr/>
        <w:t>Grouped (expected basis): fuel front end 61.6%, back end and decommissioning 18.2%, O&amp;M 8.7%, construction 11.5% (0.515 / 4.487). Mode-case shares are 50.9, 23.4, 11.5 and 14.2%. Construction’s share has a Monte Carlo median of 11.5% (P5–P95 7.2–17.8%). All concrete is 3.0–4.7% of the total.</w:t>
      </w:r>
      <w:bookmarkEnd w:id="251"/>
    </w:p>
    <w:p>
      <w:pPr>
        <w:pStyle w:val="Heading4"/>
        <w:rPr/>
      </w:pPr>
      <w:r>
        <w:rPr/>
        <w:t>C4. Monte Carlo results</w:t>
      </w:r>
    </w:p>
    <w:p>
      <w:pPr>
        <w:pStyle w:val="FirstParagraph"/>
        <w:rPr/>
      </w:pPr>
      <w:r>
        <w:rPr>
          <w:b/>
          <w:bCs/>
        </w:rPr>
        <w:t>Result.</w:t>
      </w:r>
      <w:r>
        <w:rPr/>
        <w:t xml:space="preserve"> Life-cycle intensity: </w:t>
      </w:r>
      <w:r>
        <w:rPr>
          <w:b/>
          <w:bCs/>
        </w:rPr>
        <w:t>median 4.40, 90% interval 3.24–6.05 g CO₂e/kWh</w:t>
      </w:r>
      <w:r>
        <w:rPr/>
        <w:t xml:space="preserve">. C1’s saving at central eligibility: </w:t>
      </w:r>
      <w:r>
        <w:rPr>
          <w:b/>
          <w:bCs/>
        </w:rPr>
        <w:t>median 2,217 t per unit (1,375–3,294)</w:t>
      </w:r>
      <w:r>
        <w:rPr/>
        <w:t xml:space="preserve"> and </w:t>
      </w:r>
      <w:r>
        <w:rPr>
          <w:b/>
          <w:bCs/>
        </w:rPr>
        <w:t>6,651 t for Units 2–4 (4,124–9,881)</w:t>
      </w:r>
      <w:r>
        <w:rPr/>
        <w:t xml:space="preserve">. LC³ saves more than slag in </w:t>
      </w:r>
      <w:r>
        <w:rPr>
          <w:b/>
          <w:bCs/>
        </w:rPr>
        <w:t>55%</w:t>
      </w:r>
      <w:r>
        <w:rPr/>
        <w:t xml:space="preserve"> of draws.</w:t>
      </w:r>
    </w:p>
    <w:p>
      <w:pPr>
        <w:pStyle w:val="BodyText"/>
        <w:rPr/>
      </w:pPr>
      <w:r>
        <w:rPr>
          <w:i/>
          <w:iCs/>
        </w:rPr>
        <w:t>Table C4a. Monte Carlo outputs (20,000 draws, seed 20261021).</w:t>
      </w:r>
      <w:r>
        <w:rPr/>
        <w:t xml:space="preserve"> </w:t>
      </w:r>
      <w:r>
        <w:rPr>
          <w:i/>
          <w:iCs/>
        </w:rPr>
        <w:t xml:space="preserve">Source: </w:t>
      </w:r>
      <w:r>
        <w:rPr>
          <w:rStyle w:val="VerbatimChar"/>
          <w:i/>
          <w:iCs/>
        </w:rPr>
        <w:t>results/lca_uncertainty.md</w:t>
      </w:r>
      <w:r>
        <w:rPr>
          <w:i/>
          <w:iCs/>
        </w:rPr>
        <w:t xml:space="preserve">, </w:t>
      </w:r>
      <w:r>
        <w:rPr>
          <w:rStyle w:val="VerbatimChar"/>
          <w:i/>
          <w:iCs/>
        </w:rPr>
        <w:t>lca_montecarlo_summary.csv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intensity (g CO₂e/kWh)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front end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of which mining and milling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0.736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share of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17.78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43,224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56,772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19,879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LC³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2,259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 CO₂e)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as share of the unit’s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0.373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saving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minus slag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588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766</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life-cycle intensity (g/kWh)</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2.701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3.050</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4.199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5.863</w:t>
            </w:r>
          </w:p>
        </w:tc>
      </w:tr>
    </w:tbl>
    <w:p>
      <w:pPr>
        <w:pStyle w:val="BodyText"/>
        <w:rPr/>
      </w:pPr>
      <w:r>
        <w:rPr/>
        <w:t>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rPr/>
      </w:pPr>
      <w:r>
        <w:rPr>
          <w:i/>
          <w:iCs/>
        </w:rPr>
        <w:t>Table C4b. Scenario savings and life-cycle shares on the Monte Carlo basis (the basis of Table T5 in Section 3.2.3 and Table A7b).</w:t>
      </w:r>
      <w:r>
        <w:rPr/>
        <w:t xml:space="preserve"> </w:t>
      </w:r>
      <w:r>
        <w:rPr>
          <w:i/>
          <w:iCs/>
        </w:rPr>
        <w:t xml:space="preserve">Source: </w:t>
      </w:r>
      <w:r>
        <w:rPr>
          <w:rStyle w:val="VerbatimChar"/>
          <w:i/>
          <w:iCs/>
        </w:rPr>
        <w:t>results/lca_uncertainty.md</w:t>
      </w:r>
      <w:r>
        <w:rPr>
          <w:i/>
          <w:iCs/>
        </w:rPr>
        <w:t>. Each draw’s saving is divided by the same draw’s S0 life-cycle total. S3 rows are steel sensitivities, not part of C1; S3 world-average is negative (adds emissions).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per unit: median (5th–95th)</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 median (5th–95th)</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Mode-case share, %</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LC³ on 40% (eligibility drawn)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2,217 (1,375–3,294)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S1 slag blend on the same 40% (fallback)</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2,140 (1,310–3,238)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0.343 (0.185–0.602)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LC³ in infill and forebay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1,750 (1,389–2,152)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0.293 (0.187–0.458)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elsewhere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0.886 (0.566–1.357)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1.386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0.149 (0.062–0.283)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1.025 (0.382–2.041)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1.559 (−2.700 to −0.717)</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3.114</w:t>
            </w:r>
            <w:bookmarkStart w:id="252" w:name="c4.-monte-carlo-results"/>
            <w:bookmarkEnd w:id="252"/>
          </w:p>
        </w:tc>
      </w:tr>
    </w:tbl>
    <w:p>
      <w:pPr>
        <w:pStyle w:val="Heading4"/>
        <w:rPr/>
      </w:pPr>
      <w:r>
        <w:rPr/>
        <w:t>C5. Why the median (4.40) sits above the mode case (2.86)</w:t>
      </w:r>
    </w:p>
    <w:p>
      <w:pPr>
        <w:pStyle w:val="FirstParagraph"/>
        <w:rPr/>
      </w:pPr>
      <w:r>
        <w:rPr>
          <w:b/>
          <w:bCs/>
        </w:rPr>
        <w:t>Result.</w:t>
      </w:r>
      <w:r>
        <w:rPr/>
        <w:t xml:space="preserve"> The gap is real information, not an error: the inputs we know least about have long upper tails, so they can mostly push the result up.</w:t>
      </w:r>
    </w:p>
    <w:p>
      <w:pPr>
        <w:pStyle w:val="Compact"/>
        <w:numPr>
          <w:ilvl w:val="0"/>
          <w:numId w:val="90"/>
        </w:numPr>
        <w:rPr/>
      </w:pPr>
      <w:r>
        <w:rPr/>
        <w:t>A triangular distribution’s mean is (low + mode + high) / 3. For conversion heat that is (26 + 26 + 665) / 3 ≈ 239 kWh/kg U, nine times the mode of 26.</w:t>
      </w:r>
    </w:p>
    <w:p>
      <w:pPr>
        <w:pStyle w:val="Compact"/>
        <w:numPr>
          <w:ilvl w:val="0"/>
          <w:numId w:val="91"/>
        </w:numPr>
        <w:rPr/>
      </w:pPr>
      <w:r>
        <w:rPr/>
        <w:t>Conversion therefore contributes +0.98 of the +1.62 g/kWh gap (Table C3). Mining (+0.24), the back end (+0.09), enrichment (+0.08), the construction uplift (+0.09), O&amp;M (+0.06) and decommissioning (+0.06) add most of the rest.</w:t>
      </w:r>
    </w:p>
    <w:p>
      <w:pPr>
        <w:pStyle w:val="Compact"/>
        <w:numPr>
          <w:ilvl w:val="0"/>
          <w:numId w:val="92"/>
        </w:numPr>
        <w:rPr/>
      </w:pPr>
      <w:r>
        <w:rPr/>
        <w:t>C1’s saving is almost symmetric (mode 2,200 t, median 2,217 t), so its share of the total falls from 0.54% at the mode case to 0.36%.</w:t>
      </w:r>
    </w:p>
    <w:p>
      <w:pPr>
        <w:pStyle w:val="Compact"/>
        <w:numPr>
          <w:ilvl w:val="0"/>
          <w:numId w:val="93"/>
        </w:numPr>
        <w:rPr/>
      </w:pPr>
      <w:r>
        <w:rPr/>
        <w:t>We quote the median as the result and the mode case only as “every input at its most likely value”. A measured conversion value would collapse most of the gap.</w:t>
      </w:r>
    </w:p>
    <w:p>
      <w:pPr>
        <w:pStyle w:val="Compact"/>
        <w:numPr>
          <w:ilvl w:val="0"/>
          <w:numId w:val="94"/>
        </w:numPr>
        <w:rPr/>
      </w:pPr>
      <w:r>
        <w:rP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 </w:t>
      </w:r>
      <w:r>
        <w:rPr>
          <w:b/>
          <w:bCs/>
        </w:rPr>
        <w:t>range of medians, 3.51–4.40 g CO₂e/kWh</w:t>
      </w:r>
      <w:r>
        <w:rPr/>
        <w:t>. Conversion heat accounts for about 0.9 g/kWh of the median (4.40 − 3.51) and decides how skewed the result is.</w:t>
      </w:r>
    </w:p>
    <w:p>
      <w:pPr>
        <w:pStyle w:val="FirstParagraph"/>
        <w:rPr/>
      </w:pPr>
      <w:r>
        <w:rPr>
          <w:i/>
          <w:iCs/>
        </w:rPr>
        <w:t>Table C5. Conversion-heat distribution test (life-cycle g CO₂e/kWh).</w:t>
      </w:r>
      <w:r>
        <w:rPr/>
        <w:t xml:space="preserve"> </w:t>
      </w:r>
      <w:r>
        <w:rPr>
          <w:i/>
          <w:iCs/>
        </w:rPr>
        <w:t xml:space="preserve">Source: </w:t>
      </w:r>
      <w:r>
        <w:rPr>
          <w:rStyle w:val="VerbatimChar"/>
          <w:i/>
          <w:iCs/>
        </w:rPr>
        <w:t>results/lca_uncertainty.md</w:t>
      </w:r>
      <w:r>
        <w:rPr>
          <w:i/>
          <w:iCs/>
        </w:rPr>
        <w:t>. C1’s share is the headline saving with eligibility drawn.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Conversion-heat distribution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heat (kWh/kg U)</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share, % median (P5–P95)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Triangular 26 / 26 / 665 (headline)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at 26 (Gibon and Hahn Menacho, 2023)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4.391</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0.446 (0.258–0.734)</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Log-uniform 26–665</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4.113</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6.116</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 (0.200–0.650)</w:t>
            </w:r>
          </w:p>
        </w:tc>
      </w:tr>
    </w:tbl>
    <w:p>
      <w:pPr>
        <w:pStyle w:val="Heading4"/>
        <w:rPr/>
      </w:pPr>
      <w:r>
        <w:rPr/>
        <w:t>C6. Limitations of the uncertainty analysis</w:t>
      </w:r>
    </w:p>
    <w:p>
      <w:pPr>
        <w:pStyle w:val="Compact"/>
        <w:numPr>
          <w:ilvl w:val="0"/>
          <w:numId w:val="95"/>
        </w:numPr>
        <w:rPr/>
      </w:pPr>
      <w:r>
        <w:rPr>
          <w:b/>
          <w:bCs/>
        </w:rPr>
        <w:t>Independence.</w:t>
      </w:r>
      <w:r>
        <w:rPr/>
        <w:t xml:space="preserve"> Inputs are drawn independently. Concrete and steel quantities are probably positively correlated, and enrichment and burnup are linked in practice; the effect on the total is small because construction is about 11.5%.</w:t>
      </w:r>
    </w:p>
    <w:p>
      <w:pPr>
        <w:pStyle w:val="Compact"/>
        <w:numPr>
          <w:ilvl w:val="0"/>
          <w:numId w:val="96"/>
        </w:numPr>
        <w:rPr/>
      </w:pPr>
      <w:r>
        <w:rPr>
          <w:b/>
          <w:bCs/>
        </w:rPr>
        <w:t>Ranges partly judgement.</w:t>
      </w:r>
      <w:r>
        <w:rPr/>
        <w:t xml:space="preserve"> The ±20% on the Ostrołęka quantities, the eligible share, the LC³ cut range and the ×0.5 to ×2 transfer ranges on the EDF stages are assumptions, not data.</w:t>
      </w:r>
    </w:p>
    <w:p>
      <w:pPr>
        <w:pStyle w:val="Compact"/>
        <w:numPr>
          <w:ilvl w:val="0"/>
          <w:numId w:val="97"/>
        </w:numPr>
        <w:rPr/>
      </w:pPr>
      <w:r>
        <w:rPr>
          <w:b/>
          <w:bCs/>
        </w:rPr>
        <w:t>Triangular shape.</w:t>
      </w:r>
      <w:r>
        <w:rPr/>
        <w:t xml:space="preserve"> A convention, not a fitted distribution; Table C5 tests it for conversion heat only.</w:t>
      </w:r>
    </w:p>
    <w:p>
      <w:pPr>
        <w:pStyle w:val="Compact"/>
        <w:numPr>
          <w:ilvl w:val="0"/>
          <w:numId w:val="98"/>
        </w:numPr>
        <w:rPr/>
      </w:pPr>
      <w:r>
        <w:rPr>
          <w:b/>
          <w:bCs/>
        </w:rPr>
        <w:t>Inputs as found.</w:t>
      </w:r>
      <w:r>
        <w:rPr/>
        <w:t xml:space="preserve"> The Ostrołęka and Pillai tables were not opened. The intervals will move when they are.</w:t>
      </w:r>
    </w:p>
    <w:p>
      <w:pPr>
        <w:pStyle w:val="Compact"/>
        <w:numPr>
          <w:ilvl w:val="0"/>
          <w:numId w:val="99"/>
        </w:numPr>
        <w:rPr/>
      </w:pPr>
      <w:r>
        <w:rPr>
          <w:b/>
          <w:bCs/>
        </w:rPr>
        <w:t>Model structure not varied.</w:t>
      </w:r>
      <w:r>
        <w:rPr/>
        <w:t xml:space="preserve"> The boundary (process-based stages plus three stages transferred as per-kWh values) and the cut-offs (Section 3.2.1) are not sampled; they bias the result low (C7).</w:t>
      </w:r>
    </w:p>
    <w:p>
      <w:pPr>
        <w:pStyle w:val="Heading4"/>
        <w:rPr/>
      </w:pPr>
      <w:bookmarkStart w:id="253" w:name="X35b5ee5f237d4555b3db06902854d0e23ac87dc"/>
      <w:r>
        <w:rPr/>
        <w:t>C7. Why our result differs from the benchmarks</w:t>
      </w:r>
    </w:p>
    <w:p>
      <w:pPr>
        <w:pStyle w:val="FirstParagraph"/>
        <w:rPr/>
      </w:pPr>
      <w:r>
        <w:rPr>
          <w:b/>
          <w:bCs/>
        </w:rPr>
        <w:t>Result.</w:t>
      </w:r>
      <w:r>
        <w:rPr/>
        <w:t xml:space="preserve"> Our median is below UNECE’s range but our 90% interval overlaps it; the main reasons are ore grade, enrichment technology and cut-offs.</w:t>
      </w:r>
    </w:p>
    <w:p>
      <w:pPr>
        <w:pStyle w:val="BodyText"/>
        <w:rPr/>
      </w:pPr>
      <w:r>
        <w:rPr>
          <w:i/>
          <w:iCs/>
        </w:rPr>
        <w:t>Table C7a. Published life-cycle values against ours (g CO₂e/kWh).</w:t>
      </w:r>
      <w:r>
        <w:rPr/>
        <w:t xml:space="preserve"> </w:t>
      </w:r>
      <w:r>
        <w:rPr>
          <w:i/>
          <w:iCs/>
        </w:rPr>
        <w:t>Source: this study; references as listed. Benchmark values are as reported in the sources named and were not independently checked.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Ours against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This study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4.40 median (3.24–6.05); range of medians 3.51–4.40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 nuclear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below the range; our 90% interval overlaps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AR5 Annex III (Schlömer et al., 2014)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 12 / 110 (minimum / median / maximum, as commonly quoted)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Near the minimum, well below the median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Warner and Heath (2012), harmonised light-water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a third of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French fleet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(2.9–4.6)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Overlaps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 global 2020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Westinghouse SMR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9.1 (5.9–13.2)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gas combined cycle (United Nations Economic Commission for Europe, 2021)</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751–1,095; 403–513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170–250 and 90–120 times higher than ours</w:t>
            </w:r>
          </w:p>
        </w:tc>
      </w:tr>
    </w:tbl>
    <w:p>
      <w:pPr>
        <w:pStyle w:val="BodyText"/>
        <w:rPr/>
      </w:pPr>
      <w:r>
        <w:rPr>
          <w:i/>
          <w:iCs/>
        </w:rPr>
        <w:t>Table C7b. Why our result differs from the benchmarks: direction and size of each reason.</w:t>
      </w:r>
      <w:r>
        <w:rPr/>
        <w:t xml:space="preserve"> </w:t>
      </w:r>
      <w:r>
        <w:rPr>
          <w:i/>
          <w:iCs/>
        </w:rPr>
        <w:t>Source: this study (Appendices A and C), with the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Reason</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our 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Size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High-grade Canadian ore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mining is 1.0–1.3 g/kWh; at global-average grades Gibon and Hahn Menacho (2023) attribute 46% of 6.1, about 2.8 g/kWh, to it. This explains most of the gap to UNECE and Gibon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than older studies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kWh/SWU against about 2,500 for the diffusion plants in older study sets (Gibon and Hahn Menacho, 2023; Warner and Heath, 2012)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Energy-only fuel inventory (cut-offs)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quantified (chemicals, cladding, upstream gas, fuel-plant capital goods excluded)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 close to large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0.41 g/kWh at the mode case, 0.50 median (0.35–0.74), against about 0.59 for large reactors (16% of 3.7; EDF R&amp;D, 2024). The SMR scale penalty shows: 167 m³ of concrete per MWe against 69 for the ESBWR and 138 for the ABWR (Peterson, Zhao and Petroski, 2005)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 life and high capacity factor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At 40 years instead of 60, the mode case rises from 2.86 to 3.07 g/kWh</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and back end transferred from France (reprocessing)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Possibly higher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plans direct disposal; back-end range 0.28–1.11 g/kWh tested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rather than large reactor</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Small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give 9.1 for an SMR against 8.4 for the AP1000, mainly through the fuel cycle; our construction share is too small for scale effects to move the total much</w:t>
            </w:r>
          </w:p>
        </w:tc>
      </w:tr>
    </w:tbl>
    <w:p>
      <w:pPr>
        <w:pStyle w:val="BodyText"/>
        <w:rPr/>
      </w:pPr>
      <w:r>
        <w:rPr/>
        <w:t>The sources disagree mainly about the fuel front end (ore grade, enrichment technology and grid), not construction, and that is where our result departs from them. The known low bias would raise the total and make C1’s share smaller still, so it does not weaken Section 3.2.3.</w:t>
      </w:r>
    </w:p>
    <w:p>
      <w:pPr>
        <w:pStyle w:val="normal1"/>
        <w:rPr/>
      </w:pPr>
      <w:bookmarkStart w:id="254" w:name="X2538f2b2fc20c8063ffc88885f2cb513202a3b3"/>
      <w:bookmarkStart w:id="255" w:name="X35b5ee5f237d4555b3db06902854d0e23ac87dc"/>
      <w:r>
        <w:rPr/>
        <mc:AlternateContent>
          <mc:Choice Requires="wps">
            <w:drawing>
              <wp:inline distT="0" distB="0" distL="0" distR="0">
                <wp:extent cx="57315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p>
    <w:p>
      <w:pPr>
        <w:pStyle w:val="Heading2"/>
        <w:rPr/>
      </w:pPr>
      <w:bookmarkStart w:id="256" w:name="__RefHeading___Toc26485_3211584216"/>
      <w:bookmarkStart w:id="257" w:name="appendix-e.-search-log"/>
      <w:bookmarkEnd w:id="256"/>
      <w:r>
        <w:rPr/>
        <w:t>Appendix E. Search log</w:t>
      </w:r>
    </w:p>
    <w:p>
      <w:pPr>
        <w:pStyle w:val="Heading4"/>
        <w:rPr/>
      </w:pPr>
      <w:bookmarkStart w:id="258" w:name="e1.-method-and-access"/>
      <w:r>
        <w:rPr/>
        <w:t>E1. Method and access</w:t>
      </w:r>
    </w:p>
    <w:p>
      <w:pPr>
        <w:pStyle w:val="FirstParagraph"/>
        <w:rPr/>
      </w:pPr>
      <w:r>
        <w:rPr/>
        <w:t>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rPr/>
      </w:pPr>
      <w:r>
        <w:rPr/>
        <w:t xml:space="preserve">Google Patents (patents.google.com) </w:t>
      </w:r>
      <w:r>
        <w:rPr>
          <w:b/>
          <w:bCs/>
        </w:rPr>
        <w:t>could not be reached</w:t>
      </w:r>
      <w:r>
        <w:rPr/>
        <w:t xml:space="preserve"> from the research environment (DNS failure). Justia, Espacenet, Lens, PatentsView, USPTO Patent Public Search and Google Scholar also failed to connect. Google Patents result counts are therefore </w:t>
      </w:r>
      <w:r>
        <w:rPr>
          <w:b/>
          <w:bCs/>
        </w:rPr>
        <w:t>not available</w:t>
      </w:r>
      <w:r>
        <w:rPr/>
        <w:t>. Instead, each string was run through a general web search, which returns about 9–10 links per query. Patent records were identified from those links and their summaries. The “hits” column below counts the patent records found, not database hits. Assignees, dates and claims are as given in search summaries; the patent pages were not opened, so they are indicative only.</w:t>
      </w:r>
      <w:bookmarkEnd w:id="258"/>
    </w:p>
    <w:p>
      <w:pPr>
        <w:pStyle w:val="Heading4"/>
        <w:rPr/>
      </w:pPr>
      <w:bookmarkStart w:id="259" w:name="e2.-search-strings-and-results"/>
      <w:r>
        <w:rPr/>
        <w:t>E2. Search strings and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Area</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Search string (web search)</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Links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Patent records found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patent isolation condenser small modular boiling water reactor US patent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10,867,712 B2; US 12,308,130)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US10867712B2 isolation condenser systems … assignee GE-Hitachi inventors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(one family: US, WO, CA, JP, PL)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US12308130 simplified nuclear reactor isolation condenser integrally isolatable connections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12,308,130 B2; US 11,139,087; US 11,955,248)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patent “reactor building” below grade vertical shaft small modular reactor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2020/0208517 A1; US 11,842,821)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US20200208517 “Underground vertical shafts and nuclear reactors using the same”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family (EP 3906566), plus 2 older underground-reactor patents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steel-plate composite modular wall nuclear “steel plate composite” diaphragm plate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“steel-concrete composite” module nuclear plant construction Westinghouse OR GE-Hitachi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 plate concrete composite wall modules “diaphragm plates” flow holes nuclear GE Hitachi Purdue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limestone calcined clay cement LC3 Scrivener EPFL patent WO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patents.google.com “calcined clay” limestone cement composition patent kaolinite clinker replacement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(US 8,906,155 B2; US 2014/0000491; KR 10-2843101 B1; US 2023/0312412 A1; WO 2022/043349 A1)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US20230312412A1 limestone calcined clay cement construction composition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11,939,273 B2; US 2023/0202926 A1; US 2023/0036470 A1)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“increase of workability” binder … calcined clay limestone assignee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(EP 3925941 A1; EP 4168371; US 2025/0187980 A1)</w:t>
            </w:r>
          </w:p>
        </w:tc>
      </w:tr>
    </w:tbl>
    <w:p>
      <w:pPr>
        <w:pStyle w:val="BodyText"/>
        <w:rPr/>
      </w:pPr>
      <w:r>
        <w:rPr>
          <w:b/>
          <w:bCs/>
        </w:rPr>
        <w:t>Result for (ii).</w:t>
      </w:r>
      <w:r>
        <w:rPr/>
        <w:t xml:space="preserve"> 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 </w:t>
      </w:r>
      <w:r>
        <w:rPr>
          <w:b/>
          <w:bCs/>
        </w:rPr>
        <w:t>Gap: search Google Patents for “diaphragm plate” with assignee GE-Hitachi Nuclear Energy Americas when the host is reachable.</w:t>
      </w:r>
      <w:bookmarkEnd w:id="259"/>
    </w:p>
    <w:p>
      <w:pPr>
        <w:pStyle w:val="Heading4"/>
        <w:rPr/>
      </w:pPr>
      <w:bookmarkStart w:id="260" w:name="e3.-patents-kept"/>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Title</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 to this report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 (family WO 2019/005465 A1, CA 3067552 A1, JP 7234150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systems for nuclear reactor commercial electricity generation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Americas LLC</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2017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passive decay-heat system behind the BWRX-300’s 7-day no-power claim (Section 3.1.2)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condition controlled check valve permits coolant to flow from a reservoir to an isolation condenser chamber</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(search summary only); inventors named as Hunt, Dahlgren and Marquino</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Passive make-up of the condenser pool: how cooling extends beyond 7 days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 (EP 3906566)</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shafts and nuclear reactors using the same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inventors include Kirby and McDonald (GE-Hitachi staff)</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below-grade shaft reactor building and the basemat poured at the bottom of the shaft (Section 3.1.2; C1’s infill location)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Clinker substitute based on calcined clay</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 (as listed)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Reported to cover calcined clays of lower kaolinite content (below 40%), which would widen the clay supply for LC³ (Section 3.1.5)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using low-temperature calcined clay (title as listed by ZKG)</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Listed by ZKG as LC³ using low-temperature calcined clay; details not seen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 (US 2023/0312412 A1; WO 2022/043349 A1)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(LC3) construction composition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 GmbH</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Admixture-modified LC³ binder: an admixture supplier is patenting LC³ compositions (Section 3.8)</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(EP 3925941 A1)</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Method for the increase of workability of a binder composition comprising Portland cement, calcined clay, and limestone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 AG</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Directly addresses the main RB.7 barrier: LC³ workability for self-consolidating DP-SC infill (Section 3.8)</w:t>
            </w:r>
          </w:p>
        </w:tc>
      </w:tr>
    </w:tbl>
    <w:p>
      <w:pPr>
        <w:pStyle w:val="BodyText"/>
        <w:rPr/>
      </w:pPr>
      <w:r>
        <w:rPr/>
        <w:t>Seven patents are kept. Excluded: US 11,139,087 and US 11,955,248 (isolation condenser and feedwater control; assignee not seen), US 11,842,821 (title and date inconsistent between summaries), and US 2023/0036470 A1 and US 2025/0187980 A1 (not LC³-specific).</w:t>
      </w:r>
    </w:p>
    <w:p>
      <w:pPr>
        <w:pStyle w:val="BodyText"/>
        <w:rPr/>
      </w:pPr>
      <w:r>
        <w:rPr>
          <w:b/>
          <w:bCs/>
        </w:rPr>
        <w:t>What the patents show (R1.3).</w:t>
      </w:r>
      <w:r>
        <w:rPr/>
        <w:t xml:space="preserve"> The BWRX-300’s distinctive systems (isolation condensers, shaft construction) sit in GEH’s own patent families. LC³ itself, developed through EPFL’s public research programme, appears in no core composition patent in these results. The patenting is around it: clay processing (Outotec) and </w:t>
      </w:r>
      <w:r>
        <w:rPr>
          <w:b/>
          <w:bCs/>
        </w:rPr>
        <w:t>admixtures for workability</w:t>
      </w:r>
      <w:r>
        <w:rPr/>
        <w:t xml:space="preserve"> (Sika,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bookmarkEnd w:id="260"/>
    </w:p>
    <w:p>
      <w:pPr>
        <w:pStyle w:val="Heading4"/>
        <w:rPr/>
      </w:pPr>
      <w:bookmarkStart w:id="261" w:name="X6772717928f13429d4d4f50caaf7675f61535b4"/>
      <w:r>
        <w:rPr/>
        <w:t>E4. Literature searches (web-search substitute for Google Scholar)</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Topic</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String</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Kept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Radiation in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Le Pape 2015 radiation effects in concrete … Nuclear Engineering and Design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and Le Pape (2015)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 decommissioning Eu-152 Co-60 biological shield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Greifswald shield study (HZDR); a Belgian BR3 decommissioning study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Clearance and recycling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decommissioning concrete clearance recycling percentage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Thierfeldt (2019)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and SCC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self-compacting concrete heat of hydration chloride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study (2025); UniBw calcined-clay SCC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heat of hydration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LC3 concrete heat of hydration lower than OPC semi-adiabatic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None LC³-specific (gap)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SCC rheology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self-compacting concrete limestone calcined clay cement superplasticizer demand rheology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UniBw; IIT Madras (2020)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residuals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copper tramp element accumulation steel scrap recycling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2025 review of copper in steel scrap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RPV embrittlement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pressure vessel steel SA-508 copper phosphorus irradiation embrittlement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(2023b); NRC RG 1.99 Rev. 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route intensity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CO2 intensity BF-BOF …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(2025;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 … hot isostatic pressing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Projects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TVA Clinch River …; Linglong One …; HTR-PM …; NuScale US460 SDA …</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See </w:t>
            </w:r>
            <w:r>
              <w:rPr>
                <w:rStyle w:val="VerbatimChar"/>
                <w:rFonts w:eastAsia="Aptos" w:cs="Aptos"/>
                <w:kern w:val="0"/>
                <w:lang w:val="en-US"/>
              </w:rPr>
              <w:t>02_Research/briefs/technology-projects-trl.md</w:t>
            </w:r>
          </w:p>
        </w:tc>
      </w:tr>
    </w:tbl>
    <w:p>
      <w:pPr>
        <w:pStyle w:val="BodyText"/>
        <w:spacing w:before="180" w:after="180"/>
        <w:rPr/>
      </w:pPr>
      <w:bookmarkStart w:id="262" w:name="appendices"/>
      <w:bookmarkStart w:id="263" w:name="appendix-e.-search-log"/>
      <w:bookmarkStart w:id="264" w:name="X6772717928f13429d4d4f50caaf7675f61535b4"/>
      <w:r>
        <w:rPr/>
        <w:t>Literature sources are listed in the reference list.</w:t>
      </w:r>
      <w:bookmarkEnd w:id="262"/>
      <w:bookmarkEnd w:id="263"/>
      <w:bookmarkEnd w:id="264"/>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123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33">
          <wp:simplePos x="0" y="0"/>
          <wp:positionH relativeFrom="margin">
            <wp:posOffset>4845050</wp:posOffset>
          </wp:positionH>
          <wp:positionV relativeFrom="margin">
            <wp:posOffset>-457200</wp:posOffset>
          </wp:positionV>
          <wp:extent cx="887730" cy="318135"/>
          <wp:effectExtent l="0" t="0" r="0" b="0"/>
          <wp:wrapNone/>
          <wp:docPr id="5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256">
          <wp:simplePos x="0" y="0"/>
          <wp:positionH relativeFrom="page">
            <wp:posOffset>752475</wp:posOffset>
          </wp:positionH>
          <wp:positionV relativeFrom="page">
            <wp:posOffset>314325</wp:posOffset>
          </wp:positionV>
          <wp:extent cx="1401445" cy="595630"/>
          <wp:effectExtent l="0" t="0" r="0" b="0"/>
          <wp:wrapNone/>
          <wp:docPr id="6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6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6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lvlOverride w:ilvl="0">
      <w:startOverride w:val="1"/>
    </w:lvlOverride>
  </w:num>
  <w:num w:numId="22">
    <w:abstractNumId w:val="1"/>
    <w:lvlOverride w:ilvl="0">
      <w:startOverride w:val="1"/>
    </w:lvlOverride>
  </w:num>
  <w:num w:numId="23">
    <w:abstractNumId w:val="1"/>
  </w:num>
  <w:num w:numId="24">
    <w:abstractNumId w:val="1"/>
  </w:num>
  <w:num w:numId="25">
    <w:abstractNumId w:val="1"/>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1"/>
    <w:lvlOverride w:ilvl="0">
      <w:startOverride w:val="1"/>
    </w:lvlOverride>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 w:numId="48">
    <w:abstractNumId w:val="1"/>
    <w:lvlOverride w:ilvl="0">
      <w:startOverride w:val="1"/>
    </w:lvlOverride>
  </w:num>
  <w:num w:numId="49">
    <w:abstractNumId w:val="1"/>
  </w:num>
  <w:num w:numId="50">
    <w:abstractNumId w:val="1"/>
  </w:num>
  <w:num w:numId="51">
    <w:abstractNumId w:val="1"/>
  </w:num>
  <w:num w:numId="52">
    <w:abstractNumId w:val="1"/>
  </w:num>
  <w:num w:numId="53">
    <w:abstractNumId w:val="1"/>
    <w:lvlOverride w:ilvl="0">
      <w:startOverride w:val="1"/>
    </w:lvlOverride>
  </w:num>
  <w:num w:numId="54">
    <w:abstractNumId w:val="1"/>
  </w:num>
  <w:num w:numId="55">
    <w:abstractNumId w:val="1"/>
  </w:num>
  <w:num w:numId="56">
    <w:abstractNumId w:val="1"/>
  </w:num>
  <w:num w:numId="57">
    <w:abstractNumId w:val="1"/>
    <w:lvlOverride w:ilvl="0">
      <w:startOverride w:val="1"/>
    </w:lvlOverride>
  </w:num>
  <w:num w:numId="58">
    <w:abstractNumId w:val="1"/>
  </w:num>
  <w:num w:numId="59">
    <w:abstractNumId w:val="1"/>
  </w:num>
  <w:num w:numId="60">
    <w:abstractNumId w:val="1"/>
  </w:num>
  <w:num w:numId="61">
    <w:abstractNumId w:val="1"/>
  </w:num>
  <w:num w:numId="62">
    <w:abstractNumId w:val="1"/>
    <w:lvlOverride w:ilvl="0">
      <w:startOverride w:val="1"/>
    </w:lvlOverride>
  </w:num>
  <w:num w:numId="63">
    <w:abstractNumId w:val="1"/>
  </w:num>
  <w:num w:numId="64">
    <w:abstractNumId w:val="1"/>
  </w:num>
  <w:num w:numId="65">
    <w:abstractNumId w:val="1"/>
  </w:num>
  <w:num w:numId="66">
    <w:abstractNumId w:val="1"/>
  </w:num>
  <w:num w:numId="67">
    <w:abstractNumId w:val="1"/>
    <w:lvlOverride w:ilvl="0">
      <w:startOverride w:val="1"/>
    </w:lvlOverride>
  </w:num>
  <w:num w:numId="68">
    <w:abstractNumId w:val="1"/>
  </w:num>
  <w:num w:numId="69">
    <w:abstractNumId w:val="1"/>
  </w:num>
  <w:num w:numId="70">
    <w:abstractNumId w:val="1"/>
  </w:num>
  <w:num w:numId="71">
    <w:abstractNumId w:val="1"/>
  </w:num>
  <w:num w:numId="72">
    <w:abstractNumId w:val="3"/>
  </w:num>
  <w:num w:numId="73">
    <w:abstractNumId w:val="3"/>
  </w:num>
  <w:num w:numId="74">
    <w:abstractNumId w:val="3"/>
  </w:num>
  <w:num w:numId="75">
    <w:abstractNumId w:val="1"/>
    <w:lvlOverride w:ilvl="0">
      <w:startOverride w:val="1"/>
    </w:lvlOverride>
  </w:num>
  <w:num w:numId="76">
    <w:abstractNumId w:val="1"/>
  </w:num>
  <w:num w:numId="77">
    <w:abstractNumId w:val="1"/>
  </w:num>
  <w:num w:numId="78">
    <w:abstractNumId w:val="1"/>
  </w:num>
  <w:num w:numId="79">
    <w:abstractNumId w:val="1"/>
  </w:num>
  <w:num w:numId="80">
    <w:abstractNumId w:val="1"/>
  </w:num>
  <w:num w:numId="81">
    <w:abstractNumId w:val="1"/>
    <w:lvlOverride w:ilvl="0">
      <w:startOverride w:val="1"/>
    </w:lvlOverride>
  </w:num>
  <w:num w:numId="82">
    <w:abstractNumId w:val="1"/>
  </w:num>
  <w:num w:numId="83">
    <w:abstractNumId w:val="1"/>
  </w:num>
  <w:num w:numId="84">
    <w:abstractNumId w:val="3"/>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1"/>
    <w:lvlOverride w:ilvl="0">
      <w:startOverride w:val="1"/>
    </w:lvlOverride>
  </w:num>
  <w:num w:numId="96">
    <w:abstractNumId w:val="1"/>
  </w:num>
  <w:num w:numId="97">
    <w:abstractNumId w:val="1"/>
  </w:num>
  <w:num w:numId="98">
    <w:abstractNumId w:val="1"/>
  </w:num>
  <w:num w:numId="9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124</Pages>
  <Words>35897</Words>
  <Characters>197210</Characters>
  <CharactersWithSpaces>228112</CharactersWithSpaces>
  <Paragraphs>4005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2026-10-25T11:59:38Z</dcterms:created>
  <dc:creator/>
  <dc:description/>
  <dc:language>en-US</dc:language>
  <cp:lastModifiedBy/>
  <dcterms:modified xsi:type="dcterms:W3CDTF">2026-10-25T11:59:45Z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