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Sam / Leroy: Granta LC³ record</w:t>
      </w:r>
    </w:p>
    <w:p>
      <w:pPr>
        <w:pStyle w:val="Compact"/>
        <w:numPr>
          <w:ilvl w:val="0"/>
          <w:numId w:val="1"/>
        </w:numPr>
        <w:rPr/>
      </w:pPr>
      <w:r>
        <w:rPr/>
        <w:t>The Granta LC³ material record uses 0.1533 kg CO₂e/kg, only 3% below the base concrete (0.1583). Pillai et al. (2019) gives 270 kg/m³ = 0.1125 kg/kg. Confirm whether 0.1533 is intended; Appendix A9 explains both.</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3"/>
            <w:tabs>
              <w:tab w:val="clear" w:pos="9026"/>
              <w:tab w:val="right" w:pos="9025" w:leader="dot"/>
            </w:tabs>
            <w:rPr/>
          </w:pPr>
          <w:r>
            <w:rPr>
              <w:webHidden/>
              <w:rStyle w:val="IndexLink"/>
            </w:rPr>
            <w:t>3.1.1 Current Projects and Patents</w:t>
            <w:tab/>
            <w:t>5</w:t>
          </w:r>
        </w:p>
        <w:p>
          <w:pPr>
            <w:pStyle w:val="TOC3"/>
            <w:tabs>
              <w:tab w:val="clear" w:pos="9026"/>
              <w:tab w:val="right" w:pos="9025" w:leader="dot"/>
            </w:tabs>
            <w:rPr/>
          </w:pPr>
          <w:r>
            <w:rPr>
              <w:webHidden/>
              <w:rStyle w:val="IndexLink"/>
            </w:rPr>
            <w:t>3.1.2 Technical Descriptions</w:t>
            <w:tab/>
            <w:t>6</w:t>
          </w:r>
        </w:p>
        <w:p>
          <w:pPr>
            <w:pStyle w:val="TOC3"/>
            <w:tabs>
              <w:tab w:val="clear" w:pos="9026"/>
              <w:tab w:val="right" w:pos="9025" w:leader="dot"/>
            </w:tabs>
            <w:rPr/>
          </w:pPr>
          <w:r>
            <w:rPr>
              <w:webHidden/>
              <w:rStyle w:val="IndexLink"/>
            </w:rPr>
            <w:t>3.1.3 Barriers to Emissions Reduction</w:t>
            <w:tab/>
            <w:t>7</w:t>
          </w:r>
        </w:p>
        <w:p>
          <w:pPr>
            <w:pStyle w:val="TOC3"/>
            <w:tabs>
              <w:tab w:val="clear" w:pos="9026"/>
              <w:tab w:val="right" w:pos="9025" w:leader="dot"/>
            </w:tabs>
            <w:rPr/>
          </w:pPr>
          <w:r>
            <w:rPr>
              <w:webHidden/>
              <w:rStyle w:val="IndexLink"/>
            </w:rPr>
            <w:t>3.1.4 The Proposed Initiative</w:t>
            <w:tab/>
            <w:t>8</w:t>
          </w:r>
        </w:p>
        <w:p>
          <w:pPr>
            <w:pStyle w:val="TOC3"/>
            <w:tabs>
              <w:tab w:val="clear" w:pos="9026"/>
              <w:tab w:val="right" w:pos="9025" w:leader="dot"/>
            </w:tabs>
            <w:rPr/>
          </w:pPr>
          <w:r>
            <w:rPr>
              <w:webHidden/>
              <w:rStyle w:val="IndexLink"/>
            </w:rPr>
            <w:t>3.1.5 Materials from Extraction to End-of-Life</w:t>
            <w:tab/>
            <w:t>9</w:t>
          </w:r>
        </w:p>
        <w:p>
          <w:pPr>
            <w:pStyle w:val="TOC2"/>
            <w:tabs>
              <w:tab w:val="clear" w:pos="9026"/>
              <w:tab w:val="right" w:pos="9025" w:leader="dot"/>
            </w:tabs>
            <w:rPr/>
          </w:pPr>
          <w:r>
            <w:rPr>
              <w:webHidden/>
              <w:rStyle w:val="IndexLink"/>
            </w:rPr>
            <w:t>3.2 Lifecycle Analysis</w:t>
            <w:tab/>
            <w:t>10</w:t>
          </w:r>
        </w:p>
        <w:p>
          <w:pPr>
            <w:pStyle w:val="TOC3"/>
            <w:tabs>
              <w:tab w:val="clear" w:pos="9026"/>
              <w:tab w:val="right" w:pos="9025" w:leader="dot"/>
            </w:tabs>
            <w:rPr/>
          </w:pPr>
          <w:r>
            <w:rPr>
              <w:webHidden/>
              <w:rStyle w:val="IndexLink"/>
            </w:rPr>
            <w:t>3.2.1 Goal, Scope and Method</w:t>
            <w:tab/>
            <w:t>10</w:t>
          </w:r>
        </w:p>
        <w:p>
          <w:pPr>
            <w:pStyle w:val="TOC3"/>
            <w:tabs>
              <w:tab w:val="clear" w:pos="9026"/>
              <w:tab w:val="right" w:pos="9025" w:leader="dot"/>
            </w:tabs>
            <w:rPr/>
          </w:pPr>
          <w:r>
            <w:rPr>
              <w:webHidden/>
              <w:rStyle w:val="IndexLink"/>
            </w:rPr>
            <w:t>3.2.2 Baseline and Hotspots</w:t>
            <w:tab/>
            <w:t>11</w:t>
          </w:r>
        </w:p>
        <w:p>
          <w:pPr>
            <w:pStyle w:val="TOC3"/>
            <w:tabs>
              <w:tab w:val="clear" w:pos="9026"/>
              <w:tab w:val="right" w:pos="9025" w:leader="dot"/>
            </w:tabs>
            <w:rPr/>
          </w:pPr>
          <w:r>
            <w:rPr>
              <w:webHidden/>
              <w:rStyle w:val="IndexLink"/>
            </w:rPr>
            <w:t>3.2.3 The Initiative against the Baseline</w:t>
            <w:tab/>
            <w:t>12</w:t>
          </w:r>
        </w:p>
        <w:p>
          <w:pPr>
            <w:pStyle w:val="TOC3"/>
            <w:tabs>
              <w:tab w:val="clear" w:pos="9026"/>
              <w:tab w:val="right" w:pos="9025" w:leader="dot"/>
            </w:tabs>
            <w:rPr/>
          </w:pPr>
          <w:r>
            <w:rPr>
              <w:webHidden/>
              <w:rStyle w:val="IndexLink"/>
            </w:rPr>
            <w:t>3.2.4 Uncertainty Analysis</w:t>
            <w:tab/>
            <w:t>13</w:t>
          </w:r>
        </w:p>
        <w:p>
          <w:pPr>
            <w:pStyle w:val="TOC3"/>
            <w:tabs>
              <w:tab w:val="clear" w:pos="9026"/>
              <w:tab w:val="right" w:pos="9025" w:leader="dot"/>
            </w:tabs>
            <w:rPr/>
          </w:pPr>
          <w:r>
            <w:rPr>
              <w:webHidden/>
              <w:rStyle w:val="IndexLink"/>
            </w:rPr>
            <w:t>3.2.5 Comparison with Published Values</w:t>
            <w:tab/>
            <w:t>14</w:t>
          </w:r>
        </w:p>
        <w:p>
          <w:pPr>
            <w:pStyle w:val="TOC2"/>
            <w:tabs>
              <w:tab w:val="clear" w:pos="9026"/>
              <w:tab w:val="right" w:pos="9025" w:leader="dot"/>
            </w:tabs>
            <w:rPr/>
          </w:pPr>
          <w:r>
            <w:rPr>
              <w:webHidden/>
              <w:rStyle w:val="IndexLink"/>
            </w:rPr>
            <w:t>3.3 National Strategies and Industrial Policies</w:t>
            <w:tab/>
            <w:t>15</w:t>
          </w:r>
        </w:p>
        <w:p>
          <w:pPr>
            <w:pStyle w:val="TOC3"/>
            <w:tabs>
              <w:tab w:val="clear" w:pos="9026"/>
              <w:tab w:val="right" w:pos="9025" w:leader="dot"/>
            </w:tabs>
            <w:rPr/>
          </w:pPr>
          <w:r>
            <w:rPr>
              <w:webHidden/>
              <w:rStyle w:val="IndexLink"/>
            </w:rPr>
            <w:t>3.3.1 The Value of Schedule</w:t>
            <w:tab/>
            <w:t>15</w:t>
          </w:r>
        </w:p>
        <w:p>
          <w:pPr>
            <w:pStyle w:val="TOC3"/>
            <w:tabs>
              <w:tab w:val="clear" w:pos="9026"/>
              <w:tab w:val="right" w:pos="9025" w:leader="dot"/>
            </w:tabs>
            <w:rPr/>
          </w:pPr>
          <w:r>
            <w:rPr>
              <w:webHidden/>
              <w:rStyle w:val="IndexLink"/>
            </w:rPr>
            <w:t>3.3.2 Carbon Displaced: Darlington vs Liddell</w:t>
            <w:tab/>
            <w:t>16</w:t>
          </w:r>
        </w:p>
        <w:p>
          <w:pPr>
            <w:pStyle w:val="TOC3"/>
            <w:tabs>
              <w:tab w:val="clear" w:pos="9026"/>
              <w:tab w:val="right" w:pos="9025" w:leader="dot"/>
            </w:tabs>
            <w:rPr/>
          </w:pPr>
          <w:r>
            <w:rPr>
              <w:webHidden/>
              <w:rStyle w:val="IndexLink"/>
            </w:rPr>
            <w:t>3.3.3 Firmed Renewables for the Same Money</w:t>
            <w:tab/>
            <w:t>17</w:t>
          </w:r>
        </w:p>
        <w:p>
          <w:pPr>
            <w:pStyle w:val="TOC2"/>
            <w:tabs>
              <w:tab w:val="clear" w:pos="9026"/>
              <w:tab w:val="right" w:pos="9025" w:leader="dot"/>
            </w:tabs>
            <w:rPr/>
          </w:pPr>
          <w:r>
            <w:rPr>
              <w:webHidden/>
              <w:rStyle w:val="IndexLink"/>
            </w:rPr>
            <w:t>3.4 Stakeholder Analysis</w:t>
            <w:tab/>
            <w:t>17</w:t>
          </w:r>
        </w:p>
        <w:p>
          <w:pPr>
            <w:pStyle w:val="TOC3"/>
            <w:tabs>
              <w:tab w:val="clear" w:pos="9026"/>
              <w:tab w:val="right" w:pos="9025" w:leader="dot"/>
            </w:tabs>
            <w:rPr/>
          </w:pPr>
          <w:r>
            <w:rPr>
              <w:webHidden/>
              <w:rStyle w:val="IndexLink"/>
            </w:rPr>
            <w:t>3.4.1 Stakeholders and Money Flows</w:t>
            <w:tab/>
            <w:t>17</w:t>
          </w:r>
        </w:p>
        <w:p>
          <w:pPr>
            <w:pStyle w:val="TOC3"/>
            <w:tabs>
              <w:tab w:val="clear" w:pos="9026"/>
              <w:tab w:val="right" w:pos="9025" w:leader="dot"/>
            </w:tabs>
            <w:rPr/>
          </w:pPr>
          <w:r>
            <w:rPr>
              <w:webHidden/>
              <w:rStyle w:val="IndexLink"/>
            </w:rPr>
            <w:t>3.4.2 Social Licence</w:t>
            <w:tab/>
            <w:t>19</w:t>
          </w:r>
        </w:p>
        <w:p>
          <w:pPr>
            <w:pStyle w:val="TOC2"/>
            <w:tabs>
              <w:tab w:val="clear" w:pos="9026"/>
              <w:tab w:val="right" w:pos="9025" w:leader="dot"/>
            </w:tabs>
            <w:rPr/>
          </w:pPr>
          <w:r>
            <w:rPr>
              <w:webHidden/>
              <w:rStyle w:val="IndexLink"/>
            </w:rPr>
            <w:t>3.5 Market Analysis and Economic Feasibility</w:t>
            <w:tab/>
            <w:t>21</w:t>
          </w:r>
        </w:p>
        <w:p>
          <w:pPr>
            <w:pStyle w:val="TOC3"/>
            <w:tabs>
              <w:tab w:val="clear" w:pos="9026"/>
              <w:tab w:val="right" w:pos="9025" w:leader="dot"/>
            </w:tabs>
            <w:rPr/>
          </w:pPr>
          <w:r>
            <w:rPr>
              <w:webHidden/>
              <w:rStyle w:val="IndexLink"/>
            </w:rPr>
            <w:t>3.5.1 Economics, Finance and Market Barriers</w:t>
            <w:tab/>
            <w:t>21</w:t>
          </w:r>
        </w:p>
        <w:p>
          <w:pPr>
            <w:pStyle w:val="TOC3"/>
            <w:tabs>
              <w:tab w:val="clear" w:pos="9026"/>
              <w:tab w:val="right" w:pos="9025" w:leader="dot"/>
            </w:tabs>
            <w:rPr/>
          </w:pPr>
          <w:r>
            <w:rPr>
              <w:webHidden/>
              <w:rStyle w:val="IndexLink"/>
            </w:rPr>
            <w:t>3.5.2 Supply Concentration and Geopolitics</w:t>
            <w:tab/>
            <w:t>23</w:t>
          </w:r>
        </w:p>
        <w:p>
          <w:pPr>
            <w:pStyle w:val="TOC2"/>
            <w:tabs>
              <w:tab w:val="clear" w:pos="9026"/>
              <w:tab w:val="right" w:pos="9025" w:leader="dot"/>
            </w:tabs>
            <w:rPr/>
          </w:pPr>
          <w:r>
            <w:rPr>
              <w:webHidden/>
              <w:rStyle w:val="IndexLink"/>
            </w:rPr>
            <w:t>3.6 Government Regulations Review</w:t>
            <w:tab/>
            <w:t>24</w:t>
          </w:r>
        </w:p>
        <w:p>
          <w:pPr>
            <w:pStyle w:val="TOC3"/>
            <w:tabs>
              <w:tab w:val="clear" w:pos="9026"/>
              <w:tab w:val="right" w:pos="9025" w:leader="dot"/>
            </w:tabs>
            <w:rPr/>
          </w:pPr>
          <w:r>
            <w:rPr>
              <w:webHidden/>
              <w:rStyle w:val="IndexLink"/>
            </w:rPr>
            <w:t>3.6.1 Law, Regulation and Licensing</w:t>
            <w:tab/>
            <w:t>24</w:t>
          </w:r>
        </w:p>
        <w:p>
          <w:pPr>
            <w:pStyle w:val="TOC3"/>
            <w:tabs>
              <w:tab w:val="clear" w:pos="9026"/>
              <w:tab w:val="right" w:pos="9025" w:leader="dot"/>
            </w:tabs>
            <w:rPr/>
          </w:pPr>
          <w:r>
            <w:rPr>
              <w:webHidden/>
              <w:rStyle w:val="IndexLink"/>
            </w:rPr>
            <w:t>3.6.2 Implementation Pathway</w:t>
            <w:tab/>
            <w:t>25</w:t>
          </w:r>
        </w:p>
        <w:p>
          <w:pPr>
            <w:pStyle w:val="TOC2"/>
            <w:tabs>
              <w:tab w:val="clear" w:pos="9026"/>
              <w:tab w:val="right" w:pos="9025" w:leader="dot"/>
            </w:tabs>
            <w:rPr/>
          </w:pPr>
          <w:r>
            <w:rPr>
              <w:webHidden/>
              <w:rStyle w:val="IndexLink"/>
            </w:rPr>
            <w:t>3.7 Triple Bottom Line and Multi-Criteria Analysis</w:t>
            <w:tab/>
            <w:t>27</w:t>
          </w:r>
        </w:p>
        <w:p>
          <w:pPr>
            <w:pStyle w:val="TOC3"/>
            <w:tabs>
              <w:tab w:val="clear" w:pos="9026"/>
              <w:tab w:val="right" w:pos="9025" w:leader="dot"/>
            </w:tabs>
            <w:rPr/>
          </w:pPr>
          <w:r>
            <w:rPr>
              <w:webHidden/>
              <w:rStyle w:val="IndexLink"/>
            </w:rPr>
            <w:t>3.7.1 Triple Bottom Line</w:t>
            <w:tab/>
            <w:t>27</w:t>
          </w:r>
        </w:p>
        <w:p>
          <w:pPr>
            <w:pStyle w:val="TOC3"/>
            <w:tabs>
              <w:tab w:val="clear" w:pos="9026"/>
              <w:tab w:val="right" w:pos="9025" w:leader="dot"/>
            </w:tabs>
            <w:rPr/>
          </w:pPr>
          <w:r>
            <w:rPr>
              <w:webHidden/>
              <w:rStyle w:val="IndexLink"/>
            </w:rPr>
            <w:t>3.7.2 Multi-Criteria Analysis</w:t>
            <w:tab/>
            <w:t>28</w:t>
          </w:r>
        </w:p>
        <w:p>
          <w:pPr>
            <w:pStyle w:val="TOC3"/>
            <w:tabs>
              <w:tab w:val="clear" w:pos="9026"/>
              <w:tab w:val="right" w:pos="9025" w:leader="dot"/>
            </w:tabs>
            <w:rPr/>
          </w:pPr>
          <w:r>
            <w:rPr>
              <w:webHidden/>
              <w:rStyle w:val="IndexLink"/>
            </w:rPr>
            <w:t>3.7.3 Verdict and Limits</w:t>
            <w:tab/>
            <w:t>29</w:t>
          </w:r>
        </w:p>
        <w:p>
          <w:pPr>
            <w:pStyle w:val="TOC2"/>
            <w:tabs>
              <w:tab w:val="clear" w:pos="9026"/>
              <w:tab w:val="right" w:pos="9025" w:leader="dot"/>
            </w:tabs>
            <w:rPr/>
          </w:pPr>
          <w:r>
            <w:rPr>
              <w:webHidden/>
              <w:rStyle w:val="IndexLink"/>
            </w:rPr>
            <w:t>3.8 Future Material Properties and Processes</w:t>
            <w:tab/>
            <w:t>29</w:t>
          </w:r>
        </w:p>
        <w:p>
          <w:pPr>
            <w:pStyle w:val="TOC1"/>
            <w:tabs>
              <w:tab w:val="clear" w:pos="9026"/>
              <w:tab w:val="right" w:pos="9025" w:leader="dot"/>
            </w:tabs>
            <w:rPr/>
          </w:pPr>
          <w:r>
            <w:rPr>
              <w:webHidden/>
              <w:rStyle w:val="IndexLink"/>
            </w:rPr>
            <w:t>4 Conclusion</w:t>
            <w:tab/>
            <w:t>30</w:t>
          </w:r>
        </w:p>
        <w:p>
          <w:pPr>
            <w:pStyle w:val="TOC1"/>
            <w:tabs>
              <w:tab w:val="clear" w:pos="9026"/>
              <w:tab w:val="right" w:pos="9025" w:leader="dot"/>
            </w:tabs>
            <w:rPr/>
          </w:pPr>
          <w:r>
            <w:rPr>
              <w:webHidden/>
              <w:rStyle w:val="IndexLink"/>
            </w:rPr>
            <w:t>5 References</w:t>
            <w:tab/>
            <w:t>31</w:t>
          </w:r>
        </w:p>
        <w:p>
          <w:pPr>
            <w:pStyle w:val="TOC1"/>
            <w:tabs>
              <w:tab w:val="clear" w:pos="9026"/>
              <w:tab w:val="right" w:pos="9025" w:leader="dot"/>
            </w:tabs>
            <w:rPr/>
          </w:pPr>
          <w:r>
            <w:rPr>
              <w:webHidden/>
              <w:rStyle w:val="IndexLink"/>
            </w:rPr>
            <w:t>Declaration of generative AI use</w:t>
            <w:tab/>
            <w:t>42</w:t>
          </w:r>
        </w:p>
        <w:p>
          <w:pPr>
            <w:pStyle w:val="TOC1"/>
            <w:tabs>
              <w:tab w:val="clear" w:pos="9026"/>
              <w:tab w:val="right" w:pos="9025" w:leader="dot"/>
            </w:tabs>
            <w:rPr/>
          </w:pPr>
          <w:r>
            <w:rPr>
              <w:webHidden/>
              <w:rStyle w:val="IndexLink"/>
            </w:rPr>
            <w:t>Appendices</w:t>
            <w:tab/>
            <w:t>43</w:t>
          </w:r>
        </w:p>
        <w:p>
          <w:pPr>
            <w:pStyle w:val="TOC2"/>
            <w:tabs>
              <w:tab w:val="clear" w:pos="9026"/>
              <w:tab w:val="right" w:pos="9025" w:leader="dot"/>
            </w:tabs>
            <w:rPr/>
          </w:pPr>
          <w:r>
            <w:rPr>
              <w:webHidden/>
              <w:rStyle w:val="IndexLink"/>
            </w:rPr>
            <w:t>Appendix A. LCA inventory and calculations</w:t>
            <w:tab/>
            <w:t>43</w:t>
          </w:r>
        </w:p>
        <w:p>
          <w:pPr>
            <w:pStyle w:val="TOC2"/>
            <w:tabs>
              <w:tab w:val="clear" w:pos="9026"/>
              <w:tab w:val="right" w:pos="9025" w:leader="dot"/>
            </w:tabs>
            <w:rPr/>
          </w:pPr>
          <w:r>
            <w:rPr>
              <w:webHidden/>
              <w:rStyle w:val="IndexLink"/>
            </w:rPr>
            <w:t>Appendix B. Policy, economics and supply calculations</w:t>
            <w:tab/>
            <w:t>47</w:t>
          </w:r>
        </w:p>
        <w:p>
          <w:pPr>
            <w:pStyle w:val="TOC2"/>
            <w:tabs>
              <w:tab w:val="clear" w:pos="9026"/>
              <w:tab w:val="right" w:pos="9025" w:leader="dot"/>
            </w:tabs>
            <w:rPr/>
          </w:pPr>
          <w:r>
            <w:rPr>
              <w:webHidden/>
              <w:rStyle w:val="IndexLink"/>
            </w:rPr>
            <w:t>Appendix C. Sensitivity analysis</w:t>
            <w:tab/>
            <w:t>50</w:t>
          </w:r>
        </w:p>
        <w:p>
          <w:pPr>
            <w:pStyle w:val="TOC2"/>
            <w:tabs>
              <w:tab w:val="clear" w:pos="9026"/>
              <w:tab w:val="right" w:pos="9025" w:leader="dot"/>
            </w:tabs>
            <w:rPr/>
          </w:pPr>
          <w:r>
            <w:rPr>
              <w:webHidden/>
              <w:rStyle w:val="IndexLink"/>
            </w:rPr>
            <w:t>Appendix E. Search log</w:t>
            <w:tab/>
            <w:t>51</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4">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7">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53</Pages>
  <Words>15831</Words>
  <Characters>92489</Characters>
  <CharactersWithSpaces>106793</CharactersWithSpaces>
  <Paragraphs>1059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2026-10-25T12:45:34Z</dcterms:created>
  <dc:creator/>
  <dc:description/>
  <dc:language>en-US</dc:language>
  <cp:lastModifiedBy/>
  <dcterms:modified xsi:type="dcterms:W3CDTF">2026-10-25T12:45:41Z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