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3</w:t>
          </w:r>
        </w:p>
        <w:p>
          <w:pPr>
            <w:pStyle w:val="TOC1"/>
            <w:tabs>
              <w:tab w:val="clear" w:pos="9026"/>
              <w:tab w:val="right" w:pos="9025" w:leader="dot"/>
            </w:tabs>
            <w:rPr/>
          </w:pPr>
          <w:r>
            <w:rPr>
              <w:webHidden/>
              <w:rStyle w:val="IndexLink"/>
            </w:rPr>
            <w:t>2 Data Sources/Methodology</w:t>
            <w:tab/>
            <w:t>3</w:t>
          </w:r>
        </w:p>
        <w:p>
          <w:pPr>
            <w:pStyle w:val="TOC1"/>
            <w:tabs>
              <w:tab w:val="clear" w:pos="9026"/>
              <w:tab w:val="right" w:pos="9025" w:leader="dot"/>
            </w:tabs>
            <w:rPr/>
          </w:pPr>
          <w:r>
            <w:rPr>
              <w:webHidden/>
              <w:rStyle w:val="IndexLink"/>
            </w:rPr>
            <w:t>3 Discussion</w:t>
            <w:tab/>
            <w:t>4</w:t>
          </w:r>
        </w:p>
        <w:p>
          <w:pPr>
            <w:pStyle w:val="TOC2"/>
            <w:tabs>
              <w:tab w:val="clear" w:pos="9026"/>
              <w:tab w:val="right" w:pos="9025" w:leader="dot"/>
            </w:tabs>
            <w:rPr/>
          </w:pPr>
          <w:r>
            <w:rPr>
              <w:webHidden/>
              <w:rStyle w:val="IndexLink"/>
            </w:rPr>
            <w:t>3.1 Overview of SMR</w:t>
            <w:tab/>
            <w:t>4</w:t>
          </w:r>
        </w:p>
        <w:p>
          <w:pPr>
            <w:pStyle w:val="TOC3"/>
            <w:tabs>
              <w:tab w:val="clear" w:pos="9026"/>
              <w:tab w:val="right" w:pos="9025" w:leader="dot"/>
            </w:tabs>
            <w:rPr/>
          </w:pPr>
          <w:r>
            <w:rPr>
              <w:webHidden/>
              <w:rStyle w:val="IndexLink"/>
            </w:rPr>
            <w:t>3.1.1 Current Projects and Patents</w:t>
            <w:tab/>
            <w:t>4</w:t>
          </w:r>
        </w:p>
        <w:p>
          <w:pPr>
            <w:pStyle w:val="TOC3"/>
            <w:tabs>
              <w:tab w:val="clear" w:pos="9026"/>
              <w:tab w:val="right" w:pos="9025" w:leader="dot"/>
            </w:tabs>
            <w:rPr/>
          </w:pPr>
          <w:r>
            <w:rPr>
              <w:webHidden/>
              <w:rStyle w:val="IndexLink"/>
            </w:rPr>
            <w:t>3.1.2 Technical Descriptions</w:t>
            <w:tab/>
            <w:t>5</w:t>
          </w:r>
        </w:p>
        <w:p>
          <w:pPr>
            <w:pStyle w:val="TOC3"/>
            <w:tabs>
              <w:tab w:val="clear" w:pos="9026"/>
              <w:tab w:val="right" w:pos="9025" w:leader="dot"/>
            </w:tabs>
            <w:rPr/>
          </w:pPr>
          <w:r>
            <w:rPr>
              <w:webHidden/>
              <w:rStyle w:val="IndexLink"/>
            </w:rPr>
            <w:t>3.1.3 Barriers to Emissions Reduction</w:t>
            <w:tab/>
            <w:t>6</w:t>
          </w:r>
        </w:p>
        <w:p>
          <w:pPr>
            <w:pStyle w:val="TOC3"/>
            <w:tabs>
              <w:tab w:val="clear" w:pos="9026"/>
              <w:tab w:val="right" w:pos="9025" w:leader="dot"/>
            </w:tabs>
            <w:rPr/>
          </w:pPr>
          <w:r>
            <w:rPr>
              <w:webHidden/>
              <w:rStyle w:val="IndexLink"/>
            </w:rPr>
            <w:t>3.1.4 The Proposed Initiative</w:t>
            <w:tab/>
            <w:t>7</w:t>
          </w:r>
        </w:p>
        <w:p>
          <w:pPr>
            <w:pStyle w:val="TOC3"/>
            <w:tabs>
              <w:tab w:val="clear" w:pos="9026"/>
              <w:tab w:val="right" w:pos="9025" w:leader="dot"/>
            </w:tabs>
            <w:rPr/>
          </w:pPr>
          <w:r>
            <w:rPr>
              <w:webHidden/>
              <w:rStyle w:val="IndexLink"/>
            </w:rPr>
            <w:t>3.1.5 Materials from Extraction to End-of-Life</w:t>
            <w:tab/>
            <w:t>8</w:t>
          </w:r>
        </w:p>
        <w:p>
          <w:pPr>
            <w:pStyle w:val="TOC2"/>
            <w:tabs>
              <w:tab w:val="clear" w:pos="9026"/>
              <w:tab w:val="right" w:pos="9025" w:leader="dot"/>
            </w:tabs>
            <w:rPr/>
          </w:pPr>
          <w:r>
            <w:rPr>
              <w:webHidden/>
              <w:rStyle w:val="IndexLink"/>
            </w:rPr>
            <w:t>3.2 Lifecycle Analysis</w:t>
            <w:tab/>
            <w:t>9</w:t>
          </w:r>
        </w:p>
        <w:p>
          <w:pPr>
            <w:pStyle w:val="TOC3"/>
            <w:tabs>
              <w:tab w:val="clear" w:pos="9026"/>
              <w:tab w:val="right" w:pos="9025" w:leader="dot"/>
            </w:tabs>
            <w:rPr/>
          </w:pPr>
          <w:r>
            <w:rPr>
              <w:webHidden/>
              <w:rStyle w:val="IndexLink"/>
            </w:rPr>
            <w:t>3.2.1 Goal, Scope and Method</w:t>
            <w:tab/>
            <w:t>9</w:t>
          </w:r>
        </w:p>
        <w:p>
          <w:pPr>
            <w:pStyle w:val="TOC3"/>
            <w:tabs>
              <w:tab w:val="clear" w:pos="9026"/>
              <w:tab w:val="right" w:pos="9025" w:leader="dot"/>
            </w:tabs>
            <w:rPr/>
          </w:pPr>
          <w:r>
            <w:rPr>
              <w:webHidden/>
              <w:rStyle w:val="IndexLink"/>
            </w:rPr>
            <w:t>3.2.2 Baseline and Hotspots</w:t>
            <w:tab/>
            <w:t>10</w:t>
          </w:r>
        </w:p>
        <w:p>
          <w:pPr>
            <w:pStyle w:val="TOC3"/>
            <w:tabs>
              <w:tab w:val="clear" w:pos="9026"/>
              <w:tab w:val="right" w:pos="9025" w:leader="dot"/>
            </w:tabs>
            <w:rPr/>
          </w:pPr>
          <w:r>
            <w:rPr>
              <w:webHidden/>
              <w:rStyle w:val="IndexLink"/>
            </w:rPr>
            <w:t>3.2.3 The Initiative against the Baseline</w:t>
            <w:tab/>
            <w:t>11</w:t>
          </w:r>
        </w:p>
        <w:p>
          <w:pPr>
            <w:pStyle w:val="TOC3"/>
            <w:tabs>
              <w:tab w:val="clear" w:pos="9026"/>
              <w:tab w:val="right" w:pos="9025" w:leader="dot"/>
            </w:tabs>
            <w:rPr/>
          </w:pPr>
          <w:r>
            <w:rPr>
              <w:webHidden/>
              <w:rStyle w:val="IndexLink"/>
            </w:rPr>
            <w:t>3.2.4 Uncertainty Analysis</w:t>
            <w:tab/>
            <w:t>12</w:t>
          </w:r>
        </w:p>
        <w:p>
          <w:pPr>
            <w:pStyle w:val="TOC3"/>
            <w:tabs>
              <w:tab w:val="clear" w:pos="9026"/>
              <w:tab w:val="right" w:pos="9025" w:leader="dot"/>
            </w:tabs>
            <w:rPr/>
          </w:pPr>
          <w:r>
            <w:rPr>
              <w:webHidden/>
              <w:rStyle w:val="IndexLink"/>
            </w:rPr>
            <w:t>3.2.5 Comparison with Published Values</w:t>
            <w:tab/>
            <w:t>13</w:t>
          </w:r>
        </w:p>
        <w:p>
          <w:pPr>
            <w:pStyle w:val="TOC2"/>
            <w:tabs>
              <w:tab w:val="clear" w:pos="9026"/>
              <w:tab w:val="right" w:pos="9025" w:leader="dot"/>
            </w:tabs>
            <w:rPr/>
          </w:pPr>
          <w:r>
            <w:rPr>
              <w:webHidden/>
              <w:rStyle w:val="IndexLink"/>
            </w:rPr>
            <w:t>3.3 National Strategies and Industrial Policies</w:t>
            <w:tab/>
            <w:t>14</w:t>
          </w:r>
        </w:p>
        <w:p>
          <w:pPr>
            <w:pStyle w:val="TOC3"/>
            <w:tabs>
              <w:tab w:val="clear" w:pos="9026"/>
              <w:tab w:val="right" w:pos="9025" w:leader="dot"/>
            </w:tabs>
            <w:rPr/>
          </w:pPr>
          <w:r>
            <w:rPr>
              <w:webHidden/>
              <w:rStyle w:val="IndexLink"/>
            </w:rPr>
            <w:t>3.3.1 The Value of Schedule</w:t>
            <w:tab/>
            <w:t>14</w:t>
          </w:r>
        </w:p>
        <w:p>
          <w:pPr>
            <w:pStyle w:val="TOC3"/>
            <w:tabs>
              <w:tab w:val="clear" w:pos="9026"/>
              <w:tab w:val="right" w:pos="9025" w:leader="dot"/>
            </w:tabs>
            <w:rPr/>
          </w:pPr>
          <w:r>
            <w:rPr>
              <w:webHidden/>
              <w:rStyle w:val="IndexLink"/>
            </w:rPr>
            <w:t>3.3.2 Carbon Displaced: Darlington vs Liddell</w:t>
            <w:tab/>
            <w:t>15</w:t>
          </w:r>
        </w:p>
        <w:p>
          <w:pPr>
            <w:pStyle w:val="TOC3"/>
            <w:tabs>
              <w:tab w:val="clear" w:pos="9026"/>
              <w:tab w:val="right" w:pos="9025" w:leader="dot"/>
            </w:tabs>
            <w:rPr/>
          </w:pPr>
          <w:r>
            <w:rPr>
              <w:webHidden/>
              <w:rStyle w:val="IndexLink"/>
            </w:rPr>
            <w:t>3.3.3 Firmed Renewables for the Same Money</w:t>
            <w:tab/>
            <w:t>16</w:t>
          </w:r>
        </w:p>
        <w:p>
          <w:pPr>
            <w:pStyle w:val="TOC2"/>
            <w:tabs>
              <w:tab w:val="clear" w:pos="9026"/>
              <w:tab w:val="right" w:pos="9025" w:leader="dot"/>
            </w:tabs>
            <w:rPr/>
          </w:pPr>
          <w:r>
            <w:rPr>
              <w:webHidden/>
              <w:rStyle w:val="IndexLink"/>
            </w:rPr>
            <w:t>3.4 Stakeholder Analysis</w:t>
            <w:tab/>
            <w:t>16</w:t>
          </w:r>
        </w:p>
        <w:p>
          <w:pPr>
            <w:pStyle w:val="TOC3"/>
            <w:tabs>
              <w:tab w:val="clear" w:pos="9026"/>
              <w:tab w:val="right" w:pos="9025" w:leader="dot"/>
            </w:tabs>
            <w:rPr/>
          </w:pPr>
          <w:r>
            <w:rPr>
              <w:webHidden/>
              <w:rStyle w:val="IndexLink"/>
            </w:rPr>
            <w:t>3.4.1 Stakeholders and Money Flows</w:t>
            <w:tab/>
            <w:t>16</w:t>
          </w:r>
        </w:p>
        <w:p>
          <w:pPr>
            <w:pStyle w:val="TOC3"/>
            <w:tabs>
              <w:tab w:val="clear" w:pos="9026"/>
              <w:tab w:val="right" w:pos="9025" w:leader="dot"/>
            </w:tabs>
            <w:rPr/>
          </w:pPr>
          <w:r>
            <w:rPr>
              <w:webHidden/>
              <w:rStyle w:val="IndexLink"/>
            </w:rPr>
            <w:t>3.4.2 Social Licence</w:t>
            <w:tab/>
            <w:t>18</w:t>
          </w:r>
        </w:p>
        <w:p>
          <w:pPr>
            <w:pStyle w:val="TOC2"/>
            <w:tabs>
              <w:tab w:val="clear" w:pos="9026"/>
              <w:tab w:val="right" w:pos="9025" w:leader="dot"/>
            </w:tabs>
            <w:rPr/>
          </w:pPr>
          <w:r>
            <w:rPr>
              <w:webHidden/>
              <w:rStyle w:val="IndexLink"/>
            </w:rPr>
            <w:t>3.5 Market Analysis and Economic Feasibility</w:t>
            <w:tab/>
            <w:t>20</w:t>
          </w:r>
        </w:p>
        <w:p>
          <w:pPr>
            <w:pStyle w:val="TOC3"/>
            <w:tabs>
              <w:tab w:val="clear" w:pos="9026"/>
              <w:tab w:val="right" w:pos="9025" w:leader="dot"/>
            </w:tabs>
            <w:rPr/>
          </w:pPr>
          <w:r>
            <w:rPr>
              <w:webHidden/>
              <w:rStyle w:val="IndexLink"/>
            </w:rPr>
            <w:t>3.5.1 Economics, Finance and Market Barriers</w:t>
            <w:tab/>
            <w:t>20</w:t>
          </w:r>
        </w:p>
        <w:p>
          <w:pPr>
            <w:pStyle w:val="TOC3"/>
            <w:tabs>
              <w:tab w:val="clear" w:pos="9026"/>
              <w:tab w:val="right" w:pos="9025" w:leader="dot"/>
            </w:tabs>
            <w:rPr/>
          </w:pPr>
          <w:r>
            <w:rPr>
              <w:webHidden/>
              <w:rStyle w:val="IndexLink"/>
            </w:rPr>
            <w:t>3.5.2 Supply Concentration and Geopolitics</w:t>
            <w:tab/>
            <w:t>22</w:t>
          </w:r>
        </w:p>
        <w:p>
          <w:pPr>
            <w:pStyle w:val="TOC2"/>
            <w:tabs>
              <w:tab w:val="clear" w:pos="9026"/>
              <w:tab w:val="right" w:pos="9025" w:leader="dot"/>
            </w:tabs>
            <w:rPr/>
          </w:pPr>
          <w:r>
            <w:rPr>
              <w:webHidden/>
              <w:rStyle w:val="IndexLink"/>
            </w:rPr>
            <w:t>3.6 Government Regulations Review</w:t>
            <w:tab/>
            <w:t>23</w:t>
          </w:r>
        </w:p>
        <w:p>
          <w:pPr>
            <w:pStyle w:val="TOC3"/>
            <w:tabs>
              <w:tab w:val="clear" w:pos="9026"/>
              <w:tab w:val="right" w:pos="9025" w:leader="dot"/>
            </w:tabs>
            <w:rPr/>
          </w:pPr>
          <w:r>
            <w:rPr>
              <w:webHidden/>
              <w:rStyle w:val="IndexLink"/>
            </w:rPr>
            <w:t>3.6.1 Law, Regulation and Licensing</w:t>
            <w:tab/>
            <w:t>23</w:t>
          </w:r>
        </w:p>
        <w:p>
          <w:pPr>
            <w:pStyle w:val="TOC3"/>
            <w:tabs>
              <w:tab w:val="clear" w:pos="9026"/>
              <w:tab w:val="right" w:pos="9025" w:leader="dot"/>
            </w:tabs>
            <w:rPr/>
          </w:pPr>
          <w:r>
            <w:rPr>
              <w:webHidden/>
              <w:rStyle w:val="IndexLink"/>
            </w:rPr>
            <w:t>3.6.2 Implementation Pathway</w:t>
            <w:tab/>
            <w:t>24</w:t>
          </w:r>
        </w:p>
        <w:p>
          <w:pPr>
            <w:pStyle w:val="TOC2"/>
            <w:tabs>
              <w:tab w:val="clear" w:pos="9026"/>
              <w:tab w:val="right" w:pos="9025" w:leader="dot"/>
            </w:tabs>
            <w:rPr/>
          </w:pPr>
          <w:r>
            <w:rPr>
              <w:webHidden/>
              <w:rStyle w:val="IndexLink"/>
            </w:rPr>
            <w:t>3.7 Triple Bottom Line and Multi-Criteria Analysis</w:t>
            <w:tab/>
            <w:t>26</w:t>
          </w:r>
        </w:p>
        <w:p>
          <w:pPr>
            <w:pStyle w:val="TOC3"/>
            <w:tabs>
              <w:tab w:val="clear" w:pos="9026"/>
              <w:tab w:val="right" w:pos="9025" w:leader="dot"/>
            </w:tabs>
            <w:rPr/>
          </w:pPr>
          <w:r>
            <w:rPr>
              <w:webHidden/>
              <w:rStyle w:val="IndexLink"/>
            </w:rPr>
            <w:t>3.7.1 Triple Bottom Line</w:t>
            <w:tab/>
            <w:t>26</w:t>
          </w:r>
        </w:p>
        <w:p>
          <w:pPr>
            <w:pStyle w:val="TOC3"/>
            <w:tabs>
              <w:tab w:val="clear" w:pos="9026"/>
              <w:tab w:val="right" w:pos="9025" w:leader="dot"/>
            </w:tabs>
            <w:rPr/>
          </w:pPr>
          <w:r>
            <w:rPr>
              <w:webHidden/>
              <w:rStyle w:val="IndexLink"/>
            </w:rPr>
            <w:t>3.7.2 Multi-Criteria Analysis</w:t>
            <w:tab/>
            <w:t>27</w:t>
          </w:r>
        </w:p>
        <w:p>
          <w:pPr>
            <w:pStyle w:val="TOC3"/>
            <w:tabs>
              <w:tab w:val="clear" w:pos="9026"/>
              <w:tab w:val="right" w:pos="9025" w:leader="dot"/>
            </w:tabs>
            <w:rPr/>
          </w:pPr>
          <w:r>
            <w:rPr>
              <w:webHidden/>
              <w:rStyle w:val="IndexLink"/>
            </w:rPr>
            <w:t>3.7.3 Verdict and Limits</w:t>
            <w:tab/>
            <w:t>28</w:t>
          </w:r>
        </w:p>
        <w:p>
          <w:pPr>
            <w:pStyle w:val="TOC2"/>
            <w:tabs>
              <w:tab w:val="clear" w:pos="9026"/>
              <w:tab w:val="right" w:pos="9025" w:leader="dot"/>
            </w:tabs>
            <w:rPr/>
          </w:pPr>
          <w:r>
            <w:rPr>
              <w:webHidden/>
              <w:rStyle w:val="IndexLink"/>
            </w:rPr>
            <w:t>3.8 Future Material Properties and Processes</w:t>
            <w:tab/>
            <w:t>28</w:t>
          </w:r>
        </w:p>
        <w:p>
          <w:pPr>
            <w:pStyle w:val="TOC1"/>
            <w:tabs>
              <w:tab w:val="clear" w:pos="9026"/>
              <w:tab w:val="right" w:pos="9025" w:leader="dot"/>
            </w:tabs>
            <w:rPr/>
          </w:pPr>
          <w:r>
            <w:rPr>
              <w:webHidden/>
              <w:rStyle w:val="IndexLink"/>
            </w:rPr>
            <w:t>4 Conclusion</w:t>
            <w:tab/>
            <w:t>29</w:t>
          </w:r>
        </w:p>
        <w:p>
          <w:pPr>
            <w:pStyle w:val="TOC1"/>
            <w:tabs>
              <w:tab w:val="clear" w:pos="9026"/>
              <w:tab w:val="right" w:pos="9025" w:leader="dot"/>
            </w:tabs>
            <w:rPr/>
          </w:pPr>
          <w:r>
            <w:rPr>
              <w:webHidden/>
              <w:rStyle w:val="IndexLink"/>
            </w:rPr>
            <w:t>5 References</w:t>
            <w:tab/>
            <w:t>30</w:t>
          </w:r>
        </w:p>
        <w:p>
          <w:pPr>
            <w:pStyle w:val="TOC1"/>
            <w:tabs>
              <w:tab w:val="clear" w:pos="9026"/>
              <w:tab w:val="right" w:pos="9025" w:leader="dot"/>
            </w:tabs>
            <w:rPr/>
          </w:pPr>
          <w:r>
            <w:rPr>
              <w:webHidden/>
              <w:rStyle w:val="IndexLink"/>
            </w:rPr>
            <w:t>Declaration of generative AI use</w:t>
            <w:tab/>
            <w:t>41</w:t>
          </w:r>
        </w:p>
        <w:p>
          <w:pPr>
            <w:pStyle w:val="TOC1"/>
            <w:tabs>
              <w:tab w:val="clear" w:pos="9026"/>
              <w:tab w:val="right" w:pos="9025" w:leader="dot"/>
            </w:tabs>
            <w:rPr/>
          </w:pPr>
          <w:r>
            <w:rPr>
              <w:webHidden/>
              <w:rStyle w:val="IndexLink"/>
            </w:rPr>
            <w:t>Appendices</w:t>
            <w:tab/>
            <w:t>42</w:t>
          </w:r>
        </w:p>
        <w:p>
          <w:pPr>
            <w:pStyle w:val="TOC2"/>
            <w:tabs>
              <w:tab w:val="clear" w:pos="9026"/>
              <w:tab w:val="right" w:pos="9025" w:leader="dot"/>
            </w:tabs>
            <w:rPr/>
          </w:pPr>
          <w:r>
            <w:rPr>
              <w:webHidden/>
              <w:rStyle w:val="IndexLink"/>
            </w:rPr>
            <w:t>Appendix A. LCA inventory and calculations</w:t>
            <w:tab/>
            <w:t>42</w:t>
          </w:r>
        </w:p>
        <w:p>
          <w:pPr>
            <w:pStyle w:val="TOC2"/>
            <w:tabs>
              <w:tab w:val="clear" w:pos="9026"/>
              <w:tab w:val="right" w:pos="9025" w:leader="dot"/>
            </w:tabs>
            <w:rPr/>
          </w:pPr>
          <w:r>
            <w:rPr>
              <w:webHidden/>
              <w:rStyle w:val="IndexLink"/>
            </w:rPr>
            <w:t>Appendix B. Policy, economics and supply calculations</w:t>
            <w:tab/>
            <w:t>46</w:t>
          </w:r>
        </w:p>
        <w:p>
          <w:pPr>
            <w:pStyle w:val="TOC2"/>
            <w:tabs>
              <w:tab w:val="clear" w:pos="9026"/>
              <w:tab w:val="right" w:pos="9025" w:leader="dot"/>
            </w:tabs>
            <w:rPr/>
          </w:pPr>
          <w:r>
            <w:rPr>
              <w:webHidden/>
              <w:rStyle w:val="IndexLink"/>
            </w:rPr>
            <w:t>Appendix C. Sensitivity analysis</w:t>
            <w:tab/>
            <w:t>49</w:t>
          </w:r>
        </w:p>
        <w:p>
          <w:pPr>
            <w:pStyle w:val="TOC2"/>
            <w:tabs>
              <w:tab w:val="clear" w:pos="9026"/>
              <w:tab w:val="right" w:pos="9025" w:leader="dot"/>
            </w:tabs>
            <w:rPr/>
          </w:pPr>
          <w:r>
            <w:rPr>
              <w:webHidden/>
              <w:rStyle w:val="IndexLink"/>
            </w:rPr>
            <w:t>Appendix E. Search log</w:t>
            <w:tab/>
            <w:t>50</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0"/>
        </w:numPr>
        <w:rPr/>
      </w:pPr>
      <w:r>
        <w:rPr/>
        <w:t>What does one BWRX-300 emit?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1"/>
        </w:numPr>
        <w:rPr/>
      </w:pPr>
      <w:r>
        <w:rPr>
          <w:i/>
          <w:iCs/>
        </w:rPr>
        <w:t>Life cycle (Section 3.2).</w:t>
      </w:r>
      <w:r>
        <w:rPr/>
        <w:t xml:space="preserve"> One BWRX-300 emits about 4 g CO₂e/kWh, mostly from the fuel front end; conversion heat is the largest uncertainty.</w:t>
      </w:r>
    </w:p>
    <w:p>
      <w:pPr>
        <w:pStyle w:val="Compact"/>
        <w:numPr>
          <w:ilvl w:val="0"/>
          <w:numId w:val="12"/>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3"/>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14"/>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[TODO: team to write the AI-use declaration required by the unit (CLAUDE.md: the team decides how AI use is declared).]</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3"/>
        </w:numPr>
        <w:rPr/>
      </w:pPr>
      <w:r>
        <w:rPr/>
        <w:t>Annual output = 300 MWe × 8,760 h × 0.90 = 2,365,200 MWh/yr.</w:t>
      </w:r>
    </w:p>
    <w:p>
      <w:pPr>
        <w:pStyle w:val="Compact"/>
        <w:numPr>
          <w:ilvl w:val="0"/>
          <w:numId w:val="3"/>
        </w:numPr>
        <w:rPr/>
      </w:pPr>
      <w:r>
        <w:rPr/>
        <w:t xml:space="preserve">Lifetime output E = 2,365,200 × 60 years = </w:t>
      </w:r>
      <w:r>
        <w:rPr>
          <w:b/>
          <w:bCs/>
        </w:rPr>
        <w:t>1.419 × 10⁸ MWh</w:t>
      </w:r>
      <w:r>
        <w:rPr/>
        <w:t>.</w:t>
      </w:r>
    </w:p>
    <w:p>
      <w:pPr>
        <w:pStyle w:val="Compact"/>
        <w:numPr>
          <w:ilvl w:val="0"/>
          <w:numId w:val="3"/>
        </w:numPr>
        <w:rPr/>
      </w:pPr>
      <w:r>
        <w:rPr/>
        <w:t xml:space="preserve">Net efficiency = 300 / 870 MWt = </w:t>
      </w:r>
      <w:r>
        <w:rPr>
          <w:b/>
          <w:bCs/>
        </w:rPr>
        <w:t>0.345</w:t>
      </w:r>
      <w:r>
        <w:rPr/>
        <w:t xml:space="preserve"> (Sun and Kurosaki, 2025, unrefereed preprint).</w:t>
      </w:r>
    </w:p>
    <w:p>
      <w:pPr>
        <w:pStyle w:val="Compact"/>
        <w:numPr>
          <w:ilvl w:val="0"/>
          <w:numId w:val="3"/>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1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16"/>
        </w:numPr>
        <w:rPr/>
      </w:pPr>
      <w:r>
        <w:rPr/>
        <w:t>Rebar = 0.15 t/m³ × 50,000 = 7,500 t (assumption); plate and equipment steel = 14,000 − 7,500 = 6,500 t.</w:t>
      </w:r>
    </w:p>
    <w:p>
      <w:pPr>
        <w:pStyle w:val="Compact"/>
        <w:numPr>
          <w:ilvl w:val="0"/>
          <w:numId w:val="17"/>
        </w:numPr>
        <w:rPr/>
      </w:pPr>
      <w:r>
        <w:rPr/>
        <w:t xml:space="preserve">C1-eligible concrete = 0.40 × 50,000 = </w:t>
      </w:r>
      <w:r>
        <w:rPr>
          <w:b/>
          <w:bCs/>
        </w:rPr>
        <w:t>20,000 m³</w:t>
      </w:r>
      <w:r>
        <w:rPr/>
        <w:t xml:space="preserve"> (10,000 and 30,000 at 20% and 60%; a scenario, not data).</w:t>
      </w:r>
    </w:p>
    <w:p>
      <w:pPr>
        <w:pStyle w:val="Compact"/>
        <w:numPr>
          <w:ilvl w:val="0"/>
          <w:numId w:val="1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1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20"/>
        </w:numPr>
        <w:rPr/>
      </w:pPr>
      <w:r>
        <w:rPr>
          <w:b/>
          <w:bCs/>
        </w:rPr>
        <w:t>Slag fallback:</w:t>
      </w:r>
      <w:r>
        <w:rPr/>
        <w:t xml:space="preserve"> 20,000 × 0.114 = 2,288 t.</w:t>
      </w:r>
    </w:p>
    <w:p>
      <w:pPr>
        <w:pStyle w:val="Compact"/>
        <w:numPr>
          <w:ilvl w:val="0"/>
          <w:numId w:val="21"/>
        </w:numPr>
        <w:rPr/>
      </w:pPr>
      <w:r>
        <w:rPr>
          <w:b/>
          <w:bCs/>
        </w:rPr>
        <w:t>Clinker avoided:</w:t>
      </w:r>
      <w:r>
        <w:rPr/>
        <w:t xml:space="preserve"> 20,000 × 350 kg/m³ × (0.92 − 0.50) / 1,000 = 2,940 t (indicative).</w:t>
      </w:r>
    </w:p>
    <w:p>
      <w:pPr>
        <w:pStyle w:val="Compact"/>
        <w:numPr>
          <w:ilvl w:val="0"/>
          <w:numId w:val="22"/>
        </w:numPr>
        <w:rPr/>
      </w:pPr>
      <w:r>
        <w:rPr>
          <w:b/>
          <w:bCs/>
        </w:rPr>
        <w:t>Units 2–4:</w:t>
      </w:r>
      <w:r>
        <w:rPr/>
        <w:t xml:space="preserve"> 3 × per unit = 6,600 t.</w:t>
      </w:r>
    </w:p>
    <w:p>
      <w:pPr>
        <w:pStyle w:val="Compact"/>
        <w:numPr>
          <w:ilvl w:val="0"/>
          <w:numId w:val="23"/>
        </w:numPr>
        <w:rPr/>
      </w:pPr>
      <w:r>
        <w:rPr/>
        <w:t>Monte Carlo median for LC³ at 40%: 2,217 t per unit (1,375–3,294).</w:t>
      </w:r>
    </w:p>
    <w:p>
      <w:pPr>
        <w:pStyle w:val="Heading4"/>
        <w:rPr/>
      </w:pPr>
      <w:r>
        <w:rPr/>
        <w:t>A7 Steel, transport and construction total</w:t>
      </w:r>
    </w:p>
    <w:p>
      <w:pPr>
        <w:pStyle w:val="Compact"/>
        <w:numPr>
          <w:ilvl w:val="0"/>
          <w:numId w:val="24"/>
        </w:numPr>
        <w:rPr/>
      </w:pPr>
      <w:r>
        <w:rPr/>
        <w:t xml:space="preserve">Concrete 19,000 t + steel 18,520 t (7,275 + 11,245) + transport 880 t + uplift 0.5 × 38,400 = 19,200 t = </w:t>
      </w:r>
      <w:r>
        <w:rPr>
          <w:b/>
          <w:bCs/>
        </w:rPr>
        <w:t>57,600 t</w:t>
      </w:r>
      <w:r>
        <w:rPr/>
        <w:t>.</w:t>
      </w:r>
    </w:p>
    <w:p>
      <w:pPr>
        <w:pStyle w:val="Compact"/>
        <w:numPr>
          <w:ilvl w:val="0"/>
          <w:numId w:val="25"/>
        </w:numPr>
        <w:rPr/>
      </w:pPr>
      <w:r>
        <w:rPr/>
        <w:t xml:space="preserve">Per kWh: 57,600 / 1.419 × 10⁸ MWh = </w:t>
      </w:r>
      <w:r>
        <w:rPr>
          <w:b/>
          <w:bCs/>
        </w:rPr>
        <w:t>0.406 g/kWh</w:t>
      </w:r>
      <w:r>
        <w:rPr/>
        <w:t>.</w:t>
      </w:r>
    </w:p>
    <w:p>
      <w:pPr>
        <w:pStyle w:val="Compact"/>
        <w:numPr>
          <w:ilvl w:val="0"/>
          <w:numId w:val="2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2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2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2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3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3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3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3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3">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5">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52</Pages>
  <Words>15499</Words>
  <Characters>90723</Characters>
  <CharactersWithSpaces>104756</CharactersWithSpaces>
  <Paragraphs>1007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2026-10-25T12:45:33Z</dcterms:created>
  <dc:creator/>
  <dc:description/>
  <dc:language>en-US</dc:language>
  <cp:lastModifiedBy/>
  <dcterms:modified xsi:type="dcterms:W3CDTF">2026-10-25T12:45:39Z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