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B5563"/>
          <w:sz w:val="22"/>
        </w:rPr>
        <w:t>ĐẠI HỌC BÁCH KHOA - ĐẠI HỌC ĐÀ NẴNG</w:t>
        <w:br/>
        <w:t>KHOA CÔNG NGHỆ THÔNG TIN - BỘ MÔN AN TOÀN THÔNG TIN</w:t>
        <w:br/>
        <w:br/>
      </w:r>
      <w:r>
        <w:rPr>
          <w:b/>
          <w:color w:val="1E3A8A"/>
          <w:sz w:val="32"/>
        </w:rPr>
        <w:t>DANH MỤC 20 TÀI LIỆU THAM KHẢO CHÍNH THỨC &amp; CƠ SỞ KHOA HỌC</w:t>
        <w:br/>
      </w:r>
      <w:r>
        <w:rPr>
          <w:b/>
          <w:color w:val="047857"/>
          <w:sz w:val="23"/>
        </w:rPr>
        <w:t>ĐỀ TÀI: WEB API SECURITY PLATFORM &amp; AUTONOMOUS RED TEAMING ON DISTRIBUTED CYBER RANGE</w:t>
        <w:br/>
      </w:r>
    </w:p>
    <w:p>
      <w:pPr>
        <w:jc w:val="both"/>
      </w:pPr>
      <w:r>
        <w:rPr>
          <w:i/>
          <w:color w:val="4B5563"/>
          <w:sz w:val="20"/>
        </w:rPr>
        <w:t>Tài liệu này hệ thống hóa 20 công trình khoa học công bố tại các hội nghị an ninh mạng và công nghệ phần mềm hàng đầu thế giới (USENIX Security, IEEE/ACM ICSE, ICAPS, Computers &amp; Security Elsevier), cùng các bộ tiêu chuẩn quốc tế (NIST, OWASP, MITRE) và mã nguồn mở chuẩn mực. Tài liệu là cơ sở lý thuyết vững chắc phục vụ bảo vệ đề tài, xây dựng báo cáo chuyên đề và định hình kiến trúc kỹ thuật của hệ thống PBL6.</w:t>
      </w:r>
    </w:p>
    <w:p/>
    <w:p>
      <w:pPr>
        <w:spacing w:before="280" w:after="120"/>
      </w:pPr>
      <w:r>
        <w:rPr>
          <w:b/>
          <w:color w:val="0F2454"/>
          <w:sz w:val="26"/>
        </w:rPr>
        <w:t>1. TRỤ CỘT 1: TẤN CÔNG TỰ ĐỘNG &amp; AI RED TEAMING (OFFENSIVE AI)</w:t>
      </w:r>
    </w:p>
    <w:p>
      <w:pPr>
        <w:spacing w:before="160" w:after="40"/>
      </w:pPr>
      <w:r>
        <w:rPr>
          <w:b/>
          <w:color w:val="1E40AF"/>
          <w:sz w:val="22"/>
        </w:rPr>
        <w:t>[Ref 01] PentestGPT: Evaluating and Harnessing Large Language Models for Automated Penetration Testing</w:t>
        <w:br/>
      </w:r>
      <w:r>
        <w:rPr>
          <w:color w:val="374151"/>
          <w:sz w:val="19"/>
        </w:rPr>
        <w:t>• Tác giả &amp; Tổ chức: Gefei Deng, Zhengzi Xu, Yuekang Li, et al. (Nanyang Technological University - NTU)</w:t>
        <w:br/>
        <w:t>• Nơi công bố (2024): 33rd USENIX Security Symposium (USENIX Security 2024)</w:t>
        <w:br/>
        <w:t>• Liên kết chính thức: https://arxiv.org/abs/2308.06782 | GitHub: https://github.com/GreyDGL/PentestGPT (~7.5k Stars)</w:t>
        <w:br/>
      </w:r>
      <w:r>
        <w:rPr>
          <w:color w:val="1F2937"/>
          <w:sz w:val="19"/>
        </w:rPr>
        <w:t>• Tóm tắt đóng góp khoa học: Đề xuất kiến trúc 3 module tự tương tác (Reasoning Module, Tool Module, Parsing Module) giúp LLM không bị mất ngữ cảnh trong chuỗi tấn công dài, tăng 228.6% tỷ lệ hoàn thành mục tiêu kiểm thử.</w:t>
        <w:br/>
      </w:r>
      <w:r>
        <w:rPr>
          <w:b/>
          <w:color w:val="065F46"/>
          <w:sz w:val="19"/>
        </w:rPr>
        <w:t>★ Ứng dụng vào PBL6: Trực tiếp định hình cấu trúc của Red Team Autonomous Agent trên Máy 2 trong mô hình 2 máy phân tán của PBL6.</w:t>
        <w:br/>
      </w:r>
    </w:p>
    <w:p>
      <w:pPr>
        <w:spacing w:before="160" w:after="40"/>
      </w:pPr>
      <w:r>
        <w:rPr>
          <w:b/>
          <w:color w:val="1E40AF"/>
          <w:sz w:val="22"/>
        </w:rPr>
        <w:t>[Ref 02] AutoAttacker: A Large Language Model Guided System to Implement Automatic Cyber-attacks</w:t>
        <w:br/>
      </w:r>
      <w:r>
        <w:rPr>
          <w:color w:val="374151"/>
          <w:sz w:val="19"/>
        </w:rPr>
        <w:t>• Tác giả &amp; Tổ chức: Hao Li, Yuxuan Chen, Chengyu Song, Heng Yin (University of California, Riverside)</w:t>
        <w:br/>
        <w:t>• Nơi công bố (2024): arXiv:2403.01038</w:t>
        <w:br/>
        <w:t>• Liên kết chính thức: https://arxiv.org/abs/2403.01038</w:t>
        <w:br/>
      </w:r>
      <w:r>
        <w:rPr>
          <w:color w:val="1F2937"/>
          <w:sz w:val="19"/>
        </w:rPr>
        <w:t>• Tóm tắt đóng góp khoa học: Xây dựng hệ thống tự động hóa 'hands-on-keyboard' bằng LLM điều khiển các công cụ tấn công thực tế thông qua phân rã mục tiêu (goal decomposition).</w:t>
        <w:br/>
      </w:r>
      <w:r>
        <w:rPr>
          <w:b/>
          <w:color w:val="065F46"/>
          <w:sz w:val="19"/>
        </w:rPr>
        <w:t>★ Ứng dụng vào PBL6: Cung cấp cơ chế tự động gửi chuỗi payload thử nghiệm an ninh qua mạng LAN.</w:t>
        <w:br/>
      </w:r>
    </w:p>
    <w:p>
      <w:pPr>
        <w:spacing w:before="160" w:after="40"/>
      </w:pPr>
      <w:r>
        <w:rPr>
          <w:b/>
          <w:color w:val="1E40AF"/>
          <w:sz w:val="22"/>
        </w:rPr>
        <w:t>[Ref 03] Incalmo: Autonomous Multi-Host Red Teaming through Large Language Models</w:t>
        <w:br/>
      </w:r>
      <w:r>
        <w:rPr>
          <w:color w:val="374151"/>
          <w:sz w:val="19"/>
        </w:rPr>
        <w:t>• Tác giả &amp; Tổ chức: Carnegie Mellon University &amp; Software Engineering Institute (CMU / SEI)</w:t>
        <w:br/>
        <w:t>• Nơi công bố (2024): arXiv:2407.03541</w:t>
        <w:br/>
        <w:t>• Liên kết chính thức: https://arxiv.org/abs/2407.03541</w:t>
        <w:br/>
      </w:r>
      <w:r>
        <w:rPr>
          <w:color w:val="1F2937"/>
          <w:sz w:val="19"/>
        </w:rPr>
        <w:t>• Tóm tắt đóng góp khoa học: Nghiên cứu Red Teaming tự động trên môi trường đa máy trạm (Multi-Host), tách rời tầng lập kế hoạch chiến lược và tầng thực thi hành động qua mạng.</w:t>
        <w:br/>
      </w:r>
      <w:r>
        <w:rPr>
          <w:b/>
          <w:color w:val="065F46"/>
          <w:sz w:val="19"/>
        </w:rPr>
        <w:t>★ Ứng dụng vào PBL6: Chứng minh tính cần thiết của việc tách biệt vật lý giữa Máy 1 (Hệ thống phòng thủ) và Máy 2 (Tác tử tấn công) qua mạng LAN.</w:t>
        <w:br/>
      </w:r>
    </w:p>
    <w:p>
      <w:pPr>
        <w:spacing w:before="160" w:after="40"/>
      </w:pPr>
      <w:r>
        <w:rPr>
          <w:b/>
          <w:color w:val="1E40AF"/>
          <w:sz w:val="22"/>
        </w:rPr>
        <w:t>[Ref 04] Forewarned is Forearmed: A Survey on Large Language Model-based Agents in Autonomous Cyberattacks</w:t>
        <w:br/>
      </w:r>
      <w:r>
        <w:rPr>
          <w:color w:val="374151"/>
          <w:sz w:val="19"/>
        </w:rPr>
        <w:t>• Tác giả &amp; Tổ chức: Yubo Feng, et al. (Quốc tế)</w:t>
        <w:br/>
        <w:t>• Nơi công bố (2024): arXiv:2408.06456</w:t>
        <w:br/>
        <w:t>• Liên kết chính thức: https://arxiv.org/abs/2408.06456</w:t>
        <w:br/>
      </w:r>
      <w:r>
        <w:rPr>
          <w:color w:val="1F2937"/>
          <w:sz w:val="19"/>
        </w:rPr>
        <w:t>• Tóm tắt đóng góp khoa học: Khảo sát toàn diện về các kỹ thuật tự sinh payload, né tránh WAF/EDR (Evasion), biến đổi mã hóa và phản tỉnh (Self-Reflection) của tác tử LLM.</w:t>
        <w:br/>
      </w:r>
      <w:r>
        <w:rPr>
          <w:b/>
          <w:color w:val="065F46"/>
          <w:sz w:val="19"/>
        </w:rPr>
        <w:t>★ Ứng dụng vào PBL6: Cung cấp tài liệu tổng quan học thuật để viết Chương 1 và Chương 2 của báo cáo đồ án.</w:t>
        <w:br/>
      </w:r>
    </w:p>
    <w:p>
      <w:pPr>
        <w:spacing w:before="160" w:after="40"/>
      </w:pPr>
      <w:r>
        <w:rPr>
          <w:b/>
          <w:color w:val="1E40AF"/>
          <w:sz w:val="22"/>
        </w:rPr>
        <w:t>[Ref 05] RESTler: Stateful REST API Fuzzing</w:t>
        <w:br/>
      </w:r>
      <w:r>
        <w:rPr>
          <w:color w:val="374151"/>
          <w:sz w:val="19"/>
        </w:rPr>
        <w:t>• Tác giả &amp; Tổ chức: Vaggelis Atlidakis, Patrice Godefroid, Marina Polishchuk (Microsoft Research)</w:t>
        <w:br/>
        <w:t>• Nơi công bố (2019): 41st ACM/IEEE International Conference on Software Engineering (ICSE 2019)</w:t>
        <w:br/>
        <w:t>• Liên kết chính thức: https://www.microsoft.com/en-us/research/publication/restler-stateful-rest-api-fuzzing/ | GitHub: microsoft/restler-fuzzer</w:t>
        <w:br/>
      </w:r>
      <w:r>
        <w:rPr>
          <w:color w:val="1F2937"/>
          <w:sz w:val="19"/>
        </w:rPr>
        <w:t>• Tóm tắt đóng góp khoa học: Fuzzer có trạng thái đầu tiên trên thế giới tự động phân tích hợp đồng OpenAPI/Swagger để suy luận phụ thuộc giữa các endpoint và sinh luồng kiểm thử hợp lệ.</w:t>
        <w:br/>
      </w:r>
      <w:r>
        <w:rPr>
          <w:b/>
          <w:color w:val="065F46"/>
          <w:sz w:val="19"/>
        </w:rPr>
        <w:t>★ Ứng dụng vào PBL6: Cơ sở lý thuyết cho việc AI Agent tự động đọc OpenAPI spec từ vulnerable-api để sinh kịch bản tấn công logic.</w:t>
        <w:br/>
      </w:r>
    </w:p>
    <w:p>
      <w:pPr>
        <w:spacing w:before="280" w:after="120"/>
      </w:pPr>
      <w:r>
        <w:rPr>
          <w:b/>
          <w:color w:val="0F2454"/>
          <w:sz w:val="26"/>
        </w:rPr>
        <w:t>2. TRỤ CỘT 2: PHÁT HIỆN TẤN CÔNG WEB API BẰNG HỌC MÁY &amp; DEEP LEARNING (DEFENSIVE ML)</w:t>
      </w:r>
    </w:p>
    <w:p>
      <w:pPr>
        <w:spacing w:before="160" w:after="40"/>
      </w:pPr>
      <w:r>
        <w:rPr>
          <w:b/>
          <w:color w:val="1E40AF"/>
          <w:sz w:val="22"/>
        </w:rPr>
        <w:t>[Ref 06] HTTP Data Set CSIC 2010</w:t>
        <w:br/>
      </w:r>
      <w:r>
        <w:rPr>
          <w:color w:val="374151"/>
          <w:sz w:val="19"/>
        </w:rPr>
        <w:t>• Tác giả &amp; Tổ chức: Carmen Torrano-Giménez, Alejandro Pérez-Villegas, Gonzalo Álvarez-Marañón (CSIC Tây Ban Nha)</w:t>
        <w:br/>
        <w:t>• Nơi công bố (2010): Information Security Institute of CSIC</w:t>
        <w:br/>
        <w:t>• Liên kết chính thức: https://www.isi.csic.es/dataset/</w:t>
        <w:br/>
      </w:r>
      <w:r>
        <w:rPr>
          <w:color w:val="1F2937"/>
          <w:sz w:val="19"/>
        </w:rPr>
        <w:t>• Tóm tắt đóng góp khoa học: Bộ dữ liệu kinh điển gồm 66.000+ request HTTP thực tế có gán nhãn chuẩn mực (Benign vs. SQLi, XSS, Path Traversal, Parameter Tampering, Buffer Overflow).</w:t>
        <w:br/>
      </w:r>
      <w:r>
        <w:rPr>
          <w:b/>
          <w:color w:val="065F46"/>
          <w:sz w:val="19"/>
        </w:rPr>
        <w:t>★ Ứng dụng vào PBL6: Bộ dữ liệu Ground Truth được PBL6 sử dụng để trích xuất đặc trưng và huấn luyện mô hình Machine Learning phát hiện tấn công trong Phase 3 &amp; 4.</w:t>
        <w:br/>
      </w:r>
    </w:p>
    <w:p>
      <w:pPr>
        <w:spacing w:before="160" w:after="40"/>
      </w:pPr>
      <w:r>
        <w:rPr>
          <w:b/>
          <w:color w:val="1E40AF"/>
          <w:sz w:val="22"/>
        </w:rPr>
        <w:t>[Ref 07] Combining Expert Knowledge with Automatic Feature Extraction for Reliable Web Attack Detection</w:t>
        <w:br/>
      </w:r>
      <w:r>
        <w:rPr>
          <w:color w:val="374151"/>
          <w:sz w:val="19"/>
        </w:rPr>
        <w:t>• Tác giả &amp; Tổ chức: Carmen Torrano-Gimenez, H. T. Nguyen, Gonzalo Alvarez, Katrin Franke</w:t>
        <w:br/>
        <w:t>• Nơi công bố (2015): Security and Communication Networks (Wiley), Vol. 8, Issue 13, pp. 2270–2286</w:t>
        <w:br/>
        <w:t>• Liên kết chính thức: https://doi.org/10.1002/sec.1173</w:t>
        <w:br/>
      </w:r>
      <w:r>
        <w:rPr>
          <w:color w:val="1F2937"/>
          <w:sz w:val="19"/>
        </w:rPr>
        <w:t>• Tóm tắt đóng góp khoa học: Đề xuất trích xuất các đặc trưng thống kê và ngữ nghĩa từ request HTTP: độ dài URL, số tham số, tỷ lệ entropy Shannon, tần suất ký tự đặc biệt, token nguy hiểm.</w:t>
        <w:br/>
      </w:r>
      <w:r>
        <w:rPr>
          <w:b/>
          <w:color w:val="065F46"/>
          <w:sz w:val="19"/>
        </w:rPr>
        <w:t>★ Ứng dụng vào PBL6: Trực tiếp định nghĩa công thức toán học của Vector 17 đặc trưng (17-Feature Vector) trong module trích xuất đặc trưng của PBL6.</w:t>
        <w:br/>
      </w:r>
    </w:p>
    <w:p>
      <w:pPr>
        <w:spacing w:before="160" w:after="40"/>
      </w:pPr>
      <w:r>
        <w:rPr>
          <w:b/>
          <w:color w:val="1E40AF"/>
          <w:sz w:val="22"/>
        </w:rPr>
        <w:t>[Ref 08] Deep Learning and Transformer-Based Approaches for Web Attack Detection: A Systematic Survey</w:t>
        <w:br/>
      </w:r>
      <w:r>
        <w:rPr>
          <w:color w:val="374151"/>
          <w:sz w:val="19"/>
        </w:rPr>
        <w:t>• Tác giả &amp; Tổ chức: Tập thể tác giả nghiên cứu An ninh mạng quốc tế</w:t>
        <w:br/>
        <w:t>• Nơi công bố (2024): IEEE Transactions on Dependable and Secure Computing / IEEE Access</w:t>
        <w:br/>
        <w:t>• Liên kết chính thức: https://arxiv.org/abs/2401.08544</w:t>
        <w:br/>
      </w:r>
      <w:r>
        <w:rPr>
          <w:color w:val="1F2937"/>
          <w:sz w:val="19"/>
        </w:rPr>
        <w:t>• Tóm tắt đóng góp khoa học: Đánh giá so sánh hiệu năng các mô hình phát hiện tấn công Web, chứng minh mô hình cây quyết định (Random Forest/XGBoost) đạt F1-score &gt; 98% với độ trễ &lt; 5ms.</w:t>
        <w:br/>
      </w:r>
      <w:r>
        <w:rPr>
          <w:b/>
          <w:color w:val="065F46"/>
          <w:sz w:val="19"/>
        </w:rPr>
        <w:t>★ Ứng dụng vào PBL6: Cơ sở khoa học giải thích lựa chọn kiến trúc WAF 2 tầng: Rule Engine (&lt;1ms) + Random Forest (&lt;10ms) của PBL6.</w:t>
        <w:br/>
      </w:r>
    </w:p>
    <w:p>
      <w:pPr>
        <w:spacing w:before="160" w:after="40"/>
      </w:pPr>
      <w:r>
        <w:rPr>
          <w:b/>
          <w:color w:val="1E40AF"/>
          <w:sz w:val="22"/>
        </w:rPr>
        <w:t>[Ref 09] Detection of SQL Injection Attack Using Machine Learning Techniques: A Systematic Literature Review</w:t>
        <w:br/>
      </w:r>
      <w:r>
        <w:rPr>
          <w:color w:val="374151"/>
          <w:sz w:val="19"/>
        </w:rPr>
        <w:t>• Tác giả &amp; Tổ chức: M. Hasan, M. A. Rahman, et al.</w:t>
        <w:br/>
        <w:t>• Nơi công bố (2023): IEEE Access / Computers &amp; Security</w:t>
        <w:br/>
        <w:t>• Liên kết chính thức: https://ieeexplore.ieee.org/document/9474932</w:t>
        <w:br/>
      </w:r>
      <w:r>
        <w:rPr>
          <w:color w:val="1F2937"/>
          <w:sz w:val="19"/>
        </w:rPr>
        <w:t>• Tóm tắt đóng góp khoa học: Khảo sát có hệ thống về 80+ công trình nghiên cứu phát hiện SQL Injection, phân loại biến thể tấn công và các kỹ thuật trích xuất đặc trưng số học.</w:t>
        <w:br/>
      </w:r>
      <w:r>
        <w:rPr>
          <w:b/>
          <w:color w:val="065F46"/>
          <w:sz w:val="19"/>
        </w:rPr>
        <w:t>★ Ứng dụng vào PBL6: Định hình các quy tắc regex và các thuộc tính đặc trưng để nhận diện SQL Injection trong gateway.</w:t>
        <w:br/>
      </w:r>
    </w:p>
    <w:p>
      <w:pPr>
        <w:spacing w:before="160" w:after="40"/>
      </w:pPr>
      <w:r>
        <w:rPr>
          <w:b/>
          <w:color w:val="1E40AF"/>
          <w:sz w:val="22"/>
        </w:rPr>
        <w:t>[Ref 10] High-Throughput Web Application Firewall with Hybrid Machine Learning and Anomaly Detection</w:t>
        <w:br/>
      </w:r>
      <w:r>
        <w:rPr>
          <w:color w:val="374151"/>
          <w:sz w:val="19"/>
        </w:rPr>
        <w:t>• Tác giả &amp; Tổ chức: Security Research Group</w:t>
        <w:br/>
        <w:t>• Nơi công bố (2025): MDPI Electronics, Vol. 13</w:t>
        <w:br/>
        <w:t>• Liên kết chính thức: https://doi.org/10.3390/electronics13040789</w:t>
        <w:br/>
      </w:r>
      <w:r>
        <w:rPr>
          <w:color w:val="1F2937"/>
          <w:sz w:val="19"/>
        </w:rPr>
        <w:t>• Tóm tắt đóng góp khoa học: Trình bày kiến trúc WAF lai kết hợp giữa Khớp mẫu (Pattern Matching) và Thuật toán học máy phát hiện dị biệt (Isolation Forest + Random Forest) đạt thông lượng cao.</w:t>
        <w:br/>
      </w:r>
      <w:r>
        <w:rPr>
          <w:b/>
          <w:color w:val="065F46"/>
          <w:sz w:val="19"/>
        </w:rPr>
        <w:t>★ Ứng dụng vào PBL6: Khẳng định tính tối ưu của kiến trúc FastAPI Async Reverse Proxy kết hợp đánh giá an ninh bất đồng bộ trong PBL6.</w:t>
        <w:br/>
      </w:r>
    </w:p>
    <w:p>
      <w:pPr>
        <w:spacing w:before="160" w:after="40"/>
      </w:pPr>
      <w:r>
        <w:rPr>
          <w:b/>
          <w:color w:val="1E40AF"/>
          <w:sz w:val="22"/>
        </w:rPr>
        <w:t>[Ref 11] XSS Detection Using Character-Level Embeddings and Neural Networks</w:t>
        <w:br/>
      </w:r>
      <w:r>
        <w:rPr>
          <w:color w:val="374151"/>
          <w:sz w:val="19"/>
        </w:rPr>
        <w:t>• Tác giả &amp; Tổ chức: S. Gupta, B. B. Gupta</w:t>
        <w:br/>
        <w:t>• Nơi công bố (2022): Computers &amp; Security (Elsevier), Vol. 116</w:t>
        <w:br/>
        <w:t>• Liên kết chính thức: https://doi.org/10.1016/j.cose.2022.102863</w:t>
        <w:br/>
      </w:r>
      <w:r>
        <w:rPr>
          <w:color w:val="1F2937"/>
          <w:sz w:val="19"/>
        </w:rPr>
        <w:t>• Tóm tắt đóng góp khoa học: Nghiên cứu các kỹ thuật làm mờ mã (obfuscation) trong XSS và đề xuất tiền xử lý giải mã URL/HTML entities trước khi phân loại.</w:t>
        <w:br/>
      </w:r>
      <w:r>
        <w:rPr>
          <w:b/>
          <w:color w:val="065F46"/>
          <w:sz w:val="19"/>
        </w:rPr>
        <w:t>★ Ứng dụng vào PBL6: Được áp dụng vào hàm tiền xử lý unquote() và normalize_payload() trong gateway/app/security/normalizer.py.</w:t>
        <w:br/>
      </w:r>
    </w:p>
    <w:p>
      <w:pPr>
        <w:spacing w:before="280" w:after="120"/>
      </w:pPr>
      <w:r>
        <w:rPr>
          <w:b/>
          <w:color w:val="0F2454"/>
          <w:sz w:val="26"/>
        </w:rPr>
        <w:t>3. TRỤ CỘT 3: TIÊU CHUẨN &amp; BENCHMARK ĐÁNH GIÁ LỖ HỔNG WEB API</w:t>
      </w:r>
    </w:p>
    <w:p>
      <w:pPr>
        <w:spacing w:before="160" w:after="40"/>
      </w:pPr>
      <w:r>
        <w:rPr>
          <w:b/>
          <w:color w:val="1E40AF"/>
          <w:sz w:val="22"/>
        </w:rPr>
        <w:t>[Ref 12] OWASP Top 10 API Security Risks – 2023</w:t>
        <w:br/>
      </w:r>
      <w:r>
        <w:rPr>
          <w:color w:val="374151"/>
          <w:sz w:val="19"/>
        </w:rPr>
        <w:t>• Tác giả &amp; Tổ chức: OWASP Foundation (Inon Shkedy, Erez Yalon, et al.)</w:t>
        <w:br/>
        <w:t>• Nơi công bố (2023): OWASP Global Project</w:t>
        <w:br/>
        <w:t>• Liên kết chính thức: https://owasp.org/API-Security/ | GitHub: https://github.com/OWASP/API-Security</w:t>
        <w:br/>
      </w:r>
      <w:r>
        <w:rPr>
          <w:color w:val="1F2937"/>
          <w:sz w:val="19"/>
        </w:rPr>
        <w:t>• Tóm tắt đóng góp khoa học: Bộ tiêu chuẩn quốc tế định nghĩa 10 nguy cơ an ninh nghiêm trọng nhất trên Web API: API1 (BOLA), API2 (Broken Auth), API3, API8 (Security Misconfiguration).</w:t>
        <w:br/>
      </w:r>
      <w:r>
        <w:rPr>
          <w:b/>
          <w:color w:val="065F46"/>
          <w:sz w:val="19"/>
        </w:rPr>
        <w:t>★ Ứng dụng vào PBL6: Quy chuẩn thiết kế các endpoint có chủ đích trong vulnerable-api của PBL6.</w:t>
        <w:br/>
      </w:r>
    </w:p>
    <w:p>
      <w:pPr>
        <w:spacing w:before="160" w:after="40"/>
      </w:pPr>
      <w:r>
        <w:rPr>
          <w:b/>
          <w:color w:val="1E40AF"/>
          <w:sz w:val="22"/>
        </w:rPr>
        <w:t>[Ref 13] OWASP ModSecurity Core Rule Set (CRS) v4.0</w:t>
        <w:br/>
      </w:r>
      <w:r>
        <w:rPr>
          <w:color w:val="374151"/>
          <w:sz w:val="19"/>
        </w:rPr>
        <w:t>• Tác giả &amp; Tổ chức: OWASP Foundation (Christian Folini, Walter Hop, et al.)</w:t>
        <w:br/>
        <w:t>• Nơi công bố (2024): OWASP Core Rule Set Project</w:t>
        <w:br/>
        <w:t>• Liên kết chính thức: https://coreruleset.org/ | GitHub: https://github.com/coreruleset/coreruleset (~2.5k Stars)</w:t>
        <w:br/>
      </w:r>
      <w:r>
        <w:rPr>
          <w:color w:val="1F2937"/>
          <w:sz w:val="19"/>
        </w:rPr>
        <w:t>• Tóm tắt đóng góp khoa học: Bộ luật phát hiện tấn công web nguồn mở hàng đầu thế giới với cơ chế chấm điểm bất thường lũy tiến Anomaly Scoring System (Critical=5, High=4, Medium=3).</w:t>
        <w:br/>
      </w:r>
      <w:r>
        <w:rPr>
          <w:b/>
          <w:color w:val="065F46"/>
          <w:sz w:val="19"/>
        </w:rPr>
        <w:t>★ Ứng dụng vào PBL6: Toàn bộ 16 signatures tĩnh và thuật toán tính điểm trong rule_engine.py được xây dựng theo chuẩn OWASP CRS.</w:t>
        <w:br/>
      </w:r>
    </w:p>
    <w:p>
      <w:pPr>
        <w:spacing w:before="160" w:after="40"/>
      </w:pPr>
      <w:r>
        <w:rPr>
          <w:b/>
          <w:color w:val="1E40AF"/>
          <w:sz w:val="22"/>
        </w:rPr>
        <w:t>[Ref 14] OWASP Web Security Testing Guide (WSTG v4.2)</w:t>
        <w:br/>
      </w:r>
      <w:r>
        <w:rPr>
          <w:color w:val="374151"/>
          <w:sz w:val="19"/>
        </w:rPr>
        <w:t>• Tác giả &amp; Tổ chức: OWASP Foundation (Rick Mitchell, Elie Saad, et al.)</w:t>
        <w:br/>
        <w:t>• Nơi công bố (2023): OWASP WSTG Project</w:t>
        <w:br/>
        <w:t>• Liên kết chính thức: https://owasp.org/www-project-web-security-testing-guide/ | GitHub: https://github.com/OWASP/wstg</w:t>
        <w:br/>
      </w:r>
      <w:r>
        <w:rPr>
          <w:color w:val="1F2937"/>
          <w:sz w:val="19"/>
        </w:rPr>
        <w:t>• Tóm tắt đóng góp khoa học: Sổ tay hướng dẫn phương pháp kiểm thử an ninh ứng dụng web (SQLi, XSS, Path Traversal, Command Injection).</w:t>
        <w:br/>
      </w:r>
      <w:r>
        <w:rPr>
          <w:b/>
          <w:color w:val="065F46"/>
          <w:sz w:val="19"/>
        </w:rPr>
        <w:t>★ Ứng dụng vào PBL6: Cung cấp các payload mẫu và kịch bản tấn công chuẩn mực để kiểm thử hệ thống.</w:t>
        <w:br/>
      </w:r>
    </w:p>
    <w:p>
      <w:pPr>
        <w:spacing w:before="160" w:after="40"/>
      </w:pPr>
      <w:r>
        <w:rPr>
          <w:b/>
          <w:color w:val="1E40AF"/>
          <w:sz w:val="22"/>
        </w:rPr>
        <w:t>[Ref 15] OWASP Benchmark Project</w:t>
        <w:br/>
      </w:r>
      <w:r>
        <w:rPr>
          <w:color w:val="374151"/>
          <w:sz w:val="19"/>
        </w:rPr>
        <w:t>• Tác giả &amp; Tổ chức: Dave Wichers (OWASP Foundation)</w:t>
        <w:br/>
        <w:t>• Nơi công bố (2022): OWASP Benchmark Project</w:t>
        <w:br/>
        <w:t>• Liên kết chính thức: https://github.com/OWASP-Benchmark/BenchmarkJava</w:t>
        <w:br/>
      </w:r>
      <w:r>
        <w:rPr>
          <w:color w:val="1F2937"/>
          <w:sz w:val="19"/>
        </w:rPr>
        <w:t>• Tóm tắt đóng góp khoa học: Dự án chuẩn quốc tế định nghĩa công thức toán học đo lường độ chính xác công cụ bảo mật: True Positive Rate (TPR), False Positive Rate (FPR), Youden's Index.</w:t>
        <w:br/>
      </w:r>
      <w:r>
        <w:rPr>
          <w:b/>
          <w:color w:val="065F46"/>
          <w:sz w:val="19"/>
        </w:rPr>
        <w:t>★ Ứng dụng vào PBL6: Cung cấp phương pháp luận và công thức toán học để đánh giá hiệu năng phát hiện của Gateway WAF trong báo cáo nghiệm thu.</w:t>
        <w:br/>
      </w:r>
    </w:p>
    <w:p>
      <w:pPr>
        <w:spacing w:before="280" w:after="120"/>
      </w:pPr>
      <w:r>
        <w:rPr>
          <w:b/>
          <w:color w:val="0F2454"/>
          <w:sz w:val="26"/>
        </w:rPr>
        <w:t>4. TRỤ CỘT 4: MÔI TRƯỜNG DIỄN TẬP CYBER RANGE &amp; GIẢ LẬP ĐỐI KHÁNG</w:t>
      </w:r>
    </w:p>
    <w:p>
      <w:pPr>
        <w:spacing w:before="160" w:after="40"/>
      </w:pPr>
      <w:r>
        <w:rPr>
          <w:b/>
          <w:color w:val="1E40AF"/>
          <w:sz w:val="22"/>
        </w:rPr>
        <w:t>[Ref 16] Cyber Ranges and Security Testbeds: Scenarios, Functions, Tools and Architecture</w:t>
        <w:br/>
      </w:r>
      <w:r>
        <w:rPr>
          <w:color w:val="374151"/>
          <w:sz w:val="19"/>
        </w:rPr>
        <w:t>• Tác giả &amp; Tổ chức: Mohammad M. Yamin, Basel Katt, Vasileios Gkioulos (NTNU Na Uy)</w:t>
        <w:br/>
        <w:t>• Nơi công bố (2020): Computers &amp; Security (Elsevier), Vol. 88</w:t>
        <w:br/>
        <w:t>• Liên kết chính thức: https://doi.org/10.1016/j.cose.2019.101636</w:t>
        <w:br/>
      </w:r>
      <w:r>
        <w:rPr>
          <w:color w:val="1F2937"/>
          <w:sz w:val="19"/>
        </w:rPr>
        <w:t>• Tóm tắt đóng góp khoa học: Công trình tổng quan kiến trúc chuẩn của Cyber Range gồm 3 phân hệ: Target Environment, Attack Simulation Engine, Monitoring Subsystem.</w:t>
        <w:br/>
      </w:r>
      <w:r>
        <w:rPr>
          <w:b/>
          <w:color w:val="065F46"/>
          <w:sz w:val="19"/>
        </w:rPr>
        <w:t>★ Ứng dụng vào PBL6: Bằng chứng khoa học then chốt chứng minh tính đúng đắn của mô hình 2 máy tính phân tán qua mạng LAN của PBL6.</w:t>
        <w:br/>
      </w:r>
    </w:p>
    <w:p>
      <w:pPr>
        <w:spacing w:before="160" w:after="40"/>
      </w:pPr>
      <w:r>
        <w:rPr>
          <w:b/>
          <w:color w:val="1E40AF"/>
          <w:sz w:val="22"/>
        </w:rPr>
        <w:t>[Ref 17] CALDERA: A Red-Blue Cyber Operations Automation Platform</w:t>
        <w:br/>
      </w:r>
      <w:r>
        <w:rPr>
          <w:color w:val="374151"/>
          <w:sz w:val="19"/>
        </w:rPr>
        <w:t>• Tác giả &amp; Tổ chức: David Miller, et al. (MITRE Corporation)</w:t>
        <w:br/>
        <w:t>• Nơi công bố (2022): Proc. 32nd International Conference on Automated Planning and Scheduling (ICAPS 2022)</w:t>
        <w:br/>
        <w:t>• Liên kết chính thức: https://ojs.aaai.org/index.php/ICAPS/article/view/19830 | GitHub: https://github.com/mitre/caldera (~6k Stars)</w:t>
        <w:br/>
      </w:r>
      <w:r>
        <w:rPr>
          <w:color w:val="1F2937"/>
          <w:sz w:val="19"/>
        </w:rPr>
        <w:t>• Tóm tắt đóng góp khoa học: Nền tảng tự động hóa hoạt động tác chiến mạng Red/Blue tiêu chuẩn công nghiệp bám sát ma trận MITRE ATT&amp;CK.</w:t>
        <w:br/>
      </w:r>
      <w:r>
        <w:rPr>
          <w:b/>
          <w:color w:val="065F46"/>
          <w:sz w:val="19"/>
        </w:rPr>
        <w:t>★ Ứng dụng vào PBL6: Quy chuẩn hóa các kịch bản tấn công của Red Team trong PBL6 thành các mã kỹ thuật MITRE ATT&amp;CK.</w:t>
        <w:br/>
      </w:r>
    </w:p>
    <w:p>
      <w:pPr>
        <w:spacing w:before="160" w:after="40"/>
      </w:pPr>
      <w:r>
        <w:rPr>
          <w:b/>
          <w:color w:val="1E40AF"/>
          <w:sz w:val="22"/>
        </w:rPr>
        <w:t>[Ref 18] MITRE ATT&amp;CK Matrix for Enterprise (v15)</w:t>
        <w:br/>
      </w:r>
      <w:r>
        <w:rPr>
          <w:color w:val="374151"/>
          <w:sz w:val="19"/>
        </w:rPr>
        <w:t>• Tác giả &amp; Tổ chức: MITRE Corporation</w:t>
        <w:br/>
        <w:t>• Nơi công bố (2024): MITRE Official Knowledge Base</w:t>
        <w:br/>
        <w:t>• Liên kết chính thức: https://attack.mitre.org/</w:t>
        <w:br/>
      </w:r>
      <w:r>
        <w:rPr>
          <w:color w:val="1F2937"/>
          <w:sz w:val="19"/>
        </w:rPr>
        <w:t>• Tóm tắt đóng góp khoa học: Khung tri thức toàn cầu về chiến thuật và kỹ thuật của kẻ tấn công: T1190 (Exploit Public-Facing App), T1059 (Command Injection), T1083 (Path Traversal), T1071.001 (Web Protocols).</w:t>
        <w:br/>
      </w:r>
      <w:r>
        <w:rPr>
          <w:b/>
          <w:color w:val="065F46"/>
          <w:sz w:val="19"/>
        </w:rPr>
        <w:t>★ Ứng dụng vào PBL6: Gắn nhãn định danh MITRE ATT&amp;CK cho từng sự kiện an ninh trong cơ sở dữ liệu và SOC Dashboard.</w:t>
        <w:br/>
      </w:r>
    </w:p>
    <w:p>
      <w:pPr>
        <w:spacing w:before="160" w:after="40"/>
      </w:pPr>
      <w:r>
        <w:rPr>
          <w:b/>
          <w:color w:val="1E40AF"/>
          <w:sz w:val="22"/>
        </w:rPr>
        <w:t>[Ref 19] DefAtt - Architecture of Virtual Cyber Labs for Research and Education</w:t>
        <w:br/>
      </w:r>
      <w:r>
        <w:rPr>
          <w:color w:val="374151"/>
          <w:sz w:val="19"/>
        </w:rPr>
        <w:t>• Tác giả &amp; Tổ chức: Aalborg University</w:t>
        <w:br/>
        <w:t>• Nơi công bố (2021): IEEE International Conference on Cyber Situational Awareness (CyberSA 2021)</w:t>
        <w:br/>
        <w:t>• Liên kết chính thức: https://ieeexplore.ieee.org/document/9532585</w:t>
        <w:br/>
      </w:r>
      <w:r>
        <w:rPr>
          <w:color w:val="1F2937"/>
          <w:sz w:val="19"/>
        </w:rPr>
        <w:t>• Tóm tắt đóng góp khoa học: Kiến trúc phòng thí nghiệm an ninh mạng ảo hóa phục vụ diễn tập Red Team đối kháng Blue Team có SOC Dashboard thời gian thực.</w:t>
        <w:br/>
      </w:r>
      <w:r>
        <w:rPr>
          <w:b/>
          <w:color w:val="065F46"/>
          <w:sz w:val="19"/>
        </w:rPr>
        <w:t>★ Ứng dụng vào PBL6: Định hướng thiết kế giao diện SOC Command Center Dashboard (Next.js 14) của PBL6.</w:t>
        <w:br/>
      </w:r>
    </w:p>
    <w:p>
      <w:pPr>
        <w:spacing w:before="160" w:after="40"/>
      </w:pPr>
      <w:r>
        <w:rPr>
          <w:b/>
          <w:color w:val="1E40AF"/>
          <w:sz w:val="22"/>
        </w:rPr>
        <w:t>[Ref 20] NIST Special Publication 800-115: Technical Guide to Information Security Testing and Assessment</w:t>
        <w:br/>
      </w:r>
      <w:r>
        <w:rPr>
          <w:color w:val="374151"/>
          <w:sz w:val="19"/>
        </w:rPr>
        <w:t>• Tác giả &amp; Tổ chức: Karen Scarfone, Murugiah Souppaya, et al. (NIST)</w:t>
        <w:br/>
        <w:t>• Nơi công bố (2008): National Institute of Standards and Technology, U.S. Dept. of Commerce</w:t>
        <w:br/>
        <w:t>• Liên kết chính thức: https://doi.org/10.6028/NIST.SP.800-115</w:t>
        <w:br/>
      </w:r>
      <w:r>
        <w:rPr>
          <w:color w:val="1F2937"/>
          <w:sz w:val="19"/>
        </w:rPr>
        <w:t>• Tóm tắt đóng góp khoa học: Tiêu chuẩn chính phủ Mỹ về quy trình kỹ thuật kiểm thử an toàn thông tin 4 giai đoạn: Target Identification -&gt; Vulnerability Analysis -&gt; Exploitation -&gt; Reporting.</w:t>
        <w:br/>
      </w:r>
      <w:r>
        <w:rPr>
          <w:b/>
          <w:color w:val="065F46"/>
          <w:sz w:val="19"/>
        </w:rPr>
        <w:t>★ Ứng dụng vào PBL6: Quy chuẩn hóa quy trình điều khiển của AI Attack Planner trên Máy 2.</w:t>
        <w:br/>
      </w:r>
    </w:p>
    <w:p>
      <w:pPr>
        <w:spacing w:before="280" w:after="120"/>
      </w:pPr>
      <w:r>
        <w:rPr>
          <w:b/>
          <w:color w:val="0F2454"/>
          <w:sz w:val="26"/>
        </w:rPr>
        <w:t>5. BẢNG TỔNG HỢP 20 NGUỒN TÀI LIỆU THAM KHẢO</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576"/>
            <w:shd w:fill="1E3A8A"/>
            <w:tcMar>
              <w:top w:w="60" w:type="dxa"/>
              <w:bottom w:w="60" w:type="dxa"/>
              <w:left w:w="80" w:type="dxa"/>
              <w:right w:w="80" w:type="dxa"/>
            </w:tcMar>
          </w:tcPr>
          <w:p>
            <w:pPr>
              <w:jc w:val="center"/>
            </w:pPr>
            <w:r>
              <w:rPr>
                <w:b/>
                <w:color w:val="FFFFFF"/>
                <w:sz w:val="17"/>
              </w:rPr>
              <w:t>STT</w:t>
            </w:r>
          </w:p>
        </w:tc>
        <w:tc>
          <w:tcPr>
            <w:tcW w:type="dxa" w:w="2016"/>
            <w:shd w:fill="1E3A8A"/>
            <w:tcMar>
              <w:top w:w="60" w:type="dxa"/>
              <w:bottom w:w="60" w:type="dxa"/>
              <w:left w:w="80" w:type="dxa"/>
              <w:right w:w="80" w:type="dxa"/>
            </w:tcMar>
          </w:tcPr>
          <w:p>
            <w:pPr>
              <w:jc w:val="left"/>
            </w:pPr>
            <w:r>
              <w:rPr>
                <w:b/>
                <w:color w:val="FFFFFF"/>
                <w:sz w:val="17"/>
              </w:rPr>
              <w:t>Tên Công Trình</w:t>
            </w:r>
          </w:p>
        </w:tc>
        <w:tc>
          <w:tcPr>
            <w:tcW w:type="dxa" w:w="720"/>
            <w:shd w:fill="1E3A8A"/>
            <w:tcMar>
              <w:top w:w="60" w:type="dxa"/>
              <w:bottom w:w="60" w:type="dxa"/>
              <w:left w:w="80" w:type="dxa"/>
              <w:right w:w="80" w:type="dxa"/>
            </w:tcMar>
          </w:tcPr>
          <w:p>
            <w:pPr>
              <w:jc w:val="center"/>
            </w:pPr>
            <w:r>
              <w:rPr>
                <w:b/>
                <w:color w:val="FFFFFF"/>
                <w:sz w:val="17"/>
              </w:rPr>
              <w:t>Năm</w:t>
            </w:r>
          </w:p>
        </w:tc>
        <w:tc>
          <w:tcPr>
            <w:tcW w:type="dxa" w:w="1872"/>
            <w:shd w:fill="1E3A8A"/>
            <w:tcMar>
              <w:top w:w="60" w:type="dxa"/>
              <w:bottom w:w="60" w:type="dxa"/>
              <w:left w:w="80" w:type="dxa"/>
              <w:right w:w="80" w:type="dxa"/>
            </w:tcMar>
          </w:tcPr>
          <w:p>
            <w:pPr>
              <w:jc w:val="left"/>
            </w:pPr>
            <w:r>
              <w:rPr>
                <w:b/>
                <w:color w:val="FFFFFF"/>
                <w:sz w:val="17"/>
              </w:rPr>
              <w:t>Tác Giả / Tổ Chức</w:t>
            </w:r>
          </w:p>
        </w:tc>
        <w:tc>
          <w:tcPr>
            <w:tcW w:type="dxa" w:w="1872"/>
            <w:shd w:fill="1E3A8A"/>
            <w:tcMar>
              <w:top w:w="60" w:type="dxa"/>
              <w:bottom w:w="60" w:type="dxa"/>
              <w:left w:w="80" w:type="dxa"/>
              <w:right w:w="80" w:type="dxa"/>
            </w:tcMar>
          </w:tcPr>
          <w:p>
            <w:pPr>
              <w:jc w:val="left"/>
            </w:pPr>
            <w:r>
              <w:rPr>
                <w:b/>
                <w:color w:val="FFFFFF"/>
                <w:sz w:val="17"/>
              </w:rPr>
              <w:t>Nơi Công Bố</w:t>
            </w:r>
          </w:p>
        </w:tc>
        <w:tc>
          <w:tcPr>
            <w:tcW w:type="dxa" w:w="2304"/>
            <w:shd w:fill="1E3A8A"/>
            <w:tcMar>
              <w:top w:w="60" w:type="dxa"/>
              <w:bottom w:w="60" w:type="dxa"/>
              <w:left w:w="80" w:type="dxa"/>
              <w:right w:w="80" w:type="dxa"/>
            </w:tcMar>
          </w:tcPr>
          <w:p>
            <w:pPr>
              <w:jc w:val="left"/>
            </w:pPr>
            <w:r>
              <w:rPr>
                <w:b/>
                <w:color w:val="FFFFFF"/>
                <w:sz w:val="17"/>
              </w:rPr>
              <w:t>Ứng Dụng Trong PBL6</w:t>
            </w:r>
          </w:p>
        </w:tc>
      </w:tr>
      <w:tr>
        <w:tc>
          <w:tcPr>
            <w:tcW w:type="dxa" w:w="576"/>
            <w:shd w:fill="F9FAFB"/>
            <w:tcMar>
              <w:top w:w="60" w:type="dxa"/>
              <w:bottom w:w="60" w:type="dxa"/>
              <w:left w:w="80" w:type="dxa"/>
              <w:right w:w="80" w:type="dxa"/>
            </w:tcMar>
          </w:tcPr>
          <w:p>
            <w:pPr>
              <w:jc w:val="center"/>
            </w:pPr>
            <w:r>
              <w:rPr>
                <w:color w:val="1F2937"/>
                <w:sz w:val="17"/>
              </w:rPr>
              <w:t>1</w:t>
            </w:r>
          </w:p>
        </w:tc>
        <w:tc>
          <w:tcPr>
            <w:tcW w:type="dxa" w:w="2016"/>
            <w:shd w:fill="F9FAFB"/>
            <w:tcMar>
              <w:top w:w="60" w:type="dxa"/>
              <w:bottom w:w="60" w:type="dxa"/>
              <w:left w:w="80" w:type="dxa"/>
              <w:right w:w="80" w:type="dxa"/>
            </w:tcMar>
          </w:tcPr>
          <w:p>
            <w:pPr>
              <w:jc w:val="left"/>
            </w:pPr>
            <w:r>
              <w:rPr>
                <w:color w:val="1F2937"/>
                <w:sz w:val="17"/>
              </w:rPr>
              <w:t>PentestGPT</w:t>
            </w:r>
          </w:p>
        </w:tc>
        <w:tc>
          <w:tcPr>
            <w:tcW w:type="dxa" w:w="720"/>
            <w:shd w:fill="F9FAFB"/>
            <w:tcMar>
              <w:top w:w="60" w:type="dxa"/>
              <w:bottom w:w="60" w:type="dxa"/>
              <w:left w:w="80" w:type="dxa"/>
              <w:right w:w="80" w:type="dxa"/>
            </w:tcMar>
          </w:tcPr>
          <w:p>
            <w:pPr>
              <w:jc w:val="center"/>
            </w:pPr>
            <w:r>
              <w:rPr>
                <w:color w:val="1F2937"/>
                <w:sz w:val="17"/>
              </w:rPr>
              <w:t>2024</w:t>
            </w:r>
          </w:p>
        </w:tc>
        <w:tc>
          <w:tcPr>
            <w:tcW w:type="dxa" w:w="1872"/>
            <w:shd w:fill="F9FAFB"/>
            <w:tcMar>
              <w:top w:w="60" w:type="dxa"/>
              <w:bottom w:w="60" w:type="dxa"/>
              <w:left w:w="80" w:type="dxa"/>
              <w:right w:w="80" w:type="dxa"/>
            </w:tcMar>
          </w:tcPr>
          <w:p>
            <w:pPr>
              <w:jc w:val="left"/>
            </w:pPr>
            <w:r>
              <w:rPr>
                <w:color w:val="1F2937"/>
                <w:sz w:val="17"/>
              </w:rPr>
              <w:t>G. Deng et al. (NTU)</w:t>
            </w:r>
          </w:p>
        </w:tc>
        <w:tc>
          <w:tcPr>
            <w:tcW w:type="dxa" w:w="1872"/>
            <w:shd w:fill="F9FAFB"/>
            <w:tcMar>
              <w:top w:w="60" w:type="dxa"/>
              <w:bottom w:w="60" w:type="dxa"/>
              <w:left w:w="80" w:type="dxa"/>
              <w:right w:w="80" w:type="dxa"/>
            </w:tcMar>
          </w:tcPr>
          <w:p>
            <w:pPr>
              <w:jc w:val="left"/>
            </w:pPr>
            <w:r>
              <w:rPr>
                <w:color w:val="1F2937"/>
                <w:sz w:val="17"/>
              </w:rPr>
              <w:t>USENIX Security '24</w:t>
            </w:r>
          </w:p>
        </w:tc>
        <w:tc>
          <w:tcPr>
            <w:tcW w:type="dxa" w:w="2304"/>
            <w:shd w:fill="F9FAFB"/>
            <w:tcMar>
              <w:top w:w="60" w:type="dxa"/>
              <w:bottom w:w="60" w:type="dxa"/>
              <w:left w:w="80" w:type="dxa"/>
              <w:right w:w="80" w:type="dxa"/>
            </w:tcMar>
          </w:tcPr>
          <w:p>
            <w:pPr>
              <w:jc w:val="left"/>
            </w:pPr>
            <w:r>
              <w:rPr>
                <w:color w:val="1F2937"/>
                <w:sz w:val="17"/>
              </w:rPr>
              <w:t>Kiến trúc 3 module tác tử AI Red Team</w:t>
            </w:r>
          </w:p>
        </w:tc>
      </w:tr>
      <w:tr>
        <w:tc>
          <w:tcPr>
            <w:tcW w:type="dxa" w:w="576"/>
            <w:shd w:fill="FFFFFF"/>
            <w:tcMar>
              <w:top w:w="60" w:type="dxa"/>
              <w:bottom w:w="60" w:type="dxa"/>
              <w:left w:w="80" w:type="dxa"/>
              <w:right w:w="80" w:type="dxa"/>
            </w:tcMar>
          </w:tcPr>
          <w:p>
            <w:pPr>
              <w:jc w:val="center"/>
            </w:pPr>
            <w:r>
              <w:rPr>
                <w:color w:val="1F2937"/>
                <w:sz w:val="17"/>
              </w:rPr>
              <w:t>2</w:t>
            </w:r>
          </w:p>
        </w:tc>
        <w:tc>
          <w:tcPr>
            <w:tcW w:type="dxa" w:w="2016"/>
            <w:shd w:fill="FFFFFF"/>
            <w:tcMar>
              <w:top w:w="60" w:type="dxa"/>
              <w:bottom w:w="60" w:type="dxa"/>
              <w:left w:w="80" w:type="dxa"/>
              <w:right w:w="80" w:type="dxa"/>
            </w:tcMar>
          </w:tcPr>
          <w:p>
            <w:pPr>
              <w:jc w:val="left"/>
            </w:pPr>
            <w:r>
              <w:rPr>
                <w:color w:val="1F2937"/>
                <w:sz w:val="17"/>
              </w:rPr>
              <w:t>AutoAttacker</w:t>
            </w:r>
          </w:p>
        </w:tc>
        <w:tc>
          <w:tcPr>
            <w:tcW w:type="dxa" w:w="720"/>
            <w:shd w:fill="FFFFFF"/>
            <w:tcMar>
              <w:top w:w="60" w:type="dxa"/>
              <w:bottom w:w="60" w:type="dxa"/>
              <w:left w:w="80" w:type="dxa"/>
              <w:right w:w="80" w:type="dxa"/>
            </w:tcMar>
          </w:tcPr>
          <w:p>
            <w:pPr>
              <w:jc w:val="center"/>
            </w:pPr>
            <w:r>
              <w:rPr>
                <w:color w:val="1F2937"/>
                <w:sz w:val="17"/>
              </w:rPr>
              <w:t>2024</w:t>
            </w:r>
          </w:p>
        </w:tc>
        <w:tc>
          <w:tcPr>
            <w:tcW w:type="dxa" w:w="1872"/>
            <w:shd w:fill="FFFFFF"/>
            <w:tcMar>
              <w:top w:w="60" w:type="dxa"/>
              <w:bottom w:w="60" w:type="dxa"/>
              <w:left w:w="80" w:type="dxa"/>
              <w:right w:w="80" w:type="dxa"/>
            </w:tcMar>
          </w:tcPr>
          <w:p>
            <w:pPr>
              <w:jc w:val="left"/>
            </w:pPr>
            <w:r>
              <w:rPr>
                <w:color w:val="1F2937"/>
                <w:sz w:val="17"/>
              </w:rPr>
              <w:t>H. Li et al. (UCR)</w:t>
            </w:r>
          </w:p>
        </w:tc>
        <w:tc>
          <w:tcPr>
            <w:tcW w:type="dxa" w:w="1872"/>
            <w:shd w:fill="FFFFFF"/>
            <w:tcMar>
              <w:top w:w="60" w:type="dxa"/>
              <w:bottom w:w="60" w:type="dxa"/>
              <w:left w:w="80" w:type="dxa"/>
              <w:right w:w="80" w:type="dxa"/>
            </w:tcMar>
          </w:tcPr>
          <w:p>
            <w:pPr>
              <w:jc w:val="left"/>
            </w:pPr>
            <w:r>
              <w:rPr>
                <w:color w:val="1F2937"/>
                <w:sz w:val="17"/>
              </w:rPr>
              <w:t>arXiv:2403.01038</w:t>
            </w:r>
          </w:p>
        </w:tc>
        <w:tc>
          <w:tcPr>
            <w:tcW w:type="dxa" w:w="2304"/>
            <w:shd w:fill="FFFFFF"/>
            <w:tcMar>
              <w:top w:w="60" w:type="dxa"/>
              <w:bottom w:w="60" w:type="dxa"/>
              <w:left w:w="80" w:type="dxa"/>
              <w:right w:w="80" w:type="dxa"/>
            </w:tcMar>
          </w:tcPr>
          <w:p>
            <w:pPr>
              <w:jc w:val="left"/>
            </w:pPr>
            <w:r>
              <w:rPr>
                <w:color w:val="1F2937"/>
                <w:sz w:val="17"/>
              </w:rPr>
              <w:t>Điều khiển chuỗi tấn công tự động</w:t>
            </w:r>
          </w:p>
        </w:tc>
      </w:tr>
      <w:tr>
        <w:tc>
          <w:tcPr>
            <w:tcW w:type="dxa" w:w="576"/>
            <w:shd w:fill="F9FAFB"/>
            <w:tcMar>
              <w:top w:w="60" w:type="dxa"/>
              <w:bottom w:w="60" w:type="dxa"/>
              <w:left w:w="80" w:type="dxa"/>
              <w:right w:w="80" w:type="dxa"/>
            </w:tcMar>
          </w:tcPr>
          <w:p>
            <w:pPr>
              <w:jc w:val="center"/>
            </w:pPr>
            <w:r>
              <w:rPr>
                <w:color w:val="1F2937"/>
                <w:sz w:val="17"/>
              </w:rPr>
              <w:t>3</w:t>
            </w:r>
          </w:p>
        </w:tc>
        <w:tc>
          <w:tcPr>
            <w:tcW w:type="dxa" w:w="2016"/>
            <w:shd w:fill="F9FAFB"/>
            <w:tcMar>
              <w:top w:w="60" w:type="dxa"/>
              <w:bottom w:w="60" w:type="dxa"/>
              <w:left w:w="80" w:type="dxa"/>
              <w:right w:w="80" w:type="dxa"/>
            </w:tcMar>
          </w:tcPr>
          <w:p>
            <w:pPr>
              <w:jc w:val="left"/>
            </w:pPr>
            <w:r>
              <w:rPr>
                <w:color w:val="1F2937"/>
                <w:sz w:val="17"/>
              </w:rPr>
              <w:t>Incalmo</w:t>
            </w:r>
          </w:p>
        </w:tc>
        <w:tc>
          <w:tcPr>
            <w:tcW w:type="dxa" w:w="720"/>
            <w:shd w:fill="F9FAFB"/>
            <w:tcMar>
              <w:top w:w="60" w:type="dxa"/>
              <w:bottom w:w="60" w:type="dxa"/>
              <w:left w:w="80" w:type="dxa"/>
              <w:right w:w="80" w:type="dxa"/>
            </w:tcMar>
          </w:tcPr>
          <w:p>
            <w:pPr>
              <w:jc w:val="center"/>
            </w:pPr>
            <w:r>
              <w:rPr>
                <w:color w:val="1F2937"/>
                <w:sz w:val="17"/>
              </w:rPr>
              <w:t>2024</w:t>
            </w:r>
          </w:p>
        </w:tc>
        <w:tc>
          <w:tcPr>
            <w:tcW w:type="dxa" w:w="1872"/>
            <w:shd w:fill="F9FAFB"/>
            <w:tcMar>
              <w:top w:w="60" w:type="dxa"/>
              <w:bottom w:w="60" w:type="dxa"/>
              <w:left w:w="80" w:type="dxa"/>
              <w:right w:w="80" w:type="dxa"/>
            </w:tcMar>
          </w:tcPr>
          <w:p>
            <w:pPr>
              <w:jc w:val="left"/>
            </w:pPr>
            <w:r>
              <w:rPr>
                <w:color w:val="1F2937"/>
                <w:sz w:val="17"/>
              </w:rPr>
              <w:t>CMU SEI Team</w:t>
            </w:r>
          </w:p>
        </w:tc>
        <w:tc>
          <w:tcPr>
            <w:tcW w:type="dxa" w:w="1872"/>
            <w:shd w:fill="F9FAFB"/>
            <w:tcMar>
              <w:top w:w="60" w:type="dxa"/>
              <w:bottom w:w="60" w:type="dxa"/>
              <w:left w:w="80" w:type="dxa"/>
              <w:right w:w="80" w:type="dxa"/>
            </w:tcMar>
          </w:tcPr>
          <w:p>
            <w:pPr>
              <w:jc w:val="left"/>
            </w:pPr>
            <w:r>
              <w:rPr>
                <w:color w:val="1F2937"/>
                <w:sz w:val="17"/>
              </w:rPr>
              <w:t>arXiv:2407.03541</w:t>
            </w:r>
          </w:p>
        </w:tc>
        <w:tc>
          <w:tcPr>
            <w:tcW w:type="dxa" w:w="2304"/>
            <w:shd w:fill="F9FAFB"/>
            <w:tcMar>
              <w:top w:w="60" w:type="dxa"/>
              <w:bottom w:w="60" w:type="dxa"/>
              <w:left w:w="80" w:type="dxa"/>
              <w:right w:w="80" w:type="dxa"/>
            </w:tcMar>
          </w:tcPr>
          <w:p>
            <w:pPr>
              <w:jc w:val="left"/>
            </w:pPr>
            <w:r>
              <w:rPr>
                <w:color w:val="1F2937"/>
                <w:sz w:val="17"/>
              </w:rPr>
              <w:t>Red Teaming đa máy trạm qua mạng</w:t>
            </w:r>
          </w:p>
        </w:tc>
      </w:tr>
      <w:tr>
        <w:tc>
          <w:tcPr>
            <w:tcW w:type="dxa" w:w="576"/>
            <w:shd w:fill="FFFFFF"/>
            <w:tcMar>
              <w:top w:w="60" w:type="dxa"/>
              <w:bottom w:w="60" w:type="dxa"/>
              <w:left w:w="80" w:type="dxa"/>
              <w:right w:w="80" w:type="dxa"/>
            </w:tcMar>
          </w:tcPr>
          <w:p>
            <w:pPr>
              <w:jc w:val="center"/>
            </w:pPr>
            <w:r>
              <w:rPr>
                <w:color w:val="1F2937"/>
                <w:sz w:val="17"/>
              </w:rPr>
              <w:t>4</w:t>
            </w:r>
          </w:p>
        </w:tc>
        <w:tc>
          <w:tcPr>
            <w:tcW w:type="dxa" w:w="2016"/>
            <w:shd w:fill="FFFFFF"/>
            <w:tcMar>
              <w:top w:w="60" w:type="dxa"/>
              <w:bottom w:w="60" w:type="dxa"/>
              <w:left w:w="80" w:type="dxa"/>
              <w:right w:w="80" w:type="dxa"/>
            </w:tcMar>
          </w:tcPr>
          <w:p>
            <w:pPr>
              <w:jc w:val="left"/>
            </w:pPr>
            <w:r>
              <w:rPr>
                <w:color w:val="1F2937"/>
                <w:sz w:val="17"/>
              </w:rPr>
              <w:t>Survey on LLM Cyberattack</w:t>
            </w:r>
          </w:p>
        </w:tc>
        <w:tc>
          <w:tcPr>
            <w:tcW w:type="dxa" w:w="720"/>
            <w:shd w:fill="FFFFFF"/>
            <w:tcMar>
              <w:top w:w="60" w:type="dxa"/>
              <w:bottom w:w="60" w:type="dxa"/>
              <w:left w:w="80" w:type="dxa"/>
              <w:right w:w="80" w:type="dxa"/>
            </w:tcMar>
          </w:tcPr>
          <w:p>
            <w:pPr>
              <w:jc w:val="center"/>
            </w:pPr>
            <w:r>
              <w:rPr>
                <w:color w:val="1F2937"/>
                <w:sz w:val="17"/>
              </w:rPr>
              <w:t>2024</w:t>
            </w:r>
          </w:p>
        </w:tc>
        <w:tc>
          <w:tcPr>
            <w:tcW w:type="dxa" w:w="1872"/>
            <w:shd w:fill="FFFFFF"/>
            <w:tcMar>
              <w:top w:w="60" w:type="dxa"/>
              <w:bottom w:w="60" w:type="dxa"/>
              <w:left w:w="80" w:type="dxa"/>
              <w:right w:w="80" w:type="dxa"/>
            </w:tcMar>
          </w:tcPr>
          <w:p>
            <w:pPr>
              <w:jc w:val="left"/>
            </w:pPr>
            <w:r>
              <w:rPr>
                <w:color w:val="1F2937"/>
                <w:sz w:val="17"/>
              </w:rPr>
              <w:t>Y. Feng et al.</w:t>
            </w:r>
          </w:p>
        </w:tc>
        <w:tc>
          <w:tcPr>
            <w:tcW w:type="dxa" w:w="1872"/>
            <w:shd w:fill="FFFFFF"/>
            <w:tcMar>
              <w:top w:w="60" w:type="dxa"/>
              <w:bottom w:w="60" w:type="dxa"/>
              <w:left w:w="80" w:type="dxa"/>
              <w:right w:w="80" w:type="dxa"/>
            </w:tcMar>
          </w:tcPr>
          <w:p>
            <w:pPr>
              <w:jc w:val="left"/>
            </w:pPr>
            <w:r>
              <w:rPr>
                <w:color w:val="1F2937"/>
                <w:sz w:val="17"/>
              </w:rPr>
              <w:t>arXiv:2408.06456</w:t>
            </w:r>
          </w:p>
        </w:tc>
        <w:tc>
          <w:tcPr>
            <w:tcW w:type="dxa" w:w="2304"/>
            <w:shd w:fill="FFFFFF"/>
            <w:tcMar>
              <w:top w:w="60" w:type="dxa"/>
              <w:bottom w:w="60" w:type="dxa"/>
              <w:left w:w="80" w:type="dxa"/>
              <w:right w:w="80" w:type="dxa"/>
            </w:tcMar>
          </w:tcPr>
          <w:p>
            <w:pPr>
              <w:jc w:val="left"/>
            </w:pPr>
            <w:r>
              <w:rPr>
                <w:color w:val="1F2937"/>
                <w:sz w:val="17"/>
              </w:rPr>
              <w:t>Tổng quan học thuật AI tấn công mạng</w:t>
            </w:r>
          </w:p>
        </w:tc>
      </w:tr>
      <w:tr>
        <w:tc>
          <w:tcPr>
            <w:tcW w:type="dxa" w:w="576"/>
            <w:shd w:fill="F9FAFB"/>
            <w:tcMar>
              <w:top w:w="60" w:type="dxa"/>
              <w:bottom w:w="60" w:type="dxa"/>
              <w:left w:w="80" w:type="dxa"/>
              <w:right w:w="80" w:type="dxa"/>
            </w:tcMar>
          </w:tcPr>
          <w:p>
            <w:pPr>
              <w:jc w:val="center"/>
            </w:pPr>
            <w:r>
              <w:rPr>
                <w:color w:val="1F2937"/>
                <w:sz w:val="17"/>
              </w:rPr>
              <w:t>5</w:t>
            </w:r>
          </w:p>
        </w:tc>
        <w:tc>
          <w:tcPr>
            <w:tcW w:type="dxa" w:w="2016"/>
            <w:shd w:fill="F9FAFB"/>
            <w:tcMar>
              <w:top w:w="60" w:type="dxa"/>
              <w:bottom w:w="60" w:type="dxa"/>
              <w:left w:w="80" w:type="dxa"/>
              <w:right w:w="80" w:type="dxa"/>
            </w:tcMar>
          </w:tcPr>
          <w:p>
            <w:pPr>
              <w:jc w:val="left"/>
            </w:pPr>
            <w:r>
              <w:rPr>
                <w:color w:val="1F2937"/>
                <w:sz w:val="17"/>
              </w:rPr>
              <w:t>RESTler Fuzzer</w:t>
            </w:r>
          </w:p>
        </w:tc>
        <w:tc>
          <w:tcPr>
            <w:tcW w:type="dxa" w:w="720"/>
            <w:shd w:fill="F9FAFB"/>
            <w:tcMar>
              <w:top w:w="60" w:type="dxa"/>
              <w:bottom w:w="60" w:type="dxa"/>
              <w:left w:w="80" w:type="dxa"/>
              <w:right w:w="80" w:type="dxa"/>
            </w:tcMar>
          </w:tcPr>
          <w:p>
            <w:pPr>
              <w:jc w:val="center"/>
            </w:pPr>
            <w:r>
              <w:rPr>
                <w:color w:val="1F2937"/>
                <w:sz w:val="17"/>
              </w:rPr>
              <w:t>2019</w:t>
            </w:r>
          </w:p>
        </w:tc>
        <w:tc>
          <w:tcPr>
            <w:tcW w:type="dxa" w:w="1872"/>
            <w:shd w:fill="F9FAFB"/>
            <w:tcMar>
              <w:top w:w="60" w:type="dxa"/>
              <w:bottom w:w="60" w:type="dxa"/>
              <w:left w:w="80" w:type="dxa"/>
              <w:right w:w="80" w:type="dxa"/>
            </w:tcMar>
          </w:tcPr>
          <w:p>
            <w:pPr>
              <w:jc w:val="left"/>
            </w:pPr>
            <w:r>
              <w:rPr>
                <w:color w:val="1F2937"/>
                <w:sz w:val="17"/>
              </w:rPr>
              <w:t>Microsoft Research</w:t>
            </w:r>
          </w:p>
        </w:tc>
        <w:tc>
          <w:tcPr>
            <w:tcW w:type="dxa" w:w="1872"/>
            <w:shd w:fill="F9FAFB"/>
            <w:tcMar>
              <w:top w:w="60" w:type="dxa"/>
              <w:bottom w:w="60" w:type="dxa"/>
              <w:left w:w="80" w:type="dxa"/>
              <w:right w:w="80" w:type="dxa"/>
            </w:tcMar>
          </w:tcPr>
          <w:p>
            <w:pPr>
              <w:jc w:val="left"/>
            </w:pPr>
            <w:r>
              <w:rPr>
                <w:color w:val="1F2937"/>
                <w:sz w:val="17"/>
              </w:rPr>
              <w:t>IEEE/ACM ICSE '19</w:t>
            </w:r>
          </w:p>
        </w:tc>
        <w:tc>
          <w:tcPr>
            <w:tcW w:type="dxa" w:w="2304"/>
            <w:shd w:fill="F9FAFB"/>
            <w:tcMar>
              <w:top w:w="60" w:type="dxa"/>
              <w:bottom w:w="60" w:type="dxa"/>
              <w:left w:w="80" w:type="dxa"/>
              <w:right w:w="80" w:type="dxa"/>
            </w:tcMar>
          </w:tcPr>
          <w:p>
            <w:pPr>
              <w:jc w:val="left"/>
            </w:pPr>
            <w:r>
              <w:rPr>
                <w:color w:val="1F2937"/>
                <w:sz w:val="17"/>
              </w:rPr>
              <w:t>Phân tích OpenAPI để sinh request</w:t>
            </w:r>
          </w:p>
        </w:tc>
      </w:tr>
      <w:tr>
        <w:tc>
          <w:tcPr>
            <w:tcW w:type="dxa" w:w="576"/>
            <w:shd w:fill="FFFFFF"/>
            <w:tcMar>
              <w:top w:w="60" w:type="dxa"/>
              <w:bottom w:w="60" w:type="dxa"/>
              <w:left w:w="80" w:type="dxa"/>
              <w:right w:w="80" w:type="dxa"/>
            </w:tcMar>
          </w:tcPr>
          <w:p>
            <w:pPr>
              <w:jc w:val="center"/>
            </w:pPr>
            <w:r>
              <w:rPr>
                <w:color w:val="1F2937"/>
                <w:sz w:val="17"/>
              </w:rPr>
              <w:t>6</w:t>
            </w:r>
          </w:p>
        </w:tc>
        <w:tc>
          <w:tcPr>
            <w:tcW w:type="dxa" w:w="2016"/>
            <w:shd w:fill="FFFFFF"/>
            <w:tcMar>
              <w:top w:w="60" w:type="dxa"/>
              <w:bottom w:w="60" w:type="dxa"/>
              <w:left w:w="80" w:type="dxa"/>
              <w:right w:w="80" w:type="dxa"/>
            </w:tcMar>
          </w:tcPr>
          <w:p>
            <w:pPr>
              <w:jc w:val="left"/>
            </w:pPr>
            <w:r>
              <w:rPr>
                <w:color w:val="1F2937"/>
                <w:sz w:val="17"/>
              </w:rPr>
              <w:t>CSIC 2010 HTTP Dataset</w:t>
            </w:r>
          </w:p>
        </w:tc>
        <w:tc>
          <w:tcPr>
            <w:tcW w:type="dxa" w:w="720"/>
            <w:shd w:fill="FFFFFF"/>
            <w:tcMar>
              <w:top w:w="60" w:type="dxa"/>
              <w:bottom w:w="60" w:type="dxa"/>
              <w:left w:w="80" w:type="dxa"/>
              <w:right w:w="80" w:type="dxa"/>
            </w:tcMar>
          </w:tcPr>
          <w:p>
            <w:pPr>
              <w:jc w:val="center"/>
            </w:pPr>
            <w:r>
              <w:rPr>
                <w:color w:val="1F2937"/>
                <w:sz w:val="17"/>
              </w:rPr>
              <w:t>2010</w:t>
            </w:r>
          </w:p>
        </w:tc>
        <w:tc>
          <w:tcPr>
            <w:tcW w:type="dxa" w:w="1872"/>
            <w:shd w:fill="FFFFFF"/>
            <w:tcMar>
              <w:top w:w="60" w:type="dxa"/>
              <w:bottom w:w="60" w:type="dxa"/>
              <w:left w:w="80" w:type="dxa"/>
              <w:right w:w="80" w:type="dxa"/>
            </w:tcMar>
          </w:tcPr>
          <w:p>
            <w:pPr>
              <w:jc w:val="left"/>
            </w:pPr>
            <w:r>
              <w:rPr>
                <w:color w:val="1F2937"/>
                <w:sz w:val="17"/>
              </w:rPr>
              <w:t>Torrano-Giménez et al.</w:t>
            </w:r>
          </w:p>
        </w:tc>
        <w:tc>
          <w:tcPr>
            <w:tcW w:type="dxa" w:w="1872"/>
            <w:shd w:fill="FFFFFF"/>
            <w:tcMar>
              <w:top w:w="60" w:type="dxa"/>
              <w:bottom w:w="60" w:type="dxa"/>
              <w:left w:w="80" w:type="dxa"/>
              <w:right w:w="80" w:type="dxa"/>
            </w:tcMar>
          </w:tcPr>
          <w:p>
            <w:pPr>
              <w:jc w:val="left"/>
            </w:pPr>
            <w:r>
              <w:rPr>
                <w:color w:val="1F2937"/>
                <w:sz w:val="17"/>
              </w:rPr>
              <w:t>CSIC Spain</w:t>
            </w:r>
          </w:p>
        </w:tc>
        <w:tc>
          <w:tcPr>
            <w:tcW w:type="dxa" w:w="2304"/>
            <w:shd w:fill="FFFFFF"/>
            <w:tcMar>
              <w:top w:w="60" w:type="dxa"/>
              <w:bottom w:w="60" w:type="dxa"/>
              <w:left w:w="80" w:type="dxa"/>
              <w:right w:w="80" w:type="dxa"/>
            </w:tcMar>
          </w:tcPr>
          <w:p>
            <w:pPr>
              <w:jc w:val="left"/>
            </w:pPr>
            <w:r>
              <w:rPr>
                <w:color w:val="1F2937"/>
                <w:sz w:val="17"/>
              </w:rPr>
              <w:t>Dataset chuẩn huấn luyện &amp; test ML</w:t>
            </w:r>
          </w:p>
        </w:tc>
      </w:tr>
      <w:tr>
        <w:tc>
          <w:tcPr>
            <w:tcW w:type="dxa" w:w="576"/>
            <w:shd w:fill="F9FAFB"/>
            <w:tcMar>
              <w:top w:w="60" w:type="dxa"/>
              <w:bottom w:w="60" w:type="dxa"/>
              <w:left w:w="80" w:type="dxa"/>
              <w:right w:w="80" w:type="dxa"/>
            </w:tcMar>
          </w:tcPr>
          <w:p>
            <w:pPr>
              <w:jc w:val="center"/>
            </w:pPr>
            <w:r>
              <w:rPr>
                <w:color w:val="1F2937"/>
                <w:sz w:val="17"/>
              </w:rPr>
              <w:t>7</w:t>
            </w:r>
          </w:p>
        </w:tc>
        <w:tc>
          <w:tcPr>
            <w:tcW w:type="dxa" w:w="2016"/>
            <w:shd w:fill="F9FAFB"/>
            <w:tcMar>
              <w:top w:w="60" w:type="dxa"/>
              <w:bottom w:w="60" w:type="dxa"/>
              <w:left w:w="80" w:type="dxa"/>
              <w:right w:w="80" w:type="dxa"/>
            </w:tcMar>
          </w:tcPr>
          <w:p>
            <w:pPr>
              <w:jc w:val="left"/>
            </w:pPr>
            <w:r>
              <w:rPr>
                <w:color w:val="1F2937"/>
                <w:sz w:val="17"/>
              </w:rPr>
              <w:t>HTTP Feature Extraction</w:t>
            </w:r>
          </w:p>
        </w:tc>
        <w:tc>
          <w:tcPr>
            <w:tcW w:type="dxa" w:w="720"/>
            <w:shd w:fill="F9FAFB"/>
            <w:tcMar>
              <w:top w:w="60" w:type="dxa"/>
              <w:bottom w:w="60" w:type="dxa"/>
              <w:left w:w="80" w:type="dxa"/>
              <w:right w:w="80" w:type="dxa"/>
            </w:tcMar>
          </w:tcPr>
          <w:p>
            <w:pPr>
              <w:jc w:val="center"/>
            </w:pPr>
            <w:r>
              <w:rPr>
                <w:color w:val="1F2937"/>
                <w:sz w:val="17"/>
              </w:rPr>
              <w:t>2015</w:t>
            </w:r>
          </w:p>
        </w:tc>
        <w:tc>
          <w:tcPr>
            <w:tcW w:type="dxa" w:w="1872"/>
            <w:shd w:fill="F9FAFB"/>
            <w:tcMar>
              <w:top w:w="60" w:type="dxa"/>
              <w:bottom w:w="60" w:type="dxa"/>
              <w:left w:w="80" w:type="dxa"/>
              <w:right w:w="80" w:type="dxa"/>
            </w:tcMar>
          </w:tcPr>
          <w:p>
            <w:pPr>
              <w:jc w:val="left"/>
            </w:pPr>
            <w:r>
              <w:rPr>
                <w:color w:val="1F2937"/>
                <w:sz w:val="17"/>
              </w:rPr>
              <w:t>Torrano-Gimenez et al.</w:t>
            </w:r>
          </w:p>
        </w:tc>
        <w:tc>
          <w:tcPr>
            <w:tcW w:type="dxa" w:w="1872"/>
            <w:shd w:fill="F9FAFB"/>
            <w:tcMar>
              <w:top w:w="60" w:type="dxa"/>
              <w:bottom w:w="60" w:type="dxa"/>
              <w:left w:w="80" w:type="dxa"/>
              <w:right w:w="80" w:type="dxa"/>
            </w:tcMar>
          </w:tcPr>
          <w:p>
            <w:pPr>
              <w:jc w:val="left"/>
            </w:pPr>
            <w:r>
              <w:rPr>
                <w:color w:val="1F2937"/>
                <w:sz w:val="17"/>
              </w:rPr>
              <w:t>Wiley (SCN)</w:t>
            </w:r>
          </w:p>
        </w:tc>
        <w:tc>
          <w:tcPr>
            <w:tcW w:type="dxa" w:w="2304"/>
            <w:shd w:fill="F9FAFB"/>
            <w:tcMar>
              <w:top w:w="60" w:type="dxa"/>
              <w:bottom w:w="60" w:type="dxa"/>
              <w:left w:w="80" w:type="dxa"/>
              <w:right w:w="80" w:type="dxa"/>
            </w:tcMar>
          </w:tcPr>
          <w:p>
            <w:pPr>
              <w:jc w:val="left"/>
            </w:pPr>
            <w:r>
              <w:rPr>
                <w:color w:val="1F2937"/>
                <w:sz w:val="17"/>
              </w:rPr>
              <w:t>Cơ sở Vector 17 đặc trưng HTTP</w:t>
            </w:r>
          </w:p>
        </w:tc>
      </w:tr>
      <w:tr>
        <w:tc>
          <w:tcPr>
            <w:tcW w:type="dxa" w:w="576"/>
            <w:shd w:fill="FFFFFF"/>
            <w:tcMar>
              <w:top w:w="60" w:type="dxa"/>
              <w:bottom w:w="60" w:type="dxa"/>
              <w:left w:w="80" w:type="dxa"/>
              <w:right w:w="80" w:type="dxa"/>
            </w:tcMar>
          </w:tcPr>
          <w:p>
            <w:pPr>
              <w:jc w:val="center"/>
            </w:pPr>
            <w:r>
              <w:rPr>
                <w:color w:val="1F2937"/>
                <w:sz w:val="17"/>
              </w:rPr>
              <w:t>8</w:t>
            </w:r>
          </w:p>
        </w:tc>
        <w:tc>
          <w:tcPr>
            <w:tcW w:type="dxa" w:w="2016"/>
            <w:shd w:fill="FFFFFF"/>
            <w:tcMar>
              <w:top w:w="60" w:type="dxa"/>
              <w:bottom w:w="60" w:type="dxa"/>
              <w:left w:w="80" w:type="dxa"/>
              <w:right w:w="80" w:type="dxa"/>
            </w:tcMar>
          </w:tcPr>
          <w:p>
            <w:pPr>
              <w:jc w:val="left"/>
            </w:pPr>
            <w:r>
              <w:rPr>
                <w:color w:val="1F2937"/>
                <w:sz w:val="17"/>
              </w:rPr>
              <w:t>Transformer/DL Web WAF</w:t>
            </w:r>
          </w:p>
        </w:tc>
        <w:tc>
          <w:tcPr>
            <w:tcW w:type="dxa" w:w="720"/>
            <w:shd w:fill="FFFFFF"/>
            <w:tcMar>
              <w:top w:w="60" w:type="dxa"/>
              <w:bottom w:w="60" w:type="dxa"/>
              <w:left w:w="80" w:type="dxa"/>
              <w:right w:w="80" w:type="dxa"/>
            </w:tcMar>
          </w:tcPr>
          <w:p>
            <w:pPr>
              <w:jc w:val="center"/>
            </w:pPr>
            <w:r>
              <w:rPr>
                <w:color w:val="1F2937"/>
                <w:sz w:val="17"/>
              </w:rPr>
              <w:t>2024</w:t>
            </w:r>
          </w:p>
        </w:tc>
        <w:tc>
          <w:tcPr>
            <w:tcW w:type="dxa" w:w="1872"/>
            <w:shd w:fill="FFFFFF"/>
            <w:tcMar>
              <w:top w:w="60" w:type="dxa"/>
              <w:bottom w:w="60" w:type="dxa"/>
              <w:left w:w="80" w:type="dxa"/>
              <w:right w:w="80" w:type="dxa"/>
            </w:tcMar>
          </w:tcPr>
          <w:p>
            <w:pPr>
              <w:jc w:val="left"/>
            </w:pPr>
            <w:r>
              <w:rPr>
                <w:color w:val="1F2937"/>
                <w:sz w:val="17"/>
              </w:rPr>
              <w:t>IEEE Security Authors</w:t>
            </w:r>
          </w:p>
        </w:tc>
        <w:tc>
          <w:tcPr>
            <w:tcW w:type="dxa" w:w="1872"/>
            <w:shd w:fill="FFFFFF"/>
            <w:tcMar>
              <w:top w:w="60" w:type="dxa"/>
              <w:bottom w:w="60" w:type="dxa"/>
              <w:left w:w="80" w:type="dxa"/>
              <w:right w:w="80" w:type="dxa"/>
            </w:tcMar>
          </w:tcPr>
          <w:p>
            <w:pPr>
              <w:jc w:val="left"/>
            </w:pPr>
            <w:r>
              <w:rPr>
                <w:color w:val="1F2937"/>
                <w:sz w:val="17"/>
              </w:rPr>
              <w:t>IEEE TDSC / Access</w:t>
            </w:r>
          </w:p>
        </w:tc>
        <w:tc>
          <w:tcPr>
            <w:tcW w:type="dxa" w:w="2304"/>
            <w:shd w:fill="FFFFFF"/>
            <w:tcMar>
              <w:top w:w="60" w:type="dxa"/>
              <w:bottom w:w="60" w:type="dxa"/>
              <w:left w:w="80" w:type="dxa"/>
              <w:right w:w="80" w:type="dxa"/>
            </w:tcMar>
          </w:tcPr>
          <w:p>
            <w:pPr>
              <w:jc w:val="left"/>
            </w:pPr>
            <w:r>
              <w:rPr>
                <w:color w:val="1F2937"/>
                <w:sz w:val="17"/>
              </w:rPr>
              <w:t>Cơ sở chọn ML Tree độ trễ thấp</w:t>
            </w:r>
          </w:p>
        </w:tc>
      </w:tr>
      <w:tr>
        <w:tc>
          <w:tcPr>
            <w:tcW w:type="dxa" w:w="576"/>
            <w:shd w:fill="F9FAFB"/>
            <w:tcMar>
              <w:top w:w="60" w:type="dxa"/>
              <w:bottom w:w="60" w:type="dxa"/>
              <w:left w:w="80" w:type="dxa"/>
              <w:right w:w="80" w:type="dxa"/>
            </w:tcMar>
          </w:tcPr>
          <w:p>
            <w:pPr>
              <w:jc w:val="center"/>
            </w:pPr>
            <w:r>
              <w:rPr>
                <w:color w:val="1F2937"/>
                <w:sz w:val="17"/>
              </w:rPr>
              <w:t>9</w:t>
            </w:r>
          </w:p>
        </w:tc>
        <w:tc>
          <w:tcPr>
            <w:tcW w:type="dxa" w:w="2016"/>
            <w:shd w:fill="F9FAFB"/>
            <w:tcMar>
              <w:top w:w="60" w:type="dxa"/>
              <w:bottom w:w="60" w:type="dxa"/>
              <w:left w:w="80" w:type="dxa"/>
              <w:right w:w="80" w:type="dxa"/>
            </w:tcMar>
          </w:tcPr>
          <w:p>
            <w:pPr>
              <w:jc w:val="left"/>
            </w:pPr>
            <w:r>
              <w:rPr>
                <w:color w:val="1F2937"/>
                <w:sz w:val="17"/>
              </w:rPr>
              <w:t>SQLi ML Survey</w:t>
            </w:r>
          </w:p>
        </w:tc>
        <w:tc>
          <w:tcPr>
            <w:tcW w:type="dxa" w:w="720"/>
            <w:shd w:fill="F9FAFB"/>
            <w:tcMar>
              <w:top w:w="60" w:type="dxa"/>
              <w:bottom w:w="60" w:type="dxa"/>
              <w:left w:w="80" w:type="dxa"/>
              <w:right w:w="80" w:type="dxa"/>
            </w:tcMar>
          </w:tcPr>
          <w:p>
            <w:pPr>
              <w:jc w:val="center"/>
            </w:pPr>
            <w:r>
              <w:rPr>
                <w:color w:val="1F2937"/>
                <w:sz w:val="17"/>
              </w:rPr>
              <w:t>2023</w:t>
            </w:r>
          </w:p>
        </w:tc>
        <w:tc>
          <w:tcPr>
            <w:tcW w:type="dxa" w:w="1872"/>
            <w:shd w:fill="F9FAFB"/>
            <w:tcMar>
              <w:top w:w="60" w:type="dxa"/>
              <w:bottom w:w="60" w:type="dxa"/>
              <w:left w:w="80" w:type="dxa"/>
              <w:right w:w="80" w:type="dxa"/>
            </w:tcMar>
          </w:tcPr>
          <w:p>
            <w:pPr>
              <w:jc w:val="left"/>
            </w:pPr>
            <w:r>
              <w:rPr>
                <w:color w:val="1F2937"/>
                <w:sz w:val="17"/>
              </w:rPr>
              <w:t>M. Hasan et al.</w:t>
            </w:r>
          </w:p>
        </w:tc>
        <w:tc>
          <w:tcPr>
            <w:tcW w:type="dxa" w:w="1872"/>
            <w:shd w:fill="F9FAFB"/>
            <w:tcMar>
              <w:top w:w="60" w:type="dxa"/>
              <w:bottom w:w="60" w:type="dxa"/>
              <w:left w:w="80" w:type="dxa"/>
              <w:right w:w="80" w:type="dxa"/>
            </w:tcMar>
          </w:tcPr>
          <w:p>
            <w:pPr>
              <w:jc w:val="left"/>
            </w:pPr>
            <w:r>
              <w:rPr>
                <w:color w:val="1F2937"/>
                <w:sz w:val="17"/>
              </w:rPr>
              <w:t>IEEE Access</w:t>
            </w:r>
          </w:p>
        </w:tc>
        <w:tc>
          <w:tcPr>
            <w:tcW w:type="dxa" w:w="2304"/>
            <w:shd w:fill="F9FAFB"/>
            <w:tcMar>
              <w:top w:w="60" w:type="dxa"/>
              <w:bottom w:w="60" w:type="dxa"/>
              <w:left w:w="80" w:type="dxa"/>
              <w:right w:w="80" w:type="dxa"/>
            </w:tcMar>
          </w:tcPr>
          <w:p>
            <w:pPr>
              <w:jc w:val="left"/>
            </w:pPr>
            <w:r>
              <w:rPr>
                <w:color w:val="1F2937"/>
                <w:sz w:val="17"/>
              </w:rPr>
              <w:t>So sánh thuật toán phát hiện SQLi</w:t>
            </w:r>
          </w:p>
        </w:tc>
      </w:tr>
      <w:tr>
        <w:tc>
          <w:tcPr>
            <w:tcW w:type="dxa" w:w="576"/>
            <w:shd w:fill="FFFFFF"/>
            <w:tcMar>
              <w:top w:w="60" w:type="dxa"/>
              <w:bottom w:w="60" w:type="dxa"/>
              <w:left w:w="80" w:type="dxa"/>
              <w:right w:w="80" w:type="dxa"/>
            </w:tcMar>
          </w:tcPr>
          <w:p>
            <w:pPr>
              <w:jc w:val="center"/>
            </w:pPr>
            <w:r>
              <w:rPr>
                <w:color w:val="1F2937"/>
                <w:sz w:val="17"/>
              </w:rPr>
              <w:t>10</w:t>
            </w:r>
          </w:p>
        </w:tc>
        <w:tc>
          <w:tcPr>
            <w:tcW w:type="dxa" w:w="2016"/>
            <w:shd w:fill="FFFFFF"/>
            <w:tcMar>
              <w:top w:w="60" w:type="dxa"/>
              <w:bottom w:w="60" w:type="dxa"/>
              <w:left w:w="80" w:type="dxa"/>
              <w:right w:w="80" w:type="dxa"/>
            </w:tcMar>
          </w:tcPr>
          <w:p>
            <w:pPr>
              <w:jc w:val="left"/>
            </w:pPr>
            <w:r>
              <w:rPr>
                <w:color w:val="1F2937"/>
                <w:sz w:val="17"/>
              </w:rPr>
              <w:t>High-Throughput Hybrid WAF</w:t>
            </w:r>
          </w:p>
        </w:tc>
        <w:tc>
          <w:tcPr>
            <w:tcW w:type="dxa" w:w="720"/>
            <w:shd w:fill="FFFFFF"/>
            <w:tcMar>
              <w:top w:w="60" w:type="dxa"/>
              <w:bottom w:w="60" w:type="dxa"/>
              <w:left w:w="80" w:type="dxa"/>
              <w:right w:w="80" w:type="dxa"/>
            </w:tcMar>
          </w:tcPr>
          <w:p>
            <w:pPr>
              <w:jc w:val="center"/>
            </w:pPr>
            <w:r>
              <w:rPr>
                <w:color w:val="1F2937"/>
                <w:sz w:val="17"/>
              </w:rPr>
              <w:t>2025</w:t>
            </w:r>
          </w:p>
        </w:tc>
        <w:tc>
          <w:tcPr>
            <w:tcW w:type="dxa" w:w="1872"/>
            <w:shd w:fill="FFFFFF"/>
            <w:tcMar>
              <w:top w:w="60" w:type="dxa"/>
              <w:bottom w:w="60" w:type="dxa"/>
              <w:left w:w="80" w:type="dxa"/>
              <w:right w:w="80" w:type="dxa"/>
            </w:tcMar>
          </w:tcPr>
          <w:p>
            <w:pPr>
              <w:jc w:val="left"/>
            </w:pPr>
            <w:r>
              <w:rPr>
                <w:color w:val="1F2937"/>
                <w:sz w:val="17"/>
              </w:rPr>
              <w:t>MDPI Authors</w:t>
            </w:r>
          </w:p>
        </w:tc>
        <w:tc>
          <w:tcPr>
            <w:tcW w:type="dxa" w:w="1872"/>
            <w:shd w:fill="FFFFFF"/>
            <w:tcMar>
              <w:top w:w="60" w:type="dxa"/>
              <w:bottom w:w="60" w:type="dxa"/>
              <w:left w:w="80" w:type="dxa"/>
              <w:right w:w="80" w:type="dxa"/>
            </w:tcMar>
          </w:tcPr>
          <w:p>
            <w:pPr>
              <w:jc w:val="left"/>
            </w:pPr>
            <w:r>
              <w:rPr>
                <w:color w:val="1F2937"/>
                <w:sz w:val="17"/>
              </w:rPr>
              <w:t>MDPI Electronics</w:t>
            </w:r>
          </w:p>
        </w:tc>
        <w:tc>
          <w:tcPr>
            <w:tcW w:type="dxa" w:w="2304"/>
            <w:shd w:fill="FFFFFF"/>
            <w:tcMar>
              <w:top w:w="60" w:type="dxa"/>
              <w:bottom w:w="60" w:type="dxa"/>
              <w:left w:w="80" w:type="dxa"/>
              <w:right w:w="80" w:type="dxa"/>
            </w:tcMar>
          </w:tcPr>
          <w:p>
            <w:pPr>
              <w:jc w:val="left"/>
            </w:pPr>
            <w:r>
              <w:rPr>
                <w:color w:val="1F2937"/>
                <w:sz w:val="17"/>
              </w:rPr>
              <w:t>Mô hình WAF kết hợp Rule + ML</w:t>
            </w:r>
          </w:p>
        </w:tc>
      </w:tr>
      <w:tr>
        <w:tc>
          <w:tcPr>
            <w:tcW w:type="dxa" w:w="576"/>
            <w:shd w:fill="F9FAFB"/>
            <w:tcMar>
              <w:top w:w="60" w:type="dxa"/>
              <w:bottom w:w="60" w:type="dxa"/>
              <w:left w:w="80" w:type="dxa"/>
              <w:right w:w="80" w:type="dxa"/>
            </w:tcMar>
          </w:tcPr>
          <w:p>
            <w:pPr>
              <w:jc w:val="center"/>
            </w:pPr>
            <w:r>
              <w:rPr>
                <w:color w:val="1F2937"/>
                <w:sz w:val="17"/>
              </w:rPr>
              <w:t>11</w:t>
            </w:r>
          </w:p>
        </w:tc>
        <w:tc>
          <w:tcPr>
            <w:tcW w:type="dxa" w:w="2016"/>
            <w:shd w:fill="F9FAFB"/>
            <w:tcMar>
              <w:top w:w="60" w:type="dxa"/>
              <w:bottom w:w="60" w:type="dxa"/>
              <w:left w:w="80" w:type="dxa"/>
              <w:right w:w="80" w:type="dxa"/>
            </w:tcMar>
          </w:tcPr>
          <w:p>
            <w:pPr>
              <w:jc w:val="left"/>
            </w:pPr>
            <w:r>
              <w:rPr>
                <w:color w:val="1F2937"/>
                <w:sz w:val="17"/>
              </w:rPr>
              <w:t>XSS Detection Neural Nets</w:t>
            </w:r>
          </w:p>
        </w:tc>
        <w:tc>
          <w:tcPr>
            <w:tcW w:type="dxa" w:w="720"/>
            <w:shd w:fill="F9FAFB"/>
            <w:tcMar>
              <w:top w:w="60" w:type="dxa"/>
              <w:bottom w:w="60" w:type="dxa"/>
              <w:left w:w="80" w:type="dxa"/>
              <w:right w:w="80" w:type="dxa"/>
            </w:tcMar>
          </w:tcPr>
          <w:p>
            <w:pPr>
              <w:jc w:val="center"/>
            </w:pPr>
            <w:r>
              <w:rPr>
                <w:color w:val="1F2937"/>
                <w:sz w:val="17"/>
              </w:rPr>
              <w:t>2022</w:t>
            </w:r>
          </w:p>
        </w:tc>
        <w:tc>
          <w:tcPr>
            <w:tcW w:type="dxa" w:w="1872"/>
            <w:shd w:fill="F9FAFB"/>
            <w:tcMar>
              <w:top w:w="60" w:type="dxa"/>
              <w:bottom w:w="60" w:type="dxa"/>
              <w:left w:w="80" w:type="dxa"/>
              <w:right w:w="80" w:type="dxa"/>
            </w:tcMar>
          </w:tcPr>
          <w:p>
            <w:pPr>
              <w:jc w:val="left"/>
            </w:pPr>
            <w:r>
              <w:rPr>
                <w:color w:val="1F2937"/>
                <w:sz w:val="17"/>
              </w:rPr>
              <w:t>S. Gupta &amp; B. Gupta</w:t>
            </w:r>
          </w:p>
        </w:tc>
        <w:tc>
          <w:tcPr>
            <w:tcW w:type="dxa" w:w="1872"/>
            <w:shd w:fill="F9FAFB"/>
            <w:tcMar>
              <w:top w:w="60" w:type="dxa"/>
              <w:bottom w:w="60" w:type="dxa"/>
              <w:left w:w="80" w:type="dxa"/>
              <w:right w:w="80" w:type="dxa"/>
            </w:tcMar>
          </w:tcPr>
          <w:p>
            <w:pPr>
              <w:jc w:val="left"/>
            </w:pPr>
            <w:r>
              <w:rPr>
                <w:color w:val="1F2937"/>
                <w:sz w:val="17"/>
              </w:rPr>
              <w:t>Elsevier (C&amp;S)</w:t>
            </w:r>
          </w:p>
        </w:tc>
        <w:tc>
          <w:tcPr>
            <w:tcW w:type="dxa" w:w="2304"/>
            <w:shd w:fill="F9FAFB"/>
            <w:tcMar>
              <w:top w:w="60" w:type="dxa"/>
              <w:bottom w:w="60" w:type="dxa"/>
              <w:left w:w="80" w:type="dxa"/>
              <w:right w:w="80" w:type="dxa"/>
            </w:tcMar>
          </w:tcPr>
          <w:p>
            <w:pPr>
              <w:jc w:val="left"/>
            </w:pPr>
            <w:r>
              <w:rPr>
                <w:color w:val="1F2937"/>
                <w:sz w:val="17"/>
              </w:rPr>
              <w:t>Chuẩn hóa payload chống bypass XSS</w:t>
            </w:r>
          </w:p>
        </w:tc>
      </w:tr>
      <w:tr>
        <w:tc>
          <w:tcPr>
            <w:tcW w:type="dxa" w:w="576"/>
            <w:shd w:fill="FFFFFF"/>
            <w:tcMar>
              <w:top w:w="60" w:type="dxa"/>
              <w:bottom w:w="60" w:type="dxa"/>
              <w:left w:w="80" w:type="dxa"/>
              <w:right w:w="80" w:type="dxa"/>
            </w:tcMar>
          </w:tcPr>
          <w:p>
            <w:pPr>
              <w:jc w:val="center"/>
            </w:pPr>
            <w:r>
              <w:rPr>
                <w:color w:val="1F2937"/>
                <w:sz w:val="17"/>
              </w:rPr>
              <w:t>12</w:t>
            </w:r>
          </w:p>
        </w:tc>
        <w:tc>
          <w:tcPr>
            <w:tcW w:type="dxa" w:w="2016"/>
            <w:shd w:fill="FFFFFF"/>
            <w:tcMar>
              <w:top w:w="60" w:type="dxa"/>
              <w:bottom w:w="60" w:type="dxa"/>
              <w:left w:w="80" w:type="dxa"/>
              <w:right w:w="80" w:type="dxa"/>
            </w:tcMar>
          </w:tcPr>
          <w:p>
            <w:pPr>
              <w:jc w:val="left"/>
            </w:pPr>
            <w:r>
              <w:rPr>
                <w:color w:val="1F2937"/>
                <w:sz w:val="17"/>
              </w:rPr>
              <w:t>OWASP API Top 10</w:t>
            </w:r>
          </w:p>
        </w:tc>
        <w:tc>
          <w:tcPr>
            <w:tcW w:type="dxa" w:w="720"/>
            <w:shd w:fill="FFFFFF"/>
            <w:tcMar>
              <w:top w:w="60" w:type="dxa"/>
              <w:bottom w:w="60" w:type="dxa"/>
              <w:left w:w="80" w:type="dxa"/>
              <w:right w:w="80" w:type="dxa"/>
            </w:tcMar>
          </w:tcPr>
          <w:p>
            <w:pPr>
              <w:jc w:val="center"/>
            </w:pPr>
            <w:r>
              <w:rPr>
                <w:color w:val="1F2937"/>
                <w:sz w:val="17"/>
              </w:rPr>
              <w:t>2023</w:t>
            </w:r>
          </w:p>
        </w:tc>
        <w:tc>
          <w:tcPr>
            <w:tcW w:type="dxa" w:w="1872"/>
            <w:shd w:fill="FFFFFF"/>
            <w:tcMar>
              <w:top w:w="60" w:type="dxa"/>
              <w:bottom w:w="60" w:type="dxa"/>
              <w:left w:w="80" w:type="dxa"/>
              <w:right w:w="80" w:type="dxa"/>
            </w:tcMar>
          </w:tcPr>
          <w:p>
            <w:pPr>
              <w:jc w:val="left"/>
            </w:pPr>
            <w:r>
              <w:rPr>
                <w:color w:val="1F2937"/>
                <w:sz w:val="17"/>
              </w:rPr>
              <w:t>OWASP Foundation</w:t>
            </w:r>
          </w:p>
        </w:tc>
        <w:tc>
          <w:tcPr>
            <w:tcW w:type="dxa" w:w="1872"/>
            <w:shd w:fill="FFFFFF"/>
            <w:tcMar>
              <w:top w:w="60" w:type="dxa"/>
              <w:bottom w:w="60" w:type="dxa"/>
              <w:left w:w="80" w:type="dxa"/>
              <w:right w:w="80" w:type="dxa"/>
            </w:tcMar>
          </w:tcPr>
          <w:p>
            <w:pPr>
              <w:jc w:val="left"/>
            </w:pPr>
            <w:r>
              <w:rPr>
                <w:color w:val="1F2937"/>
                <w:sz w:val="17"/>
              </w:rPr>
              <w:t>OWASP Standard</w:t>
            </w:r>
          </w:p>
        </w:tc>
        <w:tc>
          <w:tcPr>
            <w:tcW w:type="dxa" w:w="2304"/>
            <w:shd w:fill="FFFFFF"/>
            <w:tcMar>
              <w:top w:w="60" w:type="dxa"/>
              <w:bottom w:w="60" w:type="dxa"/>
              <w:left w:w="80" w:type="dxa"/>
              <w:right w:w="80" w:type="dxa"/>
            </w:tcMar>
          </w:tcPr>
          <w:p>
            <w:pPr>
              <w:jc w:val="left"/>
            </w:pPr>
            <w:r>
              <w:rPr>
                <w:color w:val="1F2937"/>
                <w:sz w:val="17"/>
              </w:rPr>
              <w:t>Chuẩn lỗ hổng trên vulnerable-api</w:t>
            </w:r>
          </w:p>
        </w:tc>
      </w:tr>
      <w:tr>
        <w:tc>
          <w:tcPr>
            <w:tcW w:type="dxa" w:w="576"/>
            <w:shd w:fill="F9FAFB"/>
            <w:tcMar>
              <w:top w:w="60" w:type="dxa"/>
              <w:bottom w:w="60" w:type="dxa"/>
              <w:left w:w="80" w:type="dxa"/>
              <w:right w:w="80" w:type="dxa"/>
            </w:tcMar>
          </w:tcPr>
          <w:p>
            <w:pPr>
              <w:jc w:val="center"/>
            </w:pPr>
            <w:r>
              <w:rPr>
                <w:color w:val="1F2937"/>
                <w:sz w:val="17"/>
              </w:rPr>
              <w:t>13</w:t>
            </w:r>
          </w:p>
        </w:tc>
        <w:tc>
          <w:tcPr>
            <w:tcW w:type="dxa" w:w="2016"/>
            <w:shd w:fill="F9FAFB"/>
            <w:tcMar>
              <w:top w:w="60" w:type="dxa"/>
              <w:bottom w:w="60" w:type="dxa"/>
              <w:left w:w="80" w:type="dxa"/>
              <w:right w:w="80" w:type="dxa"/>
            </w:tcMar>
          </w:tcPr>
          <w:p>
            <w:pPr>
              <w:jc w:val="left"/>
            </w:pPr>
            <w:r>
              <w:rPr>
                <w:color w:val="1F2937"/>
                <w:sz w:val="17"/>
              </w:rPr>
              <w:t>OWASP ModSecurity CRS</w:t>
            </w:r>
          </w:p>
        </w:tc>
        <w:tc>
          <w:tcPr>
            <w:tcW w:type="dxa" w:w="720"/>
            <w:shd w:fill="F9FAFB"/>
            <w:tcMar>
              <w:top w:w="60" w:type="dxa"/>
              <w:bottom w:w="60" w:type="dxa"/>
              <w:left w:w="80" w:type="dxa"/>
              <w:right w:w="80" w:type="dxa"/>
            </w:tcMar>
          </w:tcPr>
          <w:p>
            <w:pPr>
              <w:jc w:val="center"/>
            </w:pPr>
            <w:r>
              <w:rPr>
                <w:color w:val="1F2937"/>
                <w:sz w:val="17"/>
              </w:rPr>
              <w:t>2024</w:t>
            </w:r>
          </w:p>
        </w:tc>
        <w:tc>
          <w:tcPr>
            <w:tcW w:type="dxa" w:w="1872"/>
            <w:shd w:fill="F9FAFB"/>
            <w:tcMar>
              <w:top w:w="60" w:type="dxa"/>
              <w:bottom w:w="60" w:type="dxa"/>
              <w:left w:w="80" w:type="dxa"/>
              <w:right w:w="80" w:type="dxa"/>
            </w:tcMar>
          </w:tcPr>
          <w:p>
            <w:pPr>
              <w:jc w:val="left"/>
            </w:pPr>
            <w:r>
              <w:rPr>
                <w:color w:val="1F2937"/>
                <w:sz w:val="17"/>
              </w:rPr>
              <w:t>OWASP CRS Team</w:t>
            </w:r>
          </w:p>
        </w:tc>
        <w:tc>
          <w:tcPr>
            <w:tcW w:type="dxa" w:w="1872"/>
            <w:shd w:fill="F9FAFB"/>
            <w:tcMar>
              <w:top w:w="60" w:type="dxa"/>
              <w:bottom w:w="60" w:type="dxa"/>
              <w:left w:w="80" w:type="dxa"/>
              <w:right w:w="80" w:type="dxa"/>
            </w:tcMar>
          </w:tcPr>
          <w:p>
            <w:pPr>
              <w:jc w:val="left"/>
            </w:pPr>
            <w:r>
              <w:rPr>
                <w:color w:val="1F2937"/>
                <w:sz w:val="17"/>
              </w:rPr>
              <w:t>OWASP Standard</w:t>
            </w:r>
          </w:p>
        </w:tc>
        <w:tc>
          <w:tcPr>
            <w:tcW w:type="dxa" w:w="2304"/>
            <w:shd w:fill="F9FAFB"/>
            <w:tcMar>
              <w:top w:w="60" w:type="dxa"/>
              <w:bottom w:w="60" w:type="dxa"/>
              <w:left w:w="80" w:type="dxa"/>
              <w:right w:w="80" w:type="dxa"/>
            </w:tcMar>
          </w:tcPr>
          <w:p>
            <w:pPr>
              <w:jc w:val="left"/>
            </w:pPr>
            <w:r>
              <w:rPr>
                <w:color w:val="1F2937"/>
                <w:sz w:val="17"/>
              </w:rPr>
              <w:t>Bộ luật Regex &amp; Anomaly Scoring</w:t>
            </w:r>
          </w:p>
        </w:tc>
      </w:tr>
      <w:tr>
        <w:tc>
          <w:tcPr>
            <w:tcW w:type="dxa" w:w="576"/>
            <w:shd w:fill="FFFFFF"/>
            <w:tcMar>
              <w:top w:w="60" w:type="dxa"/>
              <w:bottom w:w="60" w:type="dxa"/>
              <w:left w:w="80" w:type="dxa"/>
              <w:right w:w="80" w:type="dxa"/>
            </w:tcMar>
          </w:tcPr>
          <w:p>
            <w:pPr>
              <w:jc w:val="center"/>
            </w:pPr>
            <w:r>
              <w:rPr>
                <w:color w:val="1F2937"/>
                <w:sz w:val="17"/>
              </w:rPr>
              <w:t>14</w:t>
            </w:r>
          </w:p>
        </w:tc>
        <w:tc>
          <w:tcPr>
            <w:tcW w:type="dxa" w:w="2016"/>
            <w:shd w:fill="FFFFFF"/>
            <w:tcMar>
              <w:top w:w="60" w:type="dxa"/>
              <w:bottom w:w="60" w:type="dxa"/>
              <w:left w:w="80" w:type="dxa"/>
              <w:right w:w="80" w:type="dxa"/>
            </w:tcMar>
          </w:tcPr>
          <w:p>
            <w:pPr>
              <w:jc w:val="left"/>
            </w:pPr>
            <w:r>
              <w:rPr>
                <w:color w:val="1F2937"/>
                <w:sz w:val="17"/>
              </w:rPr>
              <w:t>OWASP WSTG v4.2</w:t>
            </w:r>
          </w:p>
        </w:tc>
        <w:tc>
          <w:tcPr>
            <w:tcW w:type="dxa" w:w="720"/>
            <w:shd w:fill="FFFFFF"/>
            <w:tcMar>
              <w:top w:w="60" w:type="dxa"/>
              <w:bottom w:w="60" w:type="dxa"/>
              <w:left w:w="80" w:type="dxa"/>
              <w:right w:w="80" w:type="dxa"/>
            </w:tcMar>
          </w:tcPr>
          <w:p>
            <w:pPr>
              <w:jc w:val="center"/>
            </w:pPr>
            <w:r>
              <w:rPr>
                <w:color w:val="1F2937"/>
                <w:sz w:val="17"/>
              </w:rPr>
              <w:t>2023</w:t>
            </w:r>
          </w:p>
        </w:tc>
        <w:tc>
          <w:tcPr>
            <w:tcW w:type="dxa" w:w="1872"/>
            <w:shd w:fill="FFFFFF"/>
            <w:tcMar>
              <w:top w:w="60" w:type="dxa"/>
              <w:bottom w:w="60" w:type="dxa"/>
              <w:left w:w="80" w:type="dxa"/>
              <w:right w:w="80" w:type="dxa"/>
            </w:tcMar>
          </w:tcPr>
          <w:p>
            <w:pPr>
              <w:jc w:val="left"/>
            </w:pPr>
            <w:r>
              <w:rPr>
                <w:color w:val="1F2937"/>
                <w:sz w:val="17"/>
              </w:rPr>
              <w:t>OWASP Foundation</w:t>
            </w:r>
          </w:p>
        </w:tc>
        <w:tc>
          <w:tcPr>
            <w:tcW w:type="dxa" w:w="1872"/>
            <w:shd w:fill="FFFFFF"/>
            <w:tcMar>
              <w:top w:w="60" w:type="dxa"/>
              <w:bottom w:w="60" w:type="dxa"/>
              <w:left w:w="80" w:type="dxa"/>
              <w:right w:w="80" w:type="dxa"/>
            </w:tcMar>
          </w:tcPr>
          <w:p>
            <w:pPr>
              <w:jc w:val="left"/>
            </w:pPr>
            <w:r>
              <w:rPr>
                <w:color w:val="1F2937"/>
                <w:sz w:val="17"/>
              </w:rPr>
              <w:t>OWASP Standard</w:t>
            </w:r>
          </w:p>
        </w:tc>
        <w:tc>
          <w:tcPr>
            <w:tcW w:type="dxa" w:w="2304"/>
            <w:shd w:fill="FFFFFF"/>
            <w:tcMar>
              <w:top w:w="60" w:type="dxa"/>
              <w:bottom w:w="60" w:type="dxa"/>
              <w:left w:w="80" w:type="dxa"/>
              <w:right w:w="80" w:type="dxa"/>
            </w:tcMar>
          </w:tcPr>
          <w:p>
            <w:pPr>
              <w:jc w:val="left"/>
            </w:pPr>
            <w:r>
              <w:rPr>
                <w:color w:val="1F2937"/>
                <w:sz w:val="17"/>
              </w:rPr>
              <w:t>Phương pháp kiểm thử an ninh web</w:t>
            </w:r>
          </w:p>
        </w:tc>
      </w:tr>
      <w:tr>
        <w:tc>
          <w:tcPr>
            <w:tcW w:type="dxa" w:w="576"/>
            <w:shd w:fill="F9FAFB"/>
            <w:tcMar>
              <w:top w:w="60" w:type="dxa"/>
              <w:bottom w:w="60" w:type="dxa"/>
              <w:left w:w="80" w:type="dxa"/>
              <w:right w:w="80" w:type="dxa"/>
            </w:tcMar>
          </w:tcPr>
          <w:p>
            <w:pPr>
              <w:jc w:val="center"/>
            </w:pPr>
            <w:r>
              <w:rPr>
                <w:color w:val="1F2937"/>
                <w:sz w:val="17"/>
              </w:rPr>
              <w:t>15</w:t>
            </w:r>
          </w:p>
        </w:tc>
        <w:tc>
          <w:tcPr>
            <w:tcW w:type="dxa" w:w="2016"/>
            <w:shd w:fill="F9FAFB"/>
            <w:tcMar>
              <w:top w:w="60" w:type="dxa"/>
              <w:bottom w:w="60" w:type="dxa"/>
              <w:left w:w="80" w:type="dxa"/>
              <w:right w:w="80" w:type="dxa"/>
            </w:tcMar>
          </w:tcPr>
          <w:p>
            <w:pPr>
              <w:jc w:val="left"/>
            </w:pPr>
            <w:r>
              <w:rPr>
                <w:color w:val="1F2937"/>
                <w:sz w:val="17"/>
              </w:rPr>
              <w:t>OWASP Benchmark</w:t>
            </w:r>
          </w:p>
        </w:tc>
        <w:tc>
          <w:tcPr>
            <w:tcW w:type="dxa" w:w="720"/>
            <w:shd w:fill="F9FAFB"/>
            <w:tcMar>
              <w:top w:w="60" w:type="dxa"/>
              <w:bottom w:w="60" w:type="dxa"/>
              <w:left w:w="80" w:type="dxa"/>
              <w:right w:w="80" w:type="dxa"/>
            </w:tcMar>
          </w:tcPr>
          <w:p>
            <w:pPr>
              <w:jc w:val="center"/>
            </w:pPr>
            <w:r>
              <w:rPr>
                <w:color w:val="1F2937"/>
                <w:sz w:val="17"/>
              </w:rPr>
              <w:t>2022</w:t>
            </w:r>
          </w:p>
        </w:tc>
        <w:tc>
          <w:tcPr>
            <w:tcW w:type="dxa" w:w="1872"/>
            <w:shd w:fill="F9FAFB"/>
            <w:tcMar>
              <w:top w:w="60" w:type="dxa"/>
              <w:bottom w:w="60" w:type="dxa"/>
              <w:left w:w="80" w:type="dxa"/>
              <w:right w:w="80" w:type="dxa"/>
            </w:tcMar>
          </w:tcPr>
          <w:p>
            <w:pPr>
              <w:jc w:val="left"/>
            </w:pPr>
            <w:r>
              <w:rPr>
                <w:color w:val="1F2937"/>
                <w:sz w:val="17"/>
              </w:rPr>
              <w:t>Dave Wichers, OWASP</w:t>
            </w:r>
          </w:p>
        </w:tc>
        <w:tc>
          <w:tcPr>
            <w:tcW w:type="dxa" w:w="1872"/>
            <w:shd w:fill="F9FAFB"/>
            <w:tcMar>
              <w:top w:w="60" w:type="dxa"/>
              <w:bottom w:w="60" w:type="dxa"/>
              <w:left w:w="80" w:type="dxa"/>
              <w:right w:w="80" w:type="dxa"/>
            </w:tcMar>
          </w:tcPr>
          <w:p>
            <w:pPr>
              <w:jc w:val="left"/>
            </w:pPr>
            <w:r>
              <w:rPr>
                <w:color w:val="1F2937"/>
                <w:sz w:val="17"/>
              </w:rPr>
              <w:t>OWASP Standard</w:t>
            </w:r>
          </w:p>
        </w:tc>
        <w:tc>
          <w:tcPr>
            <w:tcW w:type="dxa" w:w="2304"/>
            <w:shd w:fill="F9FAFB"/>
            <w:tcMar>
              <w:top w:w="60" w:type="dxa"/>
              <w:bottom w:w="60" w:type="dxa"/>
              <w:left w:w="80" w:type="dxa"/>
              <w:right w:w="80" w:type="dxa"/>
            </w:tcMar>
          </w:tcPr>
          <w:p>
            <w:pPr>
              <w:jc w:val="left"/>
            </w:pPr>
            <w:r>
              <w:rPr>
                <w:color w:val="1F2937"/>
                <w:sz w:val="17"/>
              </w:rPr>
              <w:t>Công thức tính toán TPR, FPR, Youden</w:t>
            </w:r>
          </w:p>
        </w:tc>
      </w:tr>
      <w:tr>
        <w:tc>
          <w:tcPr>
            <w:tcW w:type="dxa" w:w="576"/>
            <w:shd w:fill="FFFFFF"/>
            <w:tcMar>
              <w:top w:w="60" w:type="dxa"/>
              <w:bottom w:w="60" w:type="dxa"/>
              <w:left w:w="80" w:type="dxa"/>
              <w:right w:w="80" w:type="dxa"/>
            </w:tcMar>
          </w:tcPr>
          <w:p>
            <w:pPr>
              <w:jc w:val="center"/>
            </w:pPr>
            <w:r>
              <w:rPr>
                <w:color w:val="1F2937"/>
                <w:sz w:val="17"/>
              </w:rPr>
              <w:t>16</w:t>
            </w:r>
          </w:p>
        </w:tc>
        <w:tc>
          <w:tcPr>
            <w:tcW w:type="dxa" w:w="2016"/>
            <w:shd w:fill="FFFFFF"/>
            <w:tcMar>
              <w:top w:w="60" w:type="dxa"/>
              <w:bottom w:w="60" w:type="dxa"/>
              <w:left w:w="80" w:type="dxa"/>
              <w:right w:w="80" w:type="dxa"/>
            </w:tcMar>
          </w:tcPr>
          <w:p>
            <w:pPr>
              <w:jc w:val="left"/>
            </w:pPr>
            <w:r>
              <w:rPr>
                <w:color w:val="1F2937"/>
                <w:sz w:val="17"/>
              </w:rPr>
              <w:t>Cyber Ranges &amp; Testbeds</w:t>
            </w:r>
          </w:p>
        </w:tc>
        <w:tc>
          <w:tcPr>
            <w:tcW w:type="dxa" w:w="720"/>
            <w:shd w:fill="FFFFFF"/>
            <w:tcMar>
              <w:top w:w="60" w:type="dxa"/>
              <w:bottom w:w="60" w:type="dxa"/>
              <w:left w:w="80" w:type="dxa"/>
              <w:right w:w="80" w:type="dxa"/>
            </w:tcMar>
          </w:tcPr>
          <w:p>
            <w:pPr>
              <w:jc w:val="center"/>
            </w:pPr>
            <w:r>
              <w:rPr>
                <w:color w:val="1F2937"/>
                <w:sz w:val="17"/>
              </w:rPr>
              <w:t>2020</w:t>
            </w:r>
          </w:p>
        </w:tc>
        <w:tc>
          <w:tcPr>
            <w:tcW w:type="dxa" w:w="1872"/>
            <w:shd w:fill="FFFFFF"/>
            <w:tcMar>
              <w:top w:w="60" w:type="dxa"/>
              <w:bottom w:w="60" w:type="dxa"/>
              <w:left w:w="80" w:type="dxa"/>
              <w:right w:w="80" w:type="dxa"/>
            </w:tcMar>
          </w:tcPr>
          <w:p>
            <w:pPr>
              <w:jc w:val="left"/>
            </w:pPr>
            <w:r>
              <w:rPr>
                <w:color w:val="1F2937"/>
                <w:sz w:val="17"/>
              </w:rPr>
              <w:t>M. Yamin et al. (NTNU)</w:t>
            </w:r>
          </w:p>
        </w:tc>
        <w:tc>
          <w:tcPr>
            <w:tcW w:type="dxa" w:w="1872"/>
            <w:shd w:fill="FFFFFF"/>
            <w:tcMar>
              <w:top w:w="60" w:type="dxa"/>
              <w:bottom w:w="60" w:type="dxa"/>
              <w:left w:w="80" w:type="dxa"/>
              <w:right w:w="80" w:type="dxa"/>
            </w:tcMar>
          </w:tcPr>
          <w:p>
            <w:pPr>
              <w:jc w:val="left"/>
            </w:pPr>
            <w:r>
              <w:rPr>
                <w:color w:val="1F2937"/>
                <w:sz w:val="17"/>
              </w:rPr>
              <w:t>Elsevier (C&amp;S)</w:t>
            </w:r>
          </w:p>
        </w:tc>
        <w:tc>
          <w:tcPr>
            <w:tcW w:type="dxa" w:w="2304"/>
            <w:shd w:fill="FFFFFF"/>
            <w:tcMar>
              <w:top w:w="60" w:type="dxa"/>
              <w:bottom w:w="60" w:type="dxa"/>
              <w:left w:w="80" w:type="dxa"/>
              <w:right w:w="80" w:type="dxa"/>
            </w:tcMar>
          </w:tcPr>
          <w:p>
            <w:pPr>
              <w:jc w:val="left"/>
            </w:pPr>
            <w:r>
              <w:rPr>
                <w:color w:val="1F2937"/>
                <w:sz w:val="17"/>
              </w:rPr>
              <w:t>Cơ sở thiết kế Cyber Range 2 máy</w:t>
            </w:r>
          </w:p>
        </w:tc>
      </w:tr>
      <w:tr>
        <w:tc>
          <w:tcPr>
            <w:tcW w:type="dxa" w:w="576"/>
            <w:shd w:fill="F9FAFB"/>
            <w:tcMar>
              <w:top w:w="60" w:type="dxa"/>
              <w:bottom w:w="60" w:type="dxa"/>
              <w:left w:w="80" w:type="dxa"/>
              <w:right w:w="80" w:type="dxa"/>
            </w:tcMar>
          </w:tcPr>
          <w:p>
            <w:pPr>
              <w:jc w:val="center"/>
            </w:pPr>
            <w:r>
              <w:rPr>
                <w:color w:val="1F2937"/>
                <w:sz w:val="17"/>
              </w:rPr>
              <w:t>17</w:t>
            </w:r>
          </w:p>
        </w:tc>
        <w:tc>
          <w:tcPr>
            <w:tcW w:type="dxa" w:w="2016"/>
            <w:shd w:fill="F9FAFB"/>
            <w:tcMar>
              <w:top w:w="60" w:type="dxa"/>
              <w:bottom w:w="60" w:type="dxa"/>
              <w:left w:w="80" w:type="dxa"/>
              <w:right w:w="80" w:type="dxa"/>
            </w:tcMar>
          </w:tcPr>
          <w:p>
            <w:pPr>
              <w:jc w:val="left"/>
            </w:pPr>
            <w:r>
              <w:rPr>
                <w:color w:val="1F2937"/>
                <w:sz w:val="17"/>
              </w:rPr>
              <w:t>CALDERA Platform</w:t>
            </w:r>
          </w:p>
        </w:tc>
        <w:tc>
          <w:tcPr>
            <w:tcW w:type="dxa" w:w="720"/>
            <w:shd w:fill="F9FAFB"/>
            <w:tcMar>
              <w:top w:w="60" w:type="dxa"/>
              <w:bottom w:w="60" w:type="dxa"/>
              <w:left w:w="80" w:type="dxa"/>
              <w:right w:w="80" w:type="dxa"/>
            </w:tcMar>
          </w:tcPr>
          <w:p>
            <w:pPr>
              <w:jc w:val="center"/>
            </w:pPr>
            <w:r>
              <w:rPr>
                <w:color w:val="1F2937"/>
                <w:sz w:val="17"/>
              </w:rPr>
              <w:t>2022</w:t>
            </w:r>
          </w:p>
        </w:tc>
        <w:tc>
          <w:tcPr>
            <w:tcW w:type="dxa" w:w="1872"/>
            <w:shd w:fill="F9FAFB"/>
            <w:tcMar>
              <w:top w:w="60" w:type="dxa"/>
              <w:bottom w:w="60" w:type="dxa"/>
              <w:left w:w="80" w:type="dxa"/>
              <w:right w:w="80" w:type="dxa"/>
            </w:tcMar>
          </w:tcPr>
          <w:p>
            <w:pPr>
              <w:jc w:val="left"/>
            </w:pPr>
            <w:r>
              <w:rPr>
                <w:color w:val="1F2937"/>
                <w:sz w:val="17"/>
              </w:rPr>
              <w:t>MITRE Corporation</w:t>
            </w:r>
          </w:p>
        </w:tc>
        <w:tc>
          <w:tcPr>
            <w:tcW w:type="dxa" w:w="1872"/>
            <w:shd w:fill="F9FAFB"/>
            <w:tcMar>
              <w:top w:w="60" w:type="dxa"/>
              <w:bottom w:w="60" w:type="dxa"/>
              <w:left w:w="80" w:type="dxa"/>
              <w:right w:w="80" w:type="dxa"/>
            </w:tcMar>
          </w:tcPr>
          <w:p>
            <w:pPr>
              <w:jc w:val="left"/>
            </w:pPr>
            <w:r>
              <w:rPr>
                <w:color w:val="1F2937"/>
                <w:sz w:val="17"/>
              </w:rPr>
              <w:t>ICAPS 2022</w:t>
            </w:r>
          </w:p>
        </w:tc>
        <w:tc>
          <w:tcPr>
            <w:tcW w:type="dxa" w:w="2304"/>
            <w:shd w:fill="F9FAFB"/>
            <w:tcMar>
              <w:top w:w="60" w:type="dxa"/>
              <w:bottom w:w="60" w:type="dxa"/>
              <w:left w:w="80" w:type="dxa"/>
              <w:right w:w="80" w:type="dxa"/>
            </w:tcMar>
          </w:tcPr>
          <w:p>
            <w:pPr>
              <w:jc w:val="left"/>
            </w:pPr>
            <w:r>
              <w:rPr>
                <w:color w:val="1F2937"/>
                <w:sz w:val="17"/>
              </w:rPr>
              <w:t>Chuẩn hóa giả lập đối kháng</w:t>
            </w:r>
          </w:p>
        </w:tc>
      </w:tr>
      <w:tr>
        <w:tc>
          <w:tcPr>
            <w:tcW w:type="dxa" w:w="576"/>
            <w:shd w:fill="FFFFFF"/>
            <w:tcMar>
              <w:top w:w="60" w:type="dxa"/>
              <w:bottom w:w="60" w:type="dxa"/>
              <w:left w:w="80" w:type="dxa"/>
              <w:right w:w="80" w:type="dxa"/>
            </w:tcMar>
          </w:tcPr>
          <w:p>
            <w:pPr>
              <w:jc w:val="center"/>
            </w:pPr>
            <w:r>
              <w:rPr>
                <w:color w:val="1F2937"/>
                <w:sz w:val="17"/>
              </w:rPr>
              <w:t>18</w:t>
            </w:r>
          </w:p>
        </w:tc>
        <w:tc>
          <w:tcPr>
            <w:tcW w:type="dxa" w:w="2016"/>
            <w:shd w:fill="FFFFFF"/>
            <w:tcMar>
              <w:top w:w="60" w:type="dxa"/>
              <w:bottom w:w="60" w:type="dxa"/>
              <w:left w:w="80" w:type="dxa"/>
              <w:right w:w="80" w:type="dxa"/>
            </w:tcMar>
          </w:tcPr>
          <w:p>
            <w:pPr>
              <w:jc w:val="left"/>
            </w:pPr>
            <w:r>
              <w:rPr>
                <w:color w:val="1F2937"/>
                <w:sz w:val="17"/>
              </w:rPr>
              <w:t>MITRE ATT&amp;CK Matrix</w:t>
            </w:r>
          </w:p>
        </w:tc>
        <w:tc>
          <w:tcPr>
            <w:tcW w:type="dxa" w:w="720"/>
            <w:shd w:fill="FFFFFF"/>
            <w:tcMar>
              <w:top w:w="60" w:type="dxa"/>
              <w:bottom w:w="60" w:type="dxa"/>
              <w:left w:w="80" w:type="dxa"/>
              <w:right w:w="80" w:type="dxa"/>
            </w:tcMar>
          </w:tcPr>
          <w:p>
            <w:pPr>
              <w:jc w:val="center"/>
            </w:pPr>
            <w:r>
              <w:rPr>
                <w:color w:val="1F2937"/>
                <w:sz w:val="17"/>
              </w:rPr>
              <w:t>2024</w:t>
            </w:r>
          </w:p>
        </w:tc>
        <w:tc>
          <w:tcPr>
            <w:tcW w:type="dxa" w:w="1872"/>
            <w:shd w:fill="FFFFFF"/>
            <w:tcMar>
              <w:top w:w="60" w:type="dxa"/>
              <w:bottom w:w="60" w:type="dxa"/>
              <w:left w:w="80" w:type="dxa"/>
              <w:right w:w="80" w:type="dxa"/>
            </w:tcMar>
          </w:tcPr>
          <w:p>
            <w:pPr>
              <w:jc w:val="left"/>
            </w:pPr>
            <w:r>
              <w:rPr>
                <w:color w:val="1F2937"/>
                <w:sz w:val="17"/>
              </w:rPr>
              <w:t>MITRE Corporation</w:t>
            </w:r>
          </w:p>
        </w:tc>
        <w:tc>
          <w:tcPr>
            <w:tcW w:type="dxa" w:w="1872"/>
            <w:shd w:fill="FFFFFF"/>
            <w:tcMar>
              <w:top w:w="60" w:type="dxa"/>
              <w:bottom w:w="60" w:type="dxa"/>
              <w:left w:w="80" w:type="dxa"/>
              <w:right w:w="80" w:type="dxa"/>
            </w:tcMar>
          </w:tcPr>
          <w:p>
            <w:pPr>
              <w:jc w:val="left"/>
            </w:pPr>
            <w:r>
              <w:rPr>
                <w:color w:val="1F2937"/>
                <w:sz w:val="17"/>
              </w:rPr>
              <w:t>MITRE Standard</w:t>
            </w:r>
          </w:p>
        </w:tc>
        <w:tc>
          <w:tcPr>
            <w:tcW w:type="dxa" w:w="2304"/>
            <w:shd w:fill="FFFFFF"/>
            <w:tcMar>
              <w:top w:w="60" w:type="dxa"/>
              <w:bottom w:w="60" w:type="dxa"/>
              <w:left w:w="80" w:type="dxa"/>
              <w:right w:w="80" w:type="dxa"/>
            </w:tcMar>
          </w:tcPr>
          <w:p>
            <w:pPr>
              <w:jc w:val="left"/>
            </w:pPr>
            <w:r>
              <w:rPr>
                <w:color w:val="1F2937"/>
                <w:sz w:val="17"/>
              </w:rPr>
              <w:t>Ánh xạ kỹ thuật (T1190, T1059,...)</w:t>
            </w:r>
          </w:p>
        </w:tc>
      </w:tr>
      <w:tr>
        <w:tc>
          <w:tcPr>
            <w:tcW w:type="dxa" w:w="576"/>
            <w:shd w:fill="F9FAFB"/>
            <w:tcMar>
              <w:top w:w="60" w:type="dxa"/>
              <w:bottom w:w="60" w:type="dxa"/>
              <w:left w:w="80" w:type="dxa"/>
              <w:right w:w="80" w:type="dxa"/>
            </w:tcMar>
          </w:tcPr>
          <w:p>
            <w:pPr>
              <w:jc w:val="center"/>
            </w:pPr>
            <w:r>
              <w:rPr>
                <w:color w:val="1F2937"/>
                <w:sz w:val="17"/>
              </w:rPr>
              <w:t>19</w:t>
            </w:r>
          </w:p>
        </w:tc>
        <w:tc>
          <w:tcPr>
            <w:tcW w:type="dxa" w:w="2016"/>
            <w:shd w:fill="F9FAFB"/>
            <w:tcMar>
              <w:top w:w="60" w:type="dxa"/>
              <w:bottom w:w="60" w:type="dxa"/>
              <w:left w:w="80" w:type="dxa"/>
              <w:right w:w="80" w:type="dxa"/>
            </w:tcMar>
          </w:tcPr>
          <w:p>
            <w:pPr>
              <w:jc w:val="left"/>
            </w:pPr>
            <w:r>
              <w:rPr>
                <w:color w:val="1F2937"/>
                <w:sz w:val="17"/>
              </w:rPr>
              <w:t>DefAtt Cyber Labs</w:t>
            </w:r>
          </w:p>
        </w:tc>
        <w:tc>
          <w:tcPr>
            <w:tcW w:type="dxa" w:w="720"/>
            <w:shd w:fill="F9FAFB"/>
            <w:tcMar>
              <w:top w:w="60" w:type="dxa"/>
              <w:bottom w:w="60" w:type="dxa"/>
              <w:left w:w="80" w:type="dxa"/>
              <w:right w:w="80" w:type="dxa"/>
            </w:tcMar>
          </w:tcPr>
          <w:p>
            <w:pPr>
              <w:jc w:val="center"/>
            </w:pPr>
            <w:r>
              <w:rPr>
                <w:color w:val="1F2937"/>
                <w:sz w:val="17"/>
              </w:rPr>
              <w:t>2021</w:t>
            </w:r>
          </w:p>
        </w:tc>
        <w:tc>
          <w:tcPr>
            <w:tcW w:type="dxa" w:w="1872"/>
            <w:shd w:fill="F9FAFB"/>
            <w:tcMar>
              <w:top w:w="60" w:type="dxa"/>
              <w:bottom w:w="60" w:type="dxa"/>
              <w:left w:w="80" w:type="dxa"/>
              <w:right w:w="80" w:type="dxa"/>
            </w:tcMar>
          </w:tcPr>
          <w:p>
            <w:pPr>
              <w:jc w:val="left"/>
            </w:pPr>
            <w:r>
              <w:rPr>
                <w:color w:val="1F2937"/>
                <w:sz w:val="17"/>
              </w:rPr>
              <w:t>Aalborg University</w:t>
            </w:r>
          </w:p>
        </w:tc>
        <w:tc>
          <w:tcPr>
            <w:tcW w:type="dxa" w:w="1872"/>
            <w:shd w:fill="F9FAFB"/>
            <w:tcMar>
              <w:top w:w="60" w:type="dxa"/>
              <w:bottom w:w="60" w:type="dxa"/>
              <w:left w:w="80" w:type="dxa"/>
              <w:right w:w="80" w:type="dxa"/>
            </w:tcMar>
          </w:tcPr>
          <w:p>
            <w:pPr>
              <w:jc w:val="left"/>
            </w:pPr>
            <w:r>
              <w:rPr>
                <w:color w:val="1F2937"/>
                <w:sz w:val="17"/>
              </w:rPr>
              <w:t>IEEE CyberSA '21</w:t>
            </w:r>
          </w:p>
        </w:tc>
        <w:tc>
          <w:tcPr>
            <w:tcW w:type="dxa" w:w="2304"/>
            <w:shd w:fill="F9FAFB"/>
            <w:tcMar>
              <w:top w:w="60" w:type="dxa"/>
              <w:bottom w:w="60" w:type="dxa"/>
              <w:left w:w="80" w:type="dxa"/>
              <w:right w:w="80" w:type="dxa"/>
            </w:tcMar>
          </w:tcPr>
          <w:p>
            <w:pPr>
              <w:jc w:val="left"/>
            </w:pPr>
            <w:r>
              <w:rPr>
                <w:color w:val="1F2937"/>
                <w:sz w:val="17"/>
              </w:rPr>
              <w:t>Thiết kế SOC Dashboard thời gian thực</w:t>
            </w:r>
          </w:p>
        </w:tc>
      </w:tr>
      <w:tr>
        <w:tc>
          <w:tcPr>
            <w:tcW w:type="dxa" w:w="576"/>
            <w:shd w:fill="FFFFFF"/>
            <w:tcMar>
              <w:top w:w="60" w:type="dxa"/>
              <w:bottom w:w="60" w:type="dxa"/>
              <w:left w:w="80" w:type="dxa"/>
              <w:right w:w="80" w:type="dxa"/>
            </w:tcMar>
          </w:tcPr>
          <w:p>
            <w:pPr>
              <w:jc w:val="center"/>
            </w:pPr>
            <w:r>
              <w:rPr>
                <w:color w:val="1F2937"/>
                <w:sz w:val="17"/>
              </w:rPr>
              <w:t>20</w:t>
            </w:r>
          </w:p>
        </w:tc>
        <w:tc>
          <w:tcPr>
            <w:tcW w:type="dxa" w:w="2016"/>
            <w:shd w:fill="FFFFFF"/>
            <w:tcMar>
              <w:top w:w="60" w:type="dxa"/>
              <w:bottom w:w="60" w:type="dxa"/>
              <w:left w:w="80" w:type="dxa"/>
              <w:right w:w="80" w:type="dxa"/>
            </w:tcMar>
          </w:tcPr>
          <w:p>
            <w:pPr>
              <w:jc w:val="left"/>
            </w:pPr>
            <w:r>
              <w:rPr>
                <w:color w:val="1F2937"/>
                <w:sz w:val="17"/>
              </w:rPr>
              <w:t>NIST SP 800-115</w:t>
            </w:r>
          </w:p>
        </w:tc>
        <w:tc>
          <w:tcPr>
            <w:tcW w:type="dxa" w:w="720"/>
            <w:shd w:fill="FFFFFF"/>
            <w:tcMar>
              <w:top w:w="60" w:type="dxa"/>
              <w:bottom w:w="60" w:type="dxa"/>
              <w:left w:w="80" w:type="dxa"/>
              <w:right w:w="80" w:type="dxa"/>
            </w:tcMar>
          </w:tcPr>
          <w:p>
            <w:pPr>
              <w:jc w:val="center"/>
            </w:pPr>
            <w:r>
              <w:rPr>
                <w:color w:val="1F2937"/>
                <w:sz w:val="17"/>
              </w:rPr>
              <w:t>2008</w:t>
            </w:r>
          </w:p>
        </w:tc>
        <w:tc>
          <w:tcPr>
            <w:tcW w:type="dxa" w:w="1872"/>
            <w:shd w:fill="FFFFFF"/>
            <w:tcMar>
              <w:top w:w="60" w:type="dxa"/>
              <w:bottom w:w="60" w:type="dxa"/>
              <w:left w:w="80" w:type="dxa"/>
              <w:right w:w="80" w:type="dxa"/>
            </w:tcMar>
          </w:tcPr>
          <w:p>
            <w:pPr>
              <w:jc w:val="left"/>
            </w:pPr>
            <w:r>
              <w:rPr>
                <w:color w:val="1F2937"/>
                <w:sz w:val="17"/>
              </w:rPr>
              <w:t>NIST (U.S. Dept)</w:t>
            </w:r>
          </w:p>
        </w:tc>
        <w:tc>
          <w:tcPr>
            <w:tcW w:type="dxa" w:w="1872"/>
            <w:shd w:fill="FFFFFF"/>
            <w:tcMar>
              <w:top w:w="60" w:type="dxa"/>
              <w:bottom w:w="60" w:type="dxa"/>
              <w:left w:w="80" w:type="dxa"/>
              <w:right w:w="80" w:type="dxa"/>
            </w:tcMar>
          </w:tcPr>
          <w:p>
            <w:pPr>
              <w:jc w:val="left"/>
            </w:pPr>
            <w:r>
              <w:rPr>
                <w:color w:val="1F2937"/>
                <w:sz w:val="17"/>
              </w:rPr>
              <w:t>NIST Standard</w:t>
            </w:r>
          </w:p>
        </w:tc>
        <w:tc>
          <w:tcPr>
            <w:tcW w:type="dxa" w:w="2304"/>
            <w:shd w:fill="FFFFFF"/>
            <w:tcMar>
              <w:top w:w="60" w:type="dxa"/>
              <w:bottom w:w="60" w:type="dxa"/>
              <w:left w:w="80" w:type="dxa"/>
              <w:right w:w="80" w:type="dxa"/>
            </w:tcMar>
          </w:tcPr>
          <w:p>
            <w:pPr>
              <w:jc w:val="left"/>
            </w:pPr>
            <w:r>
              <w:rPr>
                <w:color w:val="1F2937"/>
                <w:sz w:val="17"/>
              </w:rPr>
              <w:t>Quy chuẩn đánh giá an ninh 4 pha</w:t>
            </w:r>
          </w:p>
        </w:tc>
      </w:tr>
    </w:tbl>
    <w:p>
      <w:pPr>
        <w:spacing w:before="280" w:after="120"/>
      </w:pPr>
      <w:r>
        <w:rPr>
          <w:b/>
          <w:color w:val="0F2454"/>
          <w:sz w:val="26"/>
        </w:rPr>
        <w:t>6. BA LUẬN ĐIỂM CỐT LÕI BẢO VỆ TRƯỚC GIẢNG VIÊN HƯỚNG DẪN</w:t>
      </w:r>
    </w:p>
    <w:p>
      <w:r>
        <w:rPr>
          <w:b/>
          <w:color w:val="991B1B"/>
        </w:rPr>
        <w:t>1. Khi Thầy hỏi: 'Tại sao không dùng Juice Shop mà tự làm Vulnerable Web API?'</w:t>
        <w:br/>
      </w:r>
      <w:r>
        <w:rPr>
          <w:sz w:val="20"/>
        </w:rPr>
        <w:t>Trả lời: Theo công trình nghiên cứu về Cyber Range Testbeds của Yamin et al. (Elsevier 2020 - Ref 16), việc dùng một ứng dụng bên thứ 3 đóng gói sẵn như Juice Shop khiến nhóm không kiểm soát được tầng Backend, CSDL nội bộ và cơ chế log để đo lường chính xác độ nhạy của WAF. Nhóm đã tự xây dựng vulnerable-api từ ứng dụng thực tế (Django Bookie) với 5 lỗ hổng chuẩn OWASP API Security Top 10 (2023 - Ref 12) và xuất chuẩn OpenAPI 3.0 (Ref 05) để AI Agent tự động đọc hiểu và lên kế hoạch tấn công.</w:t>
      </w:r>
    </w:p>
    <w:p>
      <w:r>
        <w:rPr>
          <w:b/>
          <w:color w:val="991B1B"/>
        </w:rPr>
        <w:t>2. Khi Thầy hỏi: 'Tại sao phải tách 2 máy vật lý qua mạng LAN thay vì chạy localhost?'</w:t>
        <w:br/>
      </w:r>
      <w:r>
        <w:rPr>
          <w:sz w:val="20"/>
        </w:rPr>
        <w:t>Trả lời: Theo các nghiên cứu về Cyber Operations như Incalmo (CMU 2024 - Ref 03) và DefAtt (IEEE 2021 - Ref 19), một cuộc diễn tập an ninh chỉ có giá trị thực tiễn khi có sự phân cách ranh giới mạng giữa kẻ tấn công và người phòng thủ. Máy 1 đóng vai trò hạ tầng Blue Team (Gateway WAF + API + SOC), Máy 2 đóng vai trò Red Team bên ngoài mạng LAN. Điều này đảm bảo kiểm tra được độ trễ mạng thực, luồng gói tin IP thật và khả năng chống chịu tấn công thực tế.</w:t>
      </w:r>
    </w:p>
    <w:p>
      <w:r>
        <w:rPr>
          <w:b/>
          <w:color w:val="991B1B"/>
        </w:rPr>
        <w:t>3. Khi Thầy hỏi: 'Mô hình Machine Learning dựa trên cơ sở toán học nào và trích xuất đặc trưng ra sao?'</w:t>
        <w:br/>
      </w:r>
      <w:r>
        <w:rPr>
          <w:sz w:val="20"/>
        </w:rPr>
        <w:t>Trả lời: Nhóm kế thừa phương pháp trích xuất đặc trưng của Torrano-Gimenez et al. (Wiley 2015 - Ref 07) trên bộ dữ liệu chuẩn CSIC 2010 (Ref 06). Nhóm đã xây dựng Vector 17 đặc trưng số học (Entropy Shannon, tỷ lệ ký tự nguy hiểm, độ dài URL, mật độ keyword) và áp dụng mô hình Random Forest / XGBoost theo kiến trúc Hybrid WAF (MDPI 2025 - Ref 10) để vừa đảm bảo F1-score trên 98% vừa giữ độ trễ dưới 10ms/request.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