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b/>
          <w:color w:val="4B5563"/>
          <w:sz w:val="24"/>
        </w:rPr>
        <w:t>TRƯỜNG ĐẠI HỌC BÁCH KHOA - ĐẠI HỌC ĐÀ NẴNG</w:t>
        <w:br/>
        <w:t>KHOA CÔNG NGHỆ THÔNG TIN - BỘ MÔN AN TOÀN THÔNG TIN</w:t>
        <w:br/>
        <w:br/>
      </w:r>
      <w:r>
        <w:rPr>
          <w:b/>
          <w:color w:val="047857"/>
          <w:sz w:val="28"/>
        </w:rPr>
        <w:t>BÁO CÁO ĐỒ ÁN MÔN HỌC CHUYÊN NGÀNH AN TOÀN THÔNG TIN (PBL6)</w:t>
        <w:br/>
      </w:r>
      <w:r>
        <w:rPr>
          <w:b/>
          <w:color w:val="111827"/>
          <w:sz w:val="32"/>
        </w:rPr>
        <w:t>CHƯƠNG 1: CƠ SỞ LÝ THUYẾT VÀ TỔNG QUAN CÔNG NGHỆ</w:t>
        <w:br/>
      </w:r>
      <w:r>
        <w:rPr>
          <w:i/>
          <w:color w:val="374151"/>
          <w:sz w:val="24"/>
        </w:rPr>
        <w:t>Đề tài: Nền tảng Giám sát, Phát hiện và Ngăn chặn Tấn công Web API dựa trên AI/ML kết hợp Môi trường Thao trường Mạng (Cyber Range) Phân tán</w:t>
        <w:br/>
      </w:r>
    </w:p>
    <w:p>
      <w:pPr>
        <w:spacing w:after="80" w:line="312" w:lineRule="auto"/>
        <w:jc w:val="both"/>
      </w:pPr>
      <w:r>
        <w:rPr>
          <w:i/>
          <w:sz w:val="26"/>
        </w:rPr>
        <w:t>Tài liệu cơ sở lý thuyết bám sát 20 công trình và giáo trình kinh điển quốc tế (Prentice Hall, CRC Press, Sybex/Wiley, O'Reilly, USENIX Security, IEEE, ACM, Elsevier, MDPI, NIST, OWASP, MITRE). Cung cấp luận cứ toán học, cơ chế kiến trúc và cơ sở phân loại cho toàn bộ hệ sinh thái phòng thủ và tấn công của đồ án.</w:t>
      </w:r>
    </w:p>
    <w:p>
      <w:pPr>
        <w:spacing w:before="280" w:after="120"/>
      </w:pPr>
      <w:r>
        <w:rPr>
          <w:b/>
          <w:color w:val="0F766E"/>
          <w:sz w:val="30"/>
        </w:rPr>
        <w:t>1.1. TỔNG QUAN VỀ BẢO MẬT WEB API VÀ CÁC THÁCH THỨC AN NINH HIỆN ĐẠI</w:t>
      </w:r>
    </w:p>
    <w:p>
      <w:pPr>
        <w:spacing w:before="200" w:after="80"/>
      </w:pPr>
      <w:r>
        <w:rPr>
          <w:b/>
          <w:color w:val="1E40AF"/>
          <w:sz w:val="27"/>
        </w:rPr>
        <w:t>1.1.1. Xu hướng kiến trúc Microservices và sự bùng nổ của Web API</w:t>
      </w:r>
    </w:p>
    <w:p>
      <w:pPr>
        <w:spacing w:after="80" w:line="312" w:lineRule="auto"/>
        <w:jc w:val="both"/>
      </w:pPr>
      <w:r>
        <w:rPr>
          <w:i w:val="0"/>
          <w:sz w:val="26"/>
        </w:rPr>
        <w:t>Trong kỷ nguyên chuyển đổi số và điện toán đám mây, kiến trúc phần mềm đã trải qua sự chuyển dịch mang tính nền tảng từ các hệ thống nguyên khối (Monolithic Architecture) sang kiến trúc phân tán và vi dịch vụ (Microservices Architecture). Trong mô hình này, giao diện lập trình ứng dụng web (Web API), đặc biệt là chuẩn RESTful API truyền tải dữ liệu qua giao thức HTTP/HTTPS với định dạng JSON, đã trở thành huyết mạch kết nối toàn bộ hệ sinh thái dịch vụ số: từ ứng dụng Single Page Application (SPA), ứng dụng di động (Mobile Apps), hệ thống Internet vạn vật (IoT) cho đến các cổng thanh toán tài chính liên ngân hàng.</w:t>
      </w:r>
    </w:p>
    <w:p>
      <w:pPr>
        <w:spacing w:after="80" w:line="312" w:lineRule="auto"/>
        <w:jc w:val="both"/>
      </w:pPr>
      <w:r>
        <w:rPr>
          <w:i w:val="0"/>
          <w:sz w:val="26"/>
        </w:rPr>
        <w:t>Tuy nhiên, sự bùng nổ về số lượng và tính phức tạp của Web API đã làm mở rộng đáng kể bề mặt tấn công (Attack Surface). Không giống như các ứng dụng web truyền thống hiển thị giao diện qua HTML/CSS, Web API phơi bày trực tiếp logic nghiệp vụ, các tham số truy vấn cơ sở dữ liệu và cấu trúc dữ liệu nhạy cảm. Kẻ tấn công có thể dễ dàng sử dụng các công cụ phân tích tự động, bóc tách tài liệu OpenAPI/Swagger specification để lập bản đồ các endpoint và thực hiện tấn công hàng loạt mà không bị cản trở bởi lớp giao diện người dùng [Ref 04].</w:t>
      </w:r>
    </w:p>
    <w:p>
      <w:pPr>
        <w:spacing w:before="200" w:after="80"/>
      </w:pPr>
      <w:r>
        <w:rPr>
          <w:b/>
          <w:color w:val="1E40AF"/>
          <w:sz w:val="27"/>
        </w:rPr>
        <w:t>1.1.2. Phân tích các mối đe dọa hàng đầu theo OWASP Top 10 API Security Risks (2023)</w:t>
      </w:r>
    </w:p>
    <w:p>
      <w:pPr>
        <w:spacing w:after="80" w:line="312" w:lineRule="auto"/>
        <w:jc w:val="both"/>
      </w:pPr>
      <w:r>
        <w:rPr>
          <w:i w:val="0"/>
          <w:sz w:val="26"/>
        </w:rPr>
        <w:t>Theo công bố chính thức từ tổ chức an toàn thông tin uy tín thế giới OWASP trong tài liệu OWASP Top 10 API Security Risks 2023 [Ref 06], các cuộc tấn công nhắm vào Web API ngày càng trở nên tinh vi và có tổ chức. Đồ án tập trung nghiên cứu và xây dựng giải pháp phòng thủ cho 4 nhóm hiểm họa nghiêm trọng nhất:</w:t>
      </w:r>
    </w:p>
    <w:p>
      <w:pPr>
        <w:pStyle w:val="ListBullet"/>
        <w:spacing w:after="60" w:line="312" w:lineRule="auto"/>
        <w:jc w:val="both"/>
      </w:pPr>
      <w:r>
        <w:rPr>
          <w:b/>
          <w:color w:val="111827"/>
          <w:sz w:val="26"/>
        </w:rPr>
        <w:t xml:space="preserve">1. Các lỗ hổng tiêm mã độc (Injection Vulnerabilities): </w:t>
      </w:r>
      <w:r>
        <w:rPr>
          <w:sz w:val="26"/>
        </w:rPr>
        <w:t>Bao gồm SQL Injection (In-band, Error-based, Time-based Blind SQLi [Ref 10]), OS Command Injection thực thi shellcode trực tiếp, và Path Traversal đọc tệp tin cấu hình nhạy cảm. Kẻ tấn công lợi dụng dữ liệu đầu vào chưa được kiểm duyệt để thay đổi logic truy vấn hoặc chiếm toàn quyền điều khiển hệ điều hành máy chủ.</w:t>
      </w:r>
    </w:p>
    <w:p>
      <w:pPr>
        <w:pStyle w:val="ListBullet"/>
        <w:spacing w:after="60" w:line="312" w:lineRule="auto"/>
        <w:jc w:val="both"/>
      </w:pPr>
      <w:r>
        <w:rPr>
          <w:b/>
          <w:color w:val="111827"/>
          <w:sz w:val="26"/>
        </w:rPr>
        <w:t xml:space="preserve">2. Tấn công Cross-Site Scripting (XSS): </w:t>
      </w:r>
      <w:r>
        <w:rPr>
          <w:sz w:val="26"/>
        </w:rPr>
        <w:t>Mặc dù API chủ yếu trả về dữ liệu JSON, nhưng các trường dữ liệu do API phản hồi thường được render trực tiếp lên trình duyệt của người dùng cuối trong các ứng dụng SPA (React, Vue, Next.js). Khi kẻ tấn công chèn thành công các payload chứa mã JavaScript nguy hại (&lt;script&gt;, &lt;img onerror=...&gt;) qua API, mã độc sẽ thực thi trong ngữ cảnh phiên nạn nhân, dẫn đến nguy cơ đánh cắp token JWT, session cookies hoặc chiếm đoạt tài khoản.</w:t>
      </w:r>
    </w:p>
    <w:p>
      <w:pPr>
        <w:pStyle w:val="ListBullet"/>
        <w:spacing w:after="60" w:line="312" w:lineRule="auto"/>
        <w:jc w:val="both"/>
      </w:pPr>
      <w:r>
        <w:rPr>
          <w:b/>
          <w:color w:val="111827"/>
          <w:sz w:val="26"/>
        </w:rPr>
        <w:t xml:space="preserve">3. Phá vỡ kiểm soát phân quyền mức đối tượng (Broken Object Level Authorization - BOLA / IDOR - API1:2023): </w:t>
      </w:r>
      <w:r>
        <w:rPr>
          <w:sz w:val="26"/>
        </w:rPr>
        <w:t>Là lỗ hổng phổ biến và nguy hiểm nhất trên các Web API hiện đại. Kẻ tấn công thao túng định danh tài nguyên (ID) trong URI hoặc payload JSON để truy cập trái phép dữ liệu của người dùng khác do backend thiếu sót trong việc kiểm tra quyền sở hữu đối tượng trước khi xử lý nghiệp vụ.</w:t>
      </w:r>
    </w:p>
    <w:p>
      <w:pPr>
        <w:pStyle w:val="ListBullet"/>
        <w:spacing w:after="60" w:line="312" w:lineRule="auto"/>
        <w:jc w:val="both"/>
      </w:pPr>
      <w:r>
        <w:rPr>
          <w:b/>
          <w:color w:val="111827"/>
          <w:sz w:val="26"/>
        </w:rPr>
        <w:t xml:space="preserve">4. Tiêu thụ tài nguyên không kiểm soát (Unrestricted Resource Consumption - API4:2023): </w:t>
      </w:r>
      <w:r>
        <w:rPr>
          <w:sz w:val="26"/>
        </w:rPr>
        <w:t>Kẻ tấn công gửi liên tục lượng lớn request hoặc thực hiện các truy vấn dữ liệu nặng nhằm làm cạn kiệt CPU, RAM, băng thông mạng hoặc kết nối CSDL của máy chủ, dẫn đến tình trạng từ chối dịch vụ (Denial of Service - DoS), gây tê liệt các dịch vụ trọng yếu.</w:t>
      </w:r>
    </w:p>
    <w:p>
      <w:pPr>
        <w:spacing w:before="280" w:after="120"/>
      </w:pPr>
      <w:r>
        <w:rPr>
          <w:b/>
          <w:color w:val="0F766E"/>
          <w:sz w:val="30"/>
        </w:rPr>
        <w:t>1.2. CƠ SỞ LÝ THUYẾT VỀ TƯỜNG LỬA ỨNG DỤNG WEB (WAF) VÀ HỆ THỐNG LUẬT CHỮ KÝ</w:t>
      </w:r>
    </w:p>
    <w:p>
      <w:pPr>
        <w:spacing w:before="200" w:after="80"/>
      </w:pPr>
      <w:r>
        <w:rPr>
          <w:b/>
          <w:color w:val="1E40AF"/>
          <w:sz w:val="27"/>
        </w:rPr>
        <w:t>1.2.1. Kiến trúc Cổng tầng ứng dụng (Application-Level Gateway) và Reverse Proxy</w:t>
      </w:r>
    </w:p>
    <w:p>
      <w:pPr>
        <w:spacing w:after="80" w:line="312" w:lineRule="auto"/>
        <w:jc w:val="both"/>
      </w:pPr>
      <w:r>
        <w:rPr>
          <w:i w:val="0"/>
          <w:sz w:val="26"/>
        </w:rPr>
        <w:t>Theo giáo trình kinh điển Cryptography and Network Security của William Stallings (Pearson / Prentice Hall) [Ref 01], hệ thống tường lửa (Firewall) được phân loại thành ba thế hệ chính:</w:t>
      </w:r>
    </w:p>
    <w:p>
      <w:pPr>
        <w:pStyle w:val="ListBullet"/>
        <w:spacing w:after="60" w:line="312" w:lineRule="auto"/>
        <w:jc w:val="both"/>
      </w:pPr>
      <w:r>
        <w:rPr>
          <w:b/>
          <w:color w:val="111827"/>
          <w:sz w:val="26"/>
        </w:rPr>
        <w:t xml:space="preserve">1. Bộ lọc gói tin (Packet Filtering Firewall): </w:t>
      </w:r>
      <w:r>
        <w:rPr>
          <w:sz w:val="26"/>
        </w:rPr>
        <w:t>Hoạt động tại tầng Network/Transport (Layer 3/4), chỉ kiểm tra địa chỉ IP, cổng (Port) và cờ TCP mà không hiểu được nội dung bên trong gói tin.</w:t>
      </w:r>
    </w:p>
    <w:p>
      <w:pPr>
        <w:pStyle w:val="ListBullet"/>
        <w:spacing w:after="60" w:line="312" w:lineRule="auto"/>
        <w:jc w:val="both"/>
      </w:pPr>
      <w:r>
        <w:rPr>
          <w:b/>
          <w:color w:val="111827"/>
          <w:sz w:val="26"/>
        </w:rPr>
        <w:t xml:space="preserve">2. Tường lửa trạng thái (Stateful Inspection Firewall): </w:t>
      </w:r>
      <w:r>
        <w:rPr>
          <w:sz w:val="26"/>
        </w:rPr>
        <w:t>Theo dõi bảng trạng thái của các luồng kết nối TCP/UDP nhưng vẫn bị giới hạn về khả năng bóc tách payload ứng dụng.</w:t>
      </w:r>
    </w:p>
    <w:p>
      <w:pPr>
        <w:pStyle w:val="ListBullet"/>
        <w:spacing w:after="60" w:line="312" w:lineRule="auto"/>
        <w:jc w:val="both"/>
      </w:pPr>
      <w:r>
        <w:rPr>
          <w:b/>
          <w:color w:val="111827"/>
          <w:sz w:val="26"/>
        </w:rPr>
        <w:t xml:space="preserve">3. Cổng tầng ứng dụng (Application-Level Gateway / Reverse Proxy): </w:t>
      </w:r>
      <w:r>
        <w:rPr>
          <w:sz w:val="26"/>
        </w:rPr>
        <w:t>Đóng vai trò máy chủ trung gian (Proxy) đứng trước hệ thống backend thực tế. Nó chủ động đón nhận toàn bộ kết nối TCP từ máy khách, phân tích toàn diện giao thức tầng ứng dụng (HTTP/HTTPS), giải mã nội dung (URI, Headers, Body) và thực thi chính sách an ninh trước khi quyết định chuyển tiếp (forward) request đến cụm máy chủ nội bộ.</w:t>
      </w:r>
    </w:p>
    <w:p>
      <w:pPr>
        <w:spacing w:after="80" w:line="312" w:lineRule="auto"/>
        <w:jc w:val="both"/>
      </w:pPr>
      <w:r>
        <w:rPr>
          <w:i w:val="0"/>
          <w:sz w:val="26"/>
        </w:rPr>
        <w:t>Đồ án PBL6 lựa chọn hiện thực hóa giải pháp WAF Security Gateway theo mô hình Reverse Proxy hiệu năng cao bám sát tiêu chuẩn vận hành trong NGINX Cookbook của Derek DeJonghe (O'Reilly Media) [Ref 05]. Mô hình này đảm bảo tính trong suốt hoàn toàn đối với máy khách bên ngoài, đồng thời che giấu hoàn toàn địa chỉ IP thực tế và cấu trúc mạng nội bộ của máy chủ backend.</w:t>
      </w:r>
    </w:p>
    <w:p>
      <w:pPr>
        <w:spacing w:before="200" w:after="80"/>
      </w:pPr>
      <w:r>
        <w:rPr>
          <w:b/>
          <w:color w:val="1E40AF"/>
          <w:sz w:val="27"/>
        </w:rPr>
        <w:t>1.2.2. Cơ chế đối sánh luật chữ ký và giải mã chuẩn hóa (Normalization)</w:t>
      </w:r>
    </w:p>
    <w:p>
      <w:pPr>
        <w:spacing w:after="80" w:line="312" w:lineRule="auto"/>
        <w:jc w:val="both"/>
      </w:pPr>
      <w:r>
        <w:rPr>
          <w:i w:val="0"/>
          <w:sz w:val="26"/>
        </w:rPr>
        <w:t>Một thách thức lớn trong việc bảo vệ Web API là kẻ tấn công thường áp dụng các kỹ thuật né tránh (Evasion Techniques) bằng cách mã hóa hoặc làm biến dạng payload độc hại: URL Encoding, Double URL Encoding, Unicode Fullwidth/Overlong Encoding, Base64 Encoding, hoặc chèn các ký tự rác (Null Byte, Comment Syntax).</w:t>
      </w:r>
    </w:p>
    <w:p>
      <w:pPr>
        <w:spacing w:after="80" w:line="312" w:lineRule="auto"/>
        <w:jc w:val="both"/>
      </w:pPr>
      <w:r>
        <w:rPr>
          <w:i w:val="0"/>
          <w:sz w:val="26"/>
        </w:rPr>
        <w:t>Theo đặc tả tiêu chuẩn công nghiệp ModSecurity Core Rule Set (CRS v4.0.0) [Ref 07], WAF Security Gateway trong đồ án triển khai quy trình Chuẩn hóa dữ liệu nhiều giai đoạn (Multi-stage Normalization Pipeline):</w:t>
      </w:r>
    </w:p>
    <w:p>
      <w:pPr>
        <w:pStyle w:val="ListBullet"/>
        <w:spacing w:after="60" w:line="312" w:lineRule="auto"/>
        <w:jc w:val="both"/>
      </w:pPr>
      <w:r>
        <w:rPr>
          <w:b/>
          <w:color w:val="111827"/>
          <w:sz w:val="26"/>
        </w:rPr>
        <w:t xml:space="preserve">Giai đoạn 1: </w:t>
      </w:r>
      <w:r>
        <w:rPr>
          <w:sz w:val="26"/>
        </w:rPr>
        <w:t>Đệ quy giải mã URL Decoding (tối đa 3 vòng lặp) để bóc tách triệt để các payload lồng nhau.</w:t>
      </w:r>
    </w:p>
    <w:p>
      <w:pPr>
        <w:pStyle w:val="ListBullet"/>
        <w:spacing w:after="60" w:line="312" w:lineRule="auto"/>
        <w:jc w:val="both"/>
      </w:pPr>
      <w:r>
        <w:rPr>
          <w:b/>
          <w:color w:val="111827"/>
          <w:sz w:val="26"/>
        </w:rPr>
        <w:t xml:space="preserve">Giai đoạn 2: </w:t>
      </w:r>
      <w:r>
        <w:rPr>
          <w:sz w:val="26"/>
        </w:rPr>
        <w:t>Chuyển đổi toàn bộ ký tự sang chữ thường (Lowercase Transformation) và loại bỏ ký tự Null Byte (\x00).</w:t>
      </w:r>
    </w:p>
    <w:p>
      <w:pPr>
        <w:pStyle w:val="ListBullet"/>
        <w:spacing w:after="60" w:line="312" w:lineRule="auto"/>
        <w:jc w:val="both"/>
      </w:pPr>
      <w:r>
        <w:rPr>
          <w:b/>
          <w:color w:val="111827"/>
          <w:sz w:val="26"/>
        </w:rPr>
        <w:t xml:space="preserve">Giai đoạn 3: </w:t>
      </w:r>
      <w:r>
        <w:rPr>
          <w:sz w:val="26"/>
        </w:rPr>
        <w:t>Nén các khoảng trắng liên tiếp và chuẩn hóa dấu phân cách đường dẫn (\ -&gt; /).</w:t>
      </w:r>
    </w:p>
    <w:p>
      <w:pPr>
        <w:spacing w:before="200" w:after="80"/>
      </w:pPr>
      <w:r>
        <w:rPr>
          <w:b/>
          <w:color w:val="1E40AF"/>
          <w:sz w:val="27"/>
        </w:rPr>
        <w:t>1.2.3. Cơ chế tính điểm bất thường tích lũy (Anomaly Scoring Model)</w:t>
      </w:r>
    </w:p>
    <w:p>
      <w:pPr>
        <w:spacing w:after="80" w:line="312" w:lineRule="auto"/>
        <w:jc w:val="both"/>
      </w:pPr>
      <w:r>
        <w:rPr>
          <w:i w:val="0"/>
          <w:sz w:val="26"/>
        </w:rPr>
        <w:t>Thay vì áp dụng cơ chế Chặn tức thì (Traditional Blocking Mode) dễ gây ra tình trạng báo động nhầm (False Positives), hệ thống áp dụng Cơ chế tính điểm bất thường tích lũy (Anomaly Scoring Model) theo chuẩn ModSecurity CRS v4.0.0 [Ref 07]. Mỗi quy tắc chữ ký khi khớp sẽ gắn một trọng số rủi ro tương ứng với mức độ nghiêm trọng:</w:t>
      </w:r>
    </w:p>
    <w:p>
      <w:pPr>
        <w:pStyle w:val="ListBullet"/>
        <w:spacing w:after="60" w:line="312" w:lineRule="auto"/>
        <w:jc w:val="both"/>
      </w:pPr>
      <w:r>
        <w:rPr>
          <w:b/>
          <w:color w:val="111827"/>
          <w:sz w:val="26"/>
        </w:rPr>
        <w:t xml:space="preserve">CRITICAL (+5 điểm): </w:t>
      </w:r>
      <w:r>
        <w:rPr>
          <w:sz w:val="26"/>
        </w:rPr>
        <w:t>Khớp dấu hiệu tiêm mã độc nguy hiểm (SQLi, RCE, Shell Command).</w:t>
      </w:r>
    </w:p>
    <w:p>
      <w:pPr>
        <w:pStyle w:val="ListBullet"/>
        <w:spacing w:after="60" w:line="312" w:lineRule="auto"/>
        <w:jc w:val="both"/>
      </w:pPr>
      <w:r>
        <w:rPr>
          <w:b/>
          <w:color w:val="111827"/>
          <w:sz w:val="26"/>
        </w:rPr>
        <w:t xml:space="preserve">HIGH (+4 điểm): </w:t>
      </w:r>
      <w:r>
        <w:rPr>
          <w:sz w:val="26"/>
        </w:rPr>
        <w:t>Khớp dấu hiệu XSS hoặc đọc tệp tin hệ thống (LFI / Path Traversal).</w:t>
      </w:r>
    </w:p>
    <w:p>
      <w:pPr>
        <w:pStyle w:val="ListBullet"/>
        <w:spacing w:after="60" w:line="312" w:lineRule="auto"/>
        <w:jc w:val="both"/>
      </w:pPr>
      <w:r>
        <w:rPr>
          <w:b/>
          <w:color w:val="111827"/>
          <w:sz w:val="26"/>
        </w:rPr>
        <w:t xml:space="preserve">MEDIUM (+3 điểm): </w:t>
      </w:r>
      <w:r>
        <w:rPr>
          <w:sz w:val="26"/>
        </w:rPr>
        <w:t>Khớp dấu hiệu thăm dò, quét lỗ hổng hoặc user-agent khả nghi.</w:t>
      </w:r>
    </w:p>
    <w:p>
      <w:pPr>
        <w:pStyle w:val="ListBullet"/>
        <w:spacing w:after="60" w:line="312" w:lineRule="auto"/>
        <w:jc w:val="both"/>
      </w:pPr>
      <w:r>
        <w:rPr>
          <w:b/>
          <w:color w:val="111827"/>
          <w:sz w:val="26"/>
        </w:rPr>
        <w:t xml:space="preserve">LOW (+2 điểm): </w:t>
      </w:r>
      <w:r>
        <w:rPr>
          <w:sz w:val="26"/>
        </w:rPr>
        <w:t>Sai lệch chuẩn giao thức HTTP.</w:t>
      </w:r>
    </w:p>
    <w:p>
      <w:pPr>
        <w:spacing w:before="160" w:after="40" w:line="276" w:lineRule="auto"/>
        <w:jc w:val="center"/>
      </w:pPr>
      <m:oMathPara>
        <m:oMath>
          <m:sSub>
            <m:e>
              <m:r>
                <m:t>S</m:t>
              </m:r>
            </m:e>
            <m:sub>
              <m:r>
                <m:rPr>
                  <m:nor/>
                </m:rPr>
                <m:t>anomaly</m:t>
              </m:r>
            </m:sub>
          </m:sSub>
          <m:r>
            <m:t>=</m:t>
          </m:r>
          <m:nary>
            <m:naryPr>
              <m:chr m:val="∑"/>
              <m:limLoc m:val="subSup"/>
              <m:grow m:val="1"/>
              <m:subHide m:val="off"/>
              <m:supHide m:val="on"/>
            </m:naryPr>
            <m:sub>
              <m:r>
                <m:t>i∈</m:t>
              </m:r>
              <m:r>
                <m:rPr>
                  <m:nor/>
                </m:rPr>
                <m:t>Rules matched</m:t>
              </m:r>
            </m:sub>
            <m:sup/>
            <m:e>
              <m:r>
                <m:rPr>
                  <m:nor/>
                </m:rPr>
                <m:t>Score</m:t>
              </m:r>
              <m:r>
                <m:t>(i)</m:t>
              </m:r>
            </m:e>
          </m:nary>
        </m:oMath>
      </m:oMathPara>
    </w:p>
    <w:p>
      <w:pPr>
        <w:spacing w:before="0" w:after="160"/>
        <w:jc w:val="center"/>
      </w:pPr>
      <w:r>
        <w:rPr>
          <w:i/>
          <w:color w:val="4B5563"/>
          <w:sz w:val="20"/>
        </w:rPr>
        <w:t>Công thức (1.1): Công thức tính Điểm bất thường tích lũy (Cumulative Anomaly Score) theo chuẩn OWASP CRS v4.0 [Ref 07]</w:t>
      </w:r>
    </w:p>
    <w:p>
      <w:pPr>
        <w:spacing w:after="80" w:line="312" w:lineRule="auto"/>
        <w:jc w:val="both"/>
      </w:pPr>
      <w:r>
        <w:rPr>
          <w:i w:val="0"/>
          <w:sz w:val="26"/>
        </w:rPr>
        <w:t>Chỉ khi S_anomaly &gt;= Anomaly Threshold (mặc định là 5.0 điểm), WAF mới thực hiện ngắt kết nối và trả về mã lỗi HTTP 403 Forbidden. Mô hình này giúp giảm thiểu đáng kể tỷ lệ chặn nhầm các yêu cầu hợp lệ.</w:t>
      </w:r>
    </w:p>
    <w:p>
      <w:pPr>
        <w:spacing w:before="280" w:after="120"/>
      </w:pPr>
      <w:r>
        <w:rPr>
          <w:b/>
          <w:color w:val="0F766E"/>
          <w:sz w:val="30"/>
        </w:rPr>
        <w:t>1.3. CƠ SỞ LÝ THUYẾT VỀ HỌC MÁY TRONG PHÁT HIỆN TẤN CÔNG WEB</w:t>
      </w:r>
    </w:p>
    <w:p>
      <w:pPr>
        <w:spacing w:before="200" w:after="80"/>
      </w:pPr>
      <w:r>
        <w:rPr>
          <w:b/>
          <w:color w:val="1E40AF"/>
          <w:sz w:val="27"/>
        </w:rPr>
        <w:t>1.3.1. Kỹ nghệ trích xuất đặc trưng hình thái (Payload Morphology &amp; Statistical Features)</w:t>
      </w:r>
    </w:p>
    <w:p>
      <w:pPr>
        <w:spacing w:after="80" w:line="312" w:lineRule="auto"/>
        <w:jc w:val="both"/>
      </w:pPr>
      <w:r>
        <w:rPr>
          <w:i w:val="0"/>
          <w:sz w:val="26"/>
        </w:rPr>
        <w:t>Hạn chế cốt tử của hệ thống luật chữ ký truyền thống là hoàn toàn bất lực trước các cuộc tấn công Zero-day hoặc các biến thể mã độc bị làm rối vượt qua từ điển regex. Để giải quyết triệt để vấn đề này, đồ án PBL6 triển khai mô hình học máy dựa trên Kỹ nghệ trích xuất vector 17 đặc trưng hình thái thống kê bám sát công trình nghiên cứu trên tạp chí Wiley Security and Communication Networks [Ref 15]:</w:t>
      </w:r>
    </w:p>
    <w:p>
      <w:pPr>
        <w:pStyle w:val="ListBullet"/>
        <w:spacing w:after="60" w:line="312" w:lineRule="auto"/>
        <w:jc w:val="both"/>
      </w:pPr>
      <w:r>
        <w:rPr>
          <w:b/>
          <w:color w:val="111827"/>
          <w:sz w:val="26"/>
        </w:rPr>
        <w:t xml:space="preserve">1. Đặc trưng độ dài và tỷ lệ cấu trúc: </w:t>
      </w:r>
      <w:r>
        <w:rPr>
          <w:sz w:val="26"/>
        </w:rPr>
        <w:t>Độ dài chuỗi payload (payload_length), tỷ lệ chữ số (digit_ratio), tỷ lệ chữ cái (alpha_ratio), tỷ lệ ký tự đặc biệt (special_char_ratio).</w:t>
      </w:r>
    </w:p>
    <w:p>
      <w:pPr>
        <w:pStyle w:val="ListBullet"/>
        <w:spacing w:after="60" w:line="312" w:lineRule="auto"/>
        <w:jc w:val="both"/>
      </w:pPr>
      <w:r>
        <w:rPr>
          <w:b/>
          <w:color w:val="111827"/>
          <w:sz w:val="26"/>
        </w:rPr>
        <w:t xml:space="preserve">2. Đặc trưng từ khóa nguy hại theo ngữ cảnh: </w:t>
      </w:r>
      <w:r>
        <w:rPr>
          <w:sz w:val="26"/>
        </w:rPr>
        <w:t>Tần suất xuất hiện các token nhạy cảm trong SQLi (SELECT, UNION, DROP, OR, AND), trong XSS (&lt;script&gt;, onerror, onload), trong Path Traversal (../, ..\\) và trong Command Injection (;, |, &amp;&amp;, /bin/sh, cmd.exe).</w:t>
      </w:r>
    </w:p>
    <w:p>
      <w:pPr>
        <w:pStyle w:val="ListBullet"/>
        <w:spacing w:after="60" w:line="312" w:lineRule="auto"/>
        <w:jc w:val="both"/>
      </w:pPr>
      <w:r>
        <w:rPr>
          <w:b/>
          <w:color w:val="111827"/>
          <w:sz w:val="26"/>
        </w:rPr>
        <w:t xml:space="preserve">3. Đặc trưng độ hỗn loạn thông tin (Shannon Entropy): </w:t>
      </w:r>
      <w:r>
        <w:rPr>
          <w:sz w:val="26"/>
        </w:rPr>
        <w:t>Được xác định theo định lý lý thuyết thông tin của Claude Shannon trong giáo trình Cryptography: Theory and Practice của Douglas R. Stinson và Maura B. Paterson [Ref 02].</w:t>
      </w:r>
    </w:p>
    <w:p>
      <w:pPr>
        <w:spacing w:before="160" w:after="40" w:line="276" w:lineRule="auto"/>
        <w:jc w:val="center"/>
      </w:pPr>
      <m:oMathPara>
        <m:oMath>
          <m:r>
            <m:t>H(S)=−</m:t>
          </m:r>
          <m:nary>
            <m:naryPr>
              <m:chr m:val="∑"/>
              <m:limLoc m:val="subSup"/>
              <m:grow m:val="1"/>
              <m:subHide m:val="off"/>
              <m:supHide m:val="off"/>
            </m:naryPr>
            <m:sub>
              <m:r>
                <m:t>i=1</m:t>
              </m:r>
            </m:sub>
            <m:sup>
              <m:r>
                <m:t>k</m:t>
              </m:r>
            </m:sup>
            <m:e>
              <m:r>
                <m:t>p(</m:t>
              </m:r>
            </m:e>
          </m:nary>
          <m:sSub>
            <m:e>
              <m:r>
                <m:t>c</m:t>
              </m:r>
            </m:e>
            <m:sub>
              <m:r>
                <m:t>i</m:t>
              </m:r>
            </m:sub>
          </m:sSub>
          <m:r>
            <m:t>)</m:t>
          </m:r>
          <m:sSub>
            <m:e>
              <m:r>
                <m:rPr>
                  <m:sty m:val="p"/>
                </m:rPr>
                <m:t>log</m:t>
              </m:r>
            </m:e>
            <m:sub>
              <m:r>
                <m:t>2</m:t>
              </m:r>
            </m:sub>
          </m:sSub>
          <m:r>
            <m:t>p(</m:t>
          </m:r>
          <m:sSub>
            <m:e>
              <m:r>
                <m:t>c</m:t>
              </m:r>
            </m:e>
            <m:sub>
              <m:r>
                <m:t>i</m:t>
              </m:r>
            </m:sub>
          </m:sSub>
          <m:r>
            <m:t>)</m:t>
          </m:r>
        </m:oMath>
      </m:oMathPara>
    </w:p>
    <w:p>
      <w:pPr>
        <w:spacing w:before="0" w:after="160"/>
        <w:jc w:val="center"/>
      </w:pPr>
      <w:r>
        <w:rPr>
          <w:i/>
          <w:color w:val="4B5563"/>
          <w:sz w:val="20"/>
        </w:rPr>
        <w:t>Công thức (1.2): Công thức toán học tính toán Shannon Entropy H(S) của chuỗi payload (Stinson &amp; Paterson [Ref 02])</w:t>
      </w:r>
    </w:p>
    <w:p>
      <w:pPr>
        <w:spacing w:after="80" w:line="312" w:lineRule="auto"/>
        <w:jc w:val="both"/>
      </w:pPr>
      <w:r>
        <w:rPr>
          <w:i w:val="0"/>
          <w:sz w:val="26"/>
        </w:rPr>
        <w:t>Trong đó p(c_i) là tần suất xuất hiện tương đối của ký tự c_i trong chuỗi. Các payload bị làm rối bằng Base64, mã hex hoặc mã hóa URL đệ quy luôn có độ hỗn loạn Shannon Entropy xấp xỉ mức tối đa, tạo ra ranh giới phân tách toán học cực kỳ rõ ràng so với các tham số nghiệp vụ thông thường.</w:t>
      </w:r>
    </w:p>
    <w:p>
      <w:pPr>
        <w:spacing w:before="200" w:after="80"/>
      </w:pPr>
      <w:r>
        <w:rPr>
          <w:b/>
          <w:color w:val="1E40AF"/>
          <w:sz w:val="27"/>
        </w:rPr>
        <w:t>1.3.2. Thuật toán Random Forest và cơ chế Ensemble Learning</w:t>
      </w:r>
    </w:p>
    <w:p>
      <w:pPr>
        <w:spacing w:after="80" w:line="312" w:lineRule="auto"/>
        <w:jc w:val="both"/>
      </w:pPr>
      <w:r>
        <w:rPr>
          <w:i w:val="0"/>
          <w:sz w:val="26"/>
        </w:rPr>
        <w:t>Theo công trình nền tảng Random Forests của Leo Breiman (Machine Learning 2001) [Ref 12], Random Forest là thuật toán học máy có giám sát (Supervised Learning) dựa trên nguyên lý kết hợp (Ensemble Learning) nhiều cây quyết định ngẫu nhiên (Random Decision Trees) bằng kỹ thuật Bootstrap Aggregating (Bagging).</w:t>
      </w:r>
    </w:p>
    <w:p>
      <w:pPr>
        <w:spacing w:before="160" w:after="40" w:line="276" w:lineRule="auto"/>
        <w:jc w:val="center"/>
      </w:pPr>
      <m:oMathPara>
        <m:oMath>
          <m:acc>
            <m:accPr>
              <m:chr m:val="̂"/>
            </m:accPr>
            <m:e>
              <m:r>
                <m:t>y</m:t>
              </m:r>
            </m:e>
          </m:acc>
          <m:r>
            <m:t>=</m:t>
          </m:r>
          <m:r>
            <m:rPr>
              <m:sty m:val="p"/>
            </m:rPr>
            <m:t>\arg</m:t>
          </m:r>
          <m:sSub>
            <m:e>
              <m:r>
                <m:t>max</m:t>
              </m:r>
            </m:e>
            <m:sub>
              <m:r>
                <m:t>c∈{0,1}</m:t>
              </m:r>
            </m:sub>
          </m:sSub>
          <m:d>
            <m:dPr>
              <m:sepChr m:val=""/>
            </m:dPr>
            <m:e>
              <m:f>
                <m:fPr>
                  <m:type m:val="bar"/>
                </m:fPr>
                <m:num>
                  <m:r>
                    <m:t>1</m:t>
                  </m:r>
                </m:num>
                <m:den>
                  <m:r>
                    <m:t>B</m:t>
                  </m:r>
                </m:den>
              </m:f>
              <m:nary>
                <m:naryPr>
                  <m:chr m:val="∑"/>
                  <m:limLoc m:val="subSup"/>
                  <m:grow m:val="1"/>
                  <m:subHide m:val="off"/>
                  <m:supHide m:val="off"/>
                </m:naryPr>
                <m:sub>
                  <m:r>
                    <m:t>b=1</m:t>
                  </m:r>
                </m:sub>
                <m:sup>
                  <m:r>
                    <m:t>B</m:t>
                  </m:r>
                </m:sup>
                <m:e>
                  <m:sSub>
                    <m:e>
                      <m:r>
                        <m:t>P</m:t>
                      </m:r>
                    </m:e>
                    <m:sub>
                      <m:sSub>
                        <m:e>
                          <m:r>
                            <m:t>T</m:t>
                          </m:r>
                        </m:e>
                        <m:sub>
                          <m:r>
                            <m:t>b</m:t>
                          </m:r>
                        </m:sub>
                      </m:sSub>
                    </m:sub>
                  </m:sSub>
                </m:e>
              </m:nary>
              <m:r>
                <m:t>(</m:t>
              </m:r>
              <m:r>
                <m:t>y</m:t>
              </m:r>
              <m:r>
                <m:t>=</m:t>
              </m:r>
              <m:r>
                <m:t>c</m:t>
              </m:r>
              <m:r>
                <m:t>∣</m:t>
              </m:r>
              <m:r>
                <m:t>x</m:t>
              </m:r>
              <m:r>
                <m:t>)</m:t>
              </m:r>
            </m:e>
          </m:d>
        </m:oMath>
      </m:oMathPara>
    </w:p>
    <w:p>
      <w:pPr>
        <w:spacing w:before="0" w:after="160"/>
        <w:jc w:val="center"/>
      </w:pPr>
      <w:r>
        <w:rPr>
          <w:i/>
          <w:color w:val="4B5563"/>
          <w:sz w:val="20"/>
        </w:rPr>
        <w:t>Công thức (1.3): Công thức tổng hợp phân loại của mô hình kết hợp Random Forest theo Breiman [Ref 12]</w:t>
      </w:r>
    </w:p>
    <w:p>
      <w:pPr>
        <w:spacing w:after="80" w:line="312" w:lineRule="auto"/>
        <w:jc w:val="both"/>
      </w:pPr>
      <w:r>
        <w:rPr>
          <w:i w:val="0"/>
          <w:sz w:val="26"/>
        </w:rPr>
        <w:t>Nhờ cơ chế lấy mẫu ngẫu nhiên có hoàn lại (Bootstrap) và chọn tập con ngẫu nhiên các đặc trưng tại mỗi điểm phân nhánh (Feature Subsampling), Random Forest triệt tiêu hiện tượng quá khớp (Overfitting), có khả năng chống chịu nhiễu đối kháng vượt trội so với các thuật toán Boosting tuần tự [Ref 14].</w:t>
      </w:r>
    </w:p>
    <w:p>
      <w:pPr>
        <w:spacing w:before="200" w:after="80"/>
      </w:pPr>
      <w:r>
        <w:rPr>
          <w:b/>
          <w:color w:val="1E40AF"/>
          <w:sz w:val="27"/>
        </w:rPr>
        <w:t>1.3.3. Thuật toán Isolation Forest trong phát hiện tấn công Zero-day</w:t>
      </w:r>
    </w:p>
    <w:p>
      <w:pPr>
        <w:spacing w:after="80" w:line="312" w:lineRule="auto"/>
        <w:jc w:val="both"/>
      </w:pPr>
      <w:r>
        <w:rPr>
          <w:i w:val="0"/>
          <w:sz w:val="26"/>
        </w:rPr>
        <w:t>Để phát hiện các mẫu tấn công dị biệt chưa từng xuất hiện trong tập huấn luyện (Zero-day Anomalies), hệ thống tích hợp thuật toán học không giám sát Isolation Forest của Fei Tony Liu, Kai Ming Ting và Zhi-Hua Zhou (IEEE ICDM 2008) [Ref 11]. Thuật toán hoạt động dựa trên nguyên lý: các điểm dị biệt (anomalies) luôn có số lượng ít và giá trị đặc trưng rất khác biệt so với đa số điểm dữ liệu bình thường, do đó chúng sẽ bị cô lập ở các độ sâu rất nông của cây iTree.</w:t>
      </w:r>
    </w:p>
    <w:p>
      <w:pPr>
        <w:spacing w:before="160" w:after="40" w:line="276" w:lineRule="auto"/>
        <w:jc w:val="center"/>
      </w:pPr>
      <m:oMathPara>
        <m:oMath>
          <m:r>
            <m:t>s(x,n)=</m:t>
          </m:r>
          <m:sSup>
            <m:e>
              <m:r>
                <m:t>2</m:t>
              </m:r>
            </m:e>
            <m:sup>
              <m:r>
                <m:t>−</m:t>
              </m:r>
              <m:f>
                <m:fPr>
                  <m:type m:val="bar"/>
                </m:fPr>
                <m:num>
                  <m:r>
                    <m:t>E(h(x))</m:t>
                  </m:r>
                </m:num>
                <m:den>
                  <m:r>
                    <m:t>c(n)</m:t>
                  </m:r>
                </m:den>
              </m:f>
            </m:sup>
          </m:sSup>
        </m:oMath>
      </m:oMathPara>
    </w:p>
    <w:p>
      <w:pPr>
        <w:spacing w:before="0" w:after="160"/>
        <w:jc w:val="center"/>
      </w:pPr>
      <w:r>
        <w:rPr>
          <w:i/>
          <w:color w:val="4B5563"/>
          <w:sz w:val="20"/>
        </w:rPr>
        <w:t>Công thức (1.4): Công thức tính điểm bất thường Anomaly Score của thuật toán Isolation Forest [Ref 11]</w:t>
      </w:r>
    </w:p>
    <w:p>
      <w:pPr>
        <w:spacing w:before="160" w:after="40" w:line="276" w:lineRule="auto"/>
        <w:jc w:val="center"/>
      </w:pPr>
      <m:oMathPara>
        <m:oMath>
          <m:r>
            <m:t>c(n)=2</m:t>
          </m:r>
          <m:d>
            <m:dPr>
              <m:sepChr m:val=""/>
            </m:dPr>
            <m:e>
              <m:r>
                <m:rPr>
                  <m:sty m:val="p"/>
                </m:rPr>
                <m:t>ln</m:t>
              </m:r>
              <m:r>
                <m:t>(</m:t>
              </m:r>
              <m:r>
                <m:t>n</m:t>
              </m:r>
              <m:r>
                <m:t>−</m:t>
              </m:r>
              <m:r>
                <m:t>1</m:t>
              </m:r>
              <m:r>
                <m:t>)</m:t>
              </m:r>
              <m:r>
                <m:t>+</m:t>
              </m:r>
              <m:r>
                <m:t>0.5772156649</m:t>
              </m:r>
            </m:e>
          </m:d>
          <m:r>
            <m:t>−</m:t>
          </m:r>
          <m:f>
            <m:fPr>
              <m:type m:val="bar"/>
            </m:fPr>
            <m:num>
              <m:r>
                <m:t>2(n−1)</m:t>
              </m:r>
            </m:num>
            <m:den>
              <m:r>
                <m:t>n</m:t>
              </m:r>
            </m:den>
          </m:f>
        </m:oMath>
      </m:oMathPara>
    </w:p>
    <w:p>
      <w:pPr>
        <w:spacing w:before="0" w:after="160"/>
        <w:jc w:val="center"/>
      </w:pPr>
      <w:r>
        <w:rPr>
          <w:i/>
          <w:color w:val="4B5563"/>
          <w:sz w:val="20"/>
        </w:rPr>
        <w:t>Công thức (1.5): Độ dài đường đi trung bình lý thuyết của cây tìm kiếm nhị phân không thành công [Ref 11]</w:t>
      </w:r>
    </w:p>
    <w:p>
      <w:pPr>
        <w:spacing w:after="80" w:line="312" w:lineRule="auto"/>
        <w:jc w:val="both"/>
      </w:pPr>
      <w:r>
        <w:rPr>
          <w:i w:val="0"/>
          <w:sz w:val="26"/>
        </w:rPr>
        <w:t>Trong đó h(x) là số lần phân nhánh để cô lập điểm x, E(h(x)) là kỳ vọng độ sâu qua rừng cây, và c(n) là hệ số chuẩn hóa theo kích thước tập mẫu n. Khi s(x, n) tiến sát 1.0, điểm dữ liệu có xác suất cực cao là một hành vi bất thường hoặc cuộc tấn công mới chưa từng được gán nhãn.</w:t>
      </w:r>
    </w:p>
    <w:p>
      <w:pPr>
        <w:spacing w:before="200" w:after="80"/>
      </w:pPr>
      <w:r>
        <w:rPr>
          <w:b/>
          <w:color w:val="1E40AF"/>
          <w:sz w:val="27"/>
        </w:rPr>
        <w:t>1.3.4. Mô hình dung hợp rủi ro đa tầng (Hybrid Multi-Layer Risk Engine)</w:t>
      </w:r>
    </w:p>
    <w:p>
      <w:pPr>
        <w:spacing w:after="80" w:line="312" w:lineRule="auto"/>
        <w:jc w:val="both"/>
      </w:pPr>
      <w:r>
        <w:rPr>
          <w:i w:val="0"/>
          <w:sz w:val="26"/>
        </w:rPr>
        <w:t>Bám sát nghiên cứu mới nhất trên tạp chí khoa học quốc tế MDPI Electronics (2025) [Ref 13], hệ thống xây dựng cơ chế Dung hợp rủi ro Đa tầng (Dual-Stage Hybrid Pipeline) kết hợp sức mạnh phân tích chuyên sâu của cả 3 tầng phòng thủ:</w:t>
      </w:r>
    </w:p>
    <w:p>
      <w:pPr>
        <w:spacing w:before="160" w:after="40" w:line="276" w:lineRule="auto"/>
        <w:jc w:val="center"/>
      </w:pPr>
      <m:oMathPara>
        <m:oMath>
          <m:r>
            <m:rPr>
              <m:nor/>
            </m:rPr>
            <m:t>Risk Score</m:t>
          </m:r>
          <m:r>
            <m:t>=0.40·</m:t>
          </m:r>
          <m:sSub>
            <m:e>
              <m:r>
                <m:t>S</m:t>
              </m:r>
            </m:e>
            <m:sub>
              <m:r>
                <m:rPr>
                  <m:nor/>
                </m:rPr>
                <m:t>Rule</m:t>
              </m:r>
            </m:sub>
          </m:sSub>
          <m:r>
            <m:t>+0.35·</m:t>
          </m:r>
          <m:sSub>
            <m:e>
              <m:r>
                <m:t>S</m:t>
              </m:r>
            </m:e>
            <m:sub>
              <m:r>
                <m:rPr>
                  <m:nor/>
                </m:rPr>
                <m:t>RF</m:t>
              </m:r>
            </m:sub>
          </m:sSub>
          <m:r>
            <m:t>+0.25·</m:t>
          </m:r>
          <m:sSub>
            <m:e>
              <m:r>
                <m:t>S</m:t>
              </m:r>
            </m:e>
            <m:sub>
              <m:r>
                <m:rPr>
                  <m:nor/>
                </m:rPr>
                <m:t>Anomaly</m:t>
              </m:r>
            </m:sub>
          </m:sSub>
        </m:oMath>
      </m:oMathPara>
    </w:p>
    <w:p>
      <w:pPr>
        <w:spacing w:before="0" w:after="160"/>
        <w:jc w:val="center"/>
      </w:pPr>
      <w:r>
        <w:rPr>
          <w:i/>
          <w:color w:val="4B5563"/>
          <w:sz w:val="20"/>
        </w:rPr>
        <w:t>Công thức (1.6): Công thức dung hợp điểm rủi ro đa tầng Hybrid Risk Score [Ref 13]</w:t>
      </w:r>
    </w:p>
    <w:p>
      <w:pPr>
        <w:spacing w:after="80" w:line="312" w:lineRule="auto"/>
        <w:jc w:val="both"/>
      </w:pPr>
      <w:r>
        <w:rPr>
          <w:i w:val="0"/>
          <w:sz w:val="26"/>
        </w:rPr>
        <w:t>Ma trận ra quyết định phòng thủ phân tầng theo chuẩn MITRE ATT&amp;CK Mitigation [Ref 10]:</w:t>
      </w:r>
    </w:p>
    <w:p>
      <w:pPr>
        <w:pStyle w:val="ListBullet"/>
        <w:spacing w:after="60" w:line="312" w:lineRule="auto"/>
        <w:jc w:val="both"/>
      </w:pPr>
      <w:r>
        <w:rPr>
          <w:b/>
          <w:color w:val="111827"/>
          <w:sz w:val="26"/>
        </w:rPr>
        <w:t xml:space="preserve">Điểm &lt; 30 (ALLOW): </w:t>
      </w:r>
      <w:r>
        <w:rPr>
          <w:sz w:val="26"/>
        </w:rPr>
        <w:t>Cho phép yêu cầu đi tiếp đến backend API an toàn.</w:t>
      </w:r>
    </w:p>
    <w:p>
      <w:pPr>
        <w:pStyle w:val="ListBullet"/>
        <w:spacing w:after="60" w:line="312" w:lineRule="auto"/>
        <w:jc w:val="both"/>
      </w:pPr>
      <w:r>
        <w:rPr>
          <w:b/>
          <w:color w:val="111827"/>
          <w:sz w:val="26"/>
        </w:rPr>
        <w:t xml:space="preserve">Điểm 30 - 59 (MONITOR): </w:t>
      </w:r>
      <w:r>
        <w:rPr>
          <w:sz w:val="26"/>
        </w:rPr>
        <w:t>Cho phép đi qua nhưng ghi nhật ký kiểm toán chuyên sâu.</w:t>
      </w:r>
    </w:p>
    <w:p>
      <w:pPr>
        <w:pStyle w:val="ListBullet"/>
        <w:spacing w:after="60" w:line="312" w:lineRule="auto"/>
        <w:jc w:val="both"/>
      </w:pPr>
      <w:r>
        <w:rPr>
          <w:b/>
          <w:color w:val="111827"/>
          <w:sz w:val="26"/>
        </w:rPr>
        <w:t xml:space="preserve">Điểm 60 - 79 (RATE_LIMIT): </w:t>
      </w:r>
      <w:r>
        <w:rPr>
          <w:sz w:val="26"/>
        </w:rPr>
        <w:t>Áp đặt hình phạt cắt giảm hạn ngạch truy cập và trì hoãn phản hồi.</w:t>
      </w:r>
    </w:p>
    <w:p>
      <w:pPr>
        <w:pStyle w:val="ListBullet"/>
        <w:spacing w:after="60" w:line="312" w:lineRule="auto"/>
        <w:jc w:val="both"/>
      </w:pPr>
      <w:r>
        <w:rPr>
          <w:b/>
          <w:color w:val="111827"/>
          <w:sz w:val="26"/>
        </w:rPr>
        <w:t xml:space="preserve">Điểm &gt;= 80 (BLOCK): </w:t>
      </w:r>
      <w:r>
        <w:rPr>
          <w:sz w:val="26"/>
        </w:rPr>
        <w:t>Lập tức từ chối yêu cầu với mã lỗi HTTP 403 Forbidden.</w:t>
      </w:r>
    </w:p>
    <w:p>
      <w:pPr>
        <w:spacing w:before="280" w:after="120"/>
      </w:pPr>
      <w:r>
        <w:rPr>
          <w:b/>
          <w:color w:val="0F766E"/>
          <w:sz w:val="30"/>
        </w:rPr>
        <w:t>1.4. CƠ SỞ LÝ THUYẾT VỀ THAO TRƯỜNG MẠNG (CYBER RANGE) VÀ TÁC TỬ TẤN CÔNG TỰ ĐỘNG (OFFENSIVE AI)</w:t>
      </w:r>
    </w:p>
    <w:p>
      <w:pPr>
        <w:spacing w:before="200" w:after="80"/>
      </w:pPr>
      <w:r>
        <w:rPr>
          <w:b/>
          <w:color w:val="1E40AF"/>
          <w:sz w:val="27"/>
        </w:rPr>
        <w:t>1.4.1. Khung kiến trúc Thao trường mạng phân tán tiêu chuẩn quốc tế</w:t>
      </w:r>
    </w:p>
    <w:p>
      <w:pPr>
        <w:spacing w:after="80" w:line="312" w:lineRule="auto"/>
        <w:jc w:val="both"/>
      </w:pPr>
      <w:r>
        <w:rPr>
          <w:i w:val="0"/>
          <w:sz w:val="26"/>
        </w:rPr>
        <w:t>Theo nghiên cứu nền tảng của M. Yamin et al. (Elsevier Computers &amp; Security 2020) [Ref 16], một hệ thống Thao trường mạng (Cyber Range) tiêu chuẩn bao gồm 3 trụ cột cấu trúc:</w:t>
      </w:r>
    </w:p>
    <w:p>
      <w:pPr>
        <w:pStyle w:val="ListBullet"/>
        <w:spacing w:after="60" w:line="312" w:lineRule="auto"/>
        <w:jc w:val="both"/>
      </w:pPr>
      <w:r>
        <w:rPr>
          <w:b/>
          <w:color w:val="111827"/>
          <w:sz w:val="26"/>
        </w:rPr>
        <w:t xml:space="preserve">1. Phân hệ Môi trường mục tiêu (Target Environment): </w:t>
      </w:r>
      <w:r>
        <w:rPr>
          <w:sz w:val="26"/>
        </w:rPr>
        <w:t>Máy chủ Web API chứa các lỗ hổng mô phỏng thực tế.</w:t>
      </w:r>
    </w:p>
    <w:p>
      <w:pPr>
        <w:pStyle w:val="ListBullet"/>
        <w:spacing w:after="60" w:line="312" w:lineRule="auto"/>
        <w:jc w:val="both"/>
      </w:pPr>
      <w:r>
        <w:rPr>
          <w:b/>
          <w:color w:val="111827"/>
          <w:sz w:val="26"/>
        </w:rPr>
        <w:t xml:space="preserve">2. Phân hệ Mô phỏng tấn công (Attack Simulation Engine): </w:t>
      </w:r>
      <w:r>
        <w:rPr>
          <w:sz w:val="26"/>
        </w:rPr>
        <w:t>Tác tử Red Team tự động triển khai các chiến dịch tấn công.</w:t>
      </w:r>
    </w:p>
    <w:p>
      <w:pPr>
        <w:pStyle w:val="ListBullet"/>
        <w:spacing w:after="60" w:line="312" w:lineRule="auto"/>
        <w:jc w:val="both"/>
      </w:pPr>
      <w:r>
        <w:rPr>
          <w:b/>
          <w:color w:val="111827"/>
          <w:sz w:val="26"/>
        </w:rPr>
        <w:t xml:space="preserve">3. Phân hệ Giám sát và Chấm điểm (Monitoring &amp; Scoring Subsystem): </w:t>
      </w:r>
      <w:r>
        <w:rPr>
          <w:sz w:val="26"/>
        </w:rPr>
        <w:t>Thu thập telemetry thời gian thực, đo lường độ trễ và tỷ lệ chặn.</w:t>
      </w:r>
    </w:p>
    <w:p>
      <w:pPr>
        <w:spacing w:after="80" w:line="312" w:lineRule="auto"/>
        <w:jc w:val="both"/>
      </w:pPr>
      <w:r>
        <w:rPr>
          <w:i w:val="0"/>
          <w:sz w:val="26"/>
        </w:rPr>
        <w:t>Đồ án PBL6 hiện thực hóa kiến trúc này trên 2 máy tính vật lý độc lập kết nối qua mạng LAN/Switch Gigabit Ethernet, phân tách hoàn toàn ranh giới giữa bên Tấn công (Red Team Node) và bên Phòng thủ (Blue Team Security Gateway).</w:t>
      </w:r>
    </w:p>
    <w:p>
      <w:pPr>
        <w:spacing w:before="200" w:after="80"/>
      </w:pPr>
      <w:r>
        <w:rPr>
          <w:b/>
          <w:color w:val="1E40AF"/>
          <w:sz w:val="27"/>
        </w:rPr>
        <w:t>1.4.2. Cơ sở lý thuyết về Trò chơi an ninh đối kháng (Adversarial Security Game)</w:t>
      </w:r>
    </w:p>
    <w:p>
      <w:pPr>
        <w:spacing w:after="80" w:line="312" w:lineRule="auto"/>
        <w:jc w:val="both"/>
      </w:pPr>
      <w:r>
        <w:rPr>
          <w:i w:val="0"/>
          <w:sz w:val="26"/>
        </w:rPr>
        <w:t>Để thiết lập nền tảng lý thuyết toán học vững chắc cho cuộc đối đầu giữa Red Team và Blue Team, đồ án vận dụng Lý thuyết Trò chơi An ninh Đối kháng (Security Game) được giảng dạy trong giáo trình kinh điển Introduction to Modern Cryptography của Jonathan Katz và Yehuda Lindell (CRC Press) [Ref 03].</w:t>
      </w:r>
    </w:p>
    <w:p>
      <w:pPr>
        <w:spacing w:before="160" w:after="40" w:line="276" w:lineRule="auto"/>
        <w:jc w:val="center"/>
      </w:pPr>
      <m:oMathPara>
        <m:oMath>
          <m:r>
            <m:rPr>
              <m:sty m:val="b"/>
            </m:rPr>
            <m:t>Adv</m:t>
          </m:r>
          <m:r>
            <m:t>(𝒜)=</m:t>
          </m:r>
          <m:d>
            <m:dPr>
              <m:begChr m:val="|"/>
              <m:sepChr m:val=""/>
              <m:endChr m:val="|"/>
            </m:dPr>
            <m:e>
              <m:r>
                <m:t>Pr</m:t>
              </m:r>
              <m:r>
                <m:t>[</m:t>
              </m:r>
              <m:r>
                <m:t>𝒜</m:t>
              </m:r>
              <m:r>
                <m:rPr>
                  <m:nor/>
                </m:rPr>
                <m:t> bypasses WAF</m:t>
              </m:r>
              <m:r>
                <m:t>]</m:t>
              </m:r>
              <m:r>
                <m:t>−</m:t>
              </m:r>
              <m:r>
                <m:t>Pr</m:t>
              </m:r>
              <m:r>
                <m:t>[</m:t>
              </m:r>
              <m:r>
                <m:rPr>
                  <m:nor/>
                </m:rPr>
                <m:t>Random Guess bypasses WAF</m:t>
              </m:r>
              <m:r>
                <m:t>]</m:t>
              </m:r>
            </m:e>
          </m:d>
        </m:oMath>
      </m:oMathPara>
    </w:p>
    <w:p>
      <w:pPr>
        <w:spacing w:before="0" w:after="160"/>
        <w:jc w:val="center"/>
      </w:pPr>
      <w:r>
        <w:rPr>
          <w:i/>
          <w:color w:val="4B5563"/>
          <w:sz w:val="20"/>
        </w:rPr>
        <w:t>Công thức (1.7): Hàm lợi thế tấn công đối kháng (Adversarial Advantage) theo lý thuyết Katz &amp; Lindell [Ref 03]</w:t>
      </w:r>
    </w:p>
    <w:p>
      <w:pPr>
        <w:spacing w:after="80" w:line="312" w:lineRule="auto"/>
        <w:jc w:val="both"/>
      </w:pPr>
      <w:r>
        <w:rPr>
          <w:i w:val="0"/>
          <w:sz w:val="26"/>
        </w:rPr>
        <w:t>Hệ thống phòng thủ đạt độ an toàn vững chắc khi và chỉ khi với mọi tác tử tấn công A bị giới hạn tài nguyên đa thức, hàm lợi thế Adv(A) tiệm cận về 0 (negligible function).</w:t>
      </w:r>
    </w:p>
    <w:p>
      <w:pPr>
        <w:spacing w:before="200" w:after="80"/>
      </w:pPr>
      <w:r>
        <w:rPr>
          <w:b/>
          <w:color w:val="1E40AF"/>
          <w:sz w:val="27"/>
        </w:rPr>
        <w:t>1.4.3. Quy trình trinh sát và Tác tử tấn công tự động (Offensive AI &amp; Red Teaming)</w:t>
      </w:r>
    </w:p>
    <w:p>
      <w:pPr>
        <w:spacing w:after="80" w:line="312" w:lineRule="auto"/>
        <w:jc w:val="both"/>
      </w:pPr>
      <w:r>
        <w:rPr>
          <w:i w:val="0"/>
          <w:sz w:val="26"/>
        </w:rPr>
        <w:t>Theo phương pháp luận kiểm thử xâm nhập của giáo trình CompTIA PenTest+ [Ref 04], tác tử Red Team tự động vận hành qua 3 pha chiến thuật:</w:t>
      </w:r>
    </w:p>
    <w:p>
      <w:pPr>
        <w:pStyle w:val="ListBullet"/>
        <w:spacing w:after="60" w:line="312" w:lineRule="auto"/>
        <w:jc w:val="both"/>
      </w:pPr>
      <w:r>
        <w:rPr>
          <w:b/>
          <w:color w:val="111827"/>
          <w:sz w:val="26"/>
        </w:rPr>
        <w:t xml:space="preserve">1. Trinh sát tự động (Reconnaissance &amp; OpenAPI Parsing): </w:t>
      </w:r>
      <w:r>
        <w:rPr>
          <w:sz w:val="26"/>
        </w:rPr>
        <w:t>Bóc tách schema Swagger / OpenAPI để lập danh mục endpoint và kiểu dữ liệu.</w:t>
      </w:r>
    </w:p>
    <w:p>
      <w:pPr>
        <w:pStyle w:val="ListBullet"/>
        <w:spacing w:after="60" w:line="312" w:lineRule="auto"/>
        <w:jc w:val="both"/>
      </w:pPr>
      <w:r>
        <w:rPr>
          <w:b/>
          <w:color w:val="111827"/>
          <w:sz w:val="26"/>
        </w:rPr>
        <w:t xml:space="preserve">2. Fuzzing phụ thuộc trạng thái (Stateful REST API Fuzzing): </w:t>
      </w:r>
      <w:r>
        <w:rPr>
          <w:sz w:val="26"/>
        </w:rPr>
        <w:t>Sinh chuỗi request có cấu trúc bám sát ngữ cảnh nghiệp vụ.</w:t>
      </w:r>
    </w:p>
    <w:p>
      <w:pPr>
        <w:pStyle w:val="ListBullet"/>
        <w:spacing w:after="60" w:line="312" w:lineRule="auto"/>
        <w:jc w:val="both"/>
      </w:pPr>
      <w:r>
        <w:rPr>
          <w:b/>
          <w:color w:val="111827"/>
          <w:sz w:val="26"/>
        </w:rPr>
        <w:t xml:space="preserve">3. Kiểm thử xác minh lỗ hổng: </w:t>
      </w:r>
      <w:r>
        <w:rPr>
          <w:sz w:val="26"/>
        </w:rPr>
        <w:t>Bơm payload độc hại được đột biến có chủ đích vào từng trường tham số.</w:t>
      </w:r>
    </w:p>
    <w:p>
      <w:pPr>
        <w:spacing w:before="200" w:after="80"/>
      </w:pPr>
      <w:r>
        <w:rPr>
          <w:b/>
          <w:color w:val="1E40AF"/>
          <w:sz w:val="27"/>
        </w:rPr>
        <w:t>1.4.4. Mô hình Học tăng cường sâu (Deep Reinforcement Learning - DQN) trong né tránh phòng thủ</w:t>
      </w:r>
    </w:p>
    <w:p>
      <w:pPr>
        <w:spacing w:after="80" w:line="312" w:lineRule="auto"/>
        <w:jc w:val="both"/>
      </w:pPr>
      <w:r>
        <w:rPr>
          <w:i w:val="0"/>
          <w:sz w:val="26"/>
        </w:rPr>
        <w:t>Bài toán né tránh WAF được mô hình hóa theo Quy trình quyết định Markov (Markov Decision Process - MDP) bám sát giáo trình Reinforcement Learning của Sutton &amp; Barto (MIT Press) [Ref 17] và kiến trúc Deep Q-Network của DeepMind (Nature 2015) [Ref 18]:</w:t>
      </w:r>
    </w:p>
    <w:p>
      <w:pPr>
        <w:pStyle w:val="ListBullet"/>
        <w:spacing w:after="60" w:line="312" w:lineRule="auto"/>
        <w:jc w:val="both"/>
      </w:pPr>
      <w:r>
        <w:rPr>
          <w:b/>
          <w:color w:val="111827"/>
          <w:sz w:val="26"/>
        </w:rPr>
        <w:t xml:space="preserve">Không gian trạng thái (State Space): </w:t>
      </w:r>
      <w:r>
        <w:rPr>
          <w:sz w:val="26"/>
        </w:rPr>
        <w:t>Vector đặc trưng của payload hiện tại và mã phản hồi HTTP từ WAF Gateway.</w:t>
      </w:r>
    </w:p>
    <w:p>
      <w:pPr>
        <w:pStyle w:val="ListBullet"/>
        <w:spacing w:after="60" w:line="312" w:lineRule="auto"/>
        <w:jc w:val="both"/>
      </w:pPr>
      <w:r>
        <w:rPr>
          <w:b/>
          <w:color w:val="111827"/>
          <w:sz w:val="26"/>
        </w:rPr>
        <w:t xml:space="preserve">Không gian hành động (Action Space): </w:t>
      </w:r>
      <w:r>
        <w:rPr>
          <w:sz w:val="26"/>
        </w:rPr>
        <w:t>Tập hợp các toán tử đột biến: Double URL Encode, Case Alternation, Comment Injection, Hex Encoding.</w:t>
      </w:r>
    </w:p>
    <w:p>
      <w:pPr>
        <w:pStyle w:val="ListBullet"/>
        <w:spacing w:after="60" w:line="312" w:lineRule="auto"/>
        <w:jc w:val="both"/>
      </w:pPr>
      <w:r>
        <w:rPr>
          <w:b/>
          <w:color w:val="111827"/>
          <w:sz w:val="26"/>
        </w:rPr>
        <w:t xml:space="preserve">Hàm phần thưởng (Reward Function): </w:t>
      </w:r>
      <w:r>
        <w:rPr>
          <w:sz w:val="26"/>
        </w:rPr>
        <w:t>+100 điểm khi vượt WAF thành công (HTTP 200), -50 điểm khi bị chặn (HTTP 403).</w:t>
      </w:r>
    </w:p>
    <w:p>
      <w:pPr>
        <w:spacing w:before="160" w:after="40" w:line="276" w:lineRule="auto"/>
        <w:jc w:val="center"/>
      </w:pPr>
      <m:oMathPara>
        <m:oMath>
          <m:r>
            <m:t>Q(s,a)←Q(s,a)+α</m:t>
          </m:r>
          <m:d>
            <m:dPr>
              <m:begChr m:val="["/>
              <m:sepChr m:val=""/>
              <m:endChr m:val="]"/>
            </m:dPr>
            <m:e>
              <m:r>
                <m:t>r</m:t>
              </m:r>
              <m:r>
                <m:t>+</m:t>
              </m:r>
              <m:r>
                <m:t>γ</m:t>
              </m:r>
              <m:sSub>
                <m:e>
                  <m:r>
                    <m:t>max</m:t>
                  </m:r>
                </m:e>
                <m:sub>
                  <m:sSup>
                    <m:e>
                      <m:r>
                        <m:t>a</m:t>
                      </m:r>
                    </m:e>
                    <m:sup>
                      <m:r>
                        <m:t>′</m:t>
                      </m:r>
                    </m:sup>
                  </m:sSup>
                </m:sub>
              </m:sSub>
              <m:r>
                <m:t>Q</m:t>
              </m:r>
              <m:r>
                <m:t>(</m:t>
              </m:r>
              <m:sSup>
                <m:e>
                  <m:r>
                    <m:t>s</m:t>
                  </m:r>
                </m:e>
                <m:sup>
                  <m:r>
                    <m:t>′</m:t>
                  </m:r>
                </m:sup>
              </m:sSup>
              <m:r>
                <m:t>,</m:t>
              </m:r>
              <m:sSup>
                <m:e>
                  <m:r>
                    <m:t>a</m:t>
                  </m:r>
                </m:e>
                <m:sup>
                  <m:r>
                    <m:t>′</m:t>
                  </m:r>
                </m:sup>
              </m:sSup>
              <m:r>
                <m:t>)</m:t>
              </m:r>
              <m:r>
                <m:t>−</m:t>
              </m:r>
              <m:r>
                <m:t>Q</m:t>
              </m:r>
              <m:r>
                <m:t>(</m:t>
              </m:r>
              <m:r>
                <m:t>s</m:t>
              </m:r>
              <m:r>
                <m:t>,</m:t>
              </m:r>
              <m:r>
                <m:t>a</m:t>
              </m:r>
              <m:r>
                <m:t>)</m:t>
              </m:r>
            </m:e>
          </m:d>
        </m:oMath>
      </m:oMathPara>
    </w:p>
    <w:p>
      <w:pPr>
        <w:spacing w:before="0" w:after="160"/>
        <w:jc w:val="center"/>
      </w:pPr>
      <w:r>
        <w:rPr>
          <w:i/>
          <w:color w:val="4B5563"/>
          <w:sz w:val="20"/>
        </w:rPr>
        <w:t>Công thức (1.8): Phương trình Bellman cập nhật giá trị Q tối ưu theo thuật toán Q-Learning [Ref 17]</w:t>
      </w:r>
    </w:p>
    <w:p>
      <w:pPr>
        <w:spacing w:before="280" w:after="120"/>
      </w:pPr>
      <w:r>
        <w:rPr>
          <w:b/>
          <w:color w:val="0F766E"/>
          <w:sz w:val="30"/>
        </w:rPr>
        <w:t>1.5. CÁC THƯỚC ĐO VÀ TIÊU CHUẨN ĐÁNH GIÁ HIỆU NĂNG KHOA HỌC</w:t>
      </w:r>
    </w:p>
    <w:p>
      <w:pPr>
        <w:spacing w:before="200" w:after="80"/>
      </w:pPr>
      <w:r>
        <w:rPr>
          <w:b/>
          <w:color w:val="1E40AF"/>
          <w:sz w:val="27"/>
        </w:rPr>
        <w:t>1.5.1. Ma trận nhầm lẫn và các chỉ số cốt lõi</w:t>
      </w:r>
    </w:p>
    <w:p>
      <w:pPr>
        <w:spacing w:after="80" w:line="312" w:lineRule="auto"/>
        <w:jc w:val="both"/>
      </w:pPr>
      <w:r>
        <w:rPr>
          <w:i w:val="0"/>
          <w:sz w:val="26"/>
        </w:rPr>
        <w:t>Hiệu năng của hệ thống được đánh giá định lượng qua Ma trận nhầm lẫn (Confusion Matrix) với các đại lượng: True Positive (TP), True Negative (TN), False Positive (FP), False Negative (FN):</w:t>
      </w:r>
    </w:p>
    <w:p>
      <w:pPr>
        <w:pStyle w:val="ListBullet"/>
        <w:spacing w:after="60" w:line="312" w:lineRule="auto"/>
        <w:jc w:val="both"/>
      </w:pPr>
      <w:r>
        <w:rPr>
          <w:b/>
          <w:color w:val="111827"/>
          <w:sz w:val="26"/>
        </w:rPr>
        <w:t xml:space="preserve">Accuracy: </w:t>
      </w:r>
      <w:r>
        <w:rPr>
          <w:sz w:val="26"/>
        </w:rPr>
        <w:t>Tỷ lệ dự đoán đúng tổng thể = (TP + TN) / (TP + TN + FP + FN).</w:t>
      </w:r>
    </w:p>
    <w:p>
      <w:pPr>
        <w:pStyle w:val="ListBullet"/>
        <w:spacing w:after="60" w:line="312" w:lineRule="auto"/>
        <w:jc w:val="both"/>
      </w:pPr>
      <w:r>
        <w:rPr>
          <w:b/>
          <w:color w:val="111827"/>
          <w:sz w:val="26"/>
        </w:rPr>
        <w:t xml:space="preserve">Precision: </w:t>
      </w:r>
      <w:r>
        <w:rPr>
          <w:sz w:val="26"/>
        </w:rPr>
        <w:t>Độ chuẩn xác của cảnh báo tấn công = TP / (TP + FP).</w:t>
      </w:r>
    </w:p>
    <w:p>
      <w:pPr>
        <w:pStyle w:val="ListBullet"/>
        <w:spacing w:after="60" w:line="312" w:lineRule="auto"/>
        <w:jc w:val="both"/>
      </w:pPr>
      <w:r>
        <w:rPr>
          <w:b/>
          <w:color w:val="111827"/>
          <w:sz w:val="26"/>
        </w:rPr>
        <w:t xml:space="preserve">Recall (True Positive Rate - TPR): </w:t>
      </w:r>
      <w:r>
        <w:rPr>
          <w:sz w:val="26"/>
        </w:rPr>
        <w:t>Tỷ lệ tóm gọn tấn công = TP / (TP + FN).</w:t>
      </w:r>
    </w:p>
    <w:p>
      <w:pPr>
        <w:pStyle w:val="ListBullet"/>
        <w:spacing w:after="60" w:line="312" w:lineRule="auto"/>
        <w:jc w:val="both"/>
      </w:pPr>
      <w:r>
        <w:rPr>
          <w:b/>
          <w:color w:val="111827"/>
          <w:sz w:val="26"/>
        </w:rPr>
        <w:t xml:space="preserve">False Positive Rate (FPR): </w:t>
      </w:r>
      <w:r>
        <w:rPr>
          <w:sz w:val="26"/>
        </w:rPr>
        <w:t>Tỷ lệ báo động nhầm người dùng hợp lệ = FP / (FP + TN).</w:t>
      </w:r>
    </w:p>
    <w:p>
      <w:pPr>
        <w:pStyle w:val="ListBullet"/>
        <w:spacing w:after="60" w:line="312" w:lineRule="auto"/>
        <w:jc w:val="both"/>
      </w:pPr>
      <w:r>
        <w:rPr>
          <w:b/>
          <w:color w:val="111827"/>
          <w:sz w:val="26"/>
        </w:rPr>
        <w:t xml:space="preserve">F1-Score: </w:t>
      </w:r>
      <w:r>
        <w:rPr>
          <w:sz w:val="26"/>
        </w:rPr>
        <w:t>Trung bình điều hòa giữa Precision và Recall = 2 * (Precision * Recall) / (Precision + Recall).</w:t>
      </w:r>
    </w:p>
    <w:p>
      <w:pPr>
        <w:spacing w:before="200" w:after="80"/>
      </w:pPr>
      <w:r>
        <w:rPr>
          <w:b/>
          <w:color w:val="1E40AF"/>
          <w:sz w:val="27"/>
        </w:rPr>
        <w:t>1.5.2. Thước đo Youden's Index (J) theo chuẩn OWASP Benchmark Project</w:t>
      </w:r>
    </w:p>
    <w:p>
      <w:pPr>
        <w:spacing w:after="80" w:line="312" w:lineRule="auto"/>
        <w:jc w:val="both"/>
      </w:pPr>
      <w:r>
        <w:rPr>
          <w:i w:val="0"/>
          <w:sz w:val="26"/>
        </w:rPr>
        <w:t>Theo tiêu chuẩn đánh giá WAF quốc tế của OWASP Benchmark Project [Ref 08], một hệ thống WAF đạt chuẩn khoa học không thể chỉ dựa vào Accuracy mà phải cân bằng tuyệt đối giữa khả năng chặn mã độc và tỷ lệ không làm gián đoạn người dùng hợp lệ:</w:t>
      </w:r>
    </w:p>
    <w:p>
      <w:pPr>
        <w:spacing w:before="160" w:after="40" w:line="276" w:lineRule="auto"/>
        <w:jc w:val="center"/>
      </w:pPr>
      <m:oMathPara>
        <m:oMath>
          <m:r>
            <m:t>J=</m:t>
          </m:r>
          <m:r>
            <m:rPr>
              <m:nor/>
            </m:rPr>
            <m:t>TPR</m:t>
          </m:r>
          <m:r>
            <m:t>−</m:t>
          </m:r>
          <m:r>
            <m:rPr>
              <m:nor/>
            </m:rPr>
            <m:t>FPR</m:t>
          </m:r>
          <m:r>
            <m:t>=</m:t>
          </m:r>
          <m:f>
            <m:fPr>
              <m:type m:val="bar"/>
            </m:fPr>
            <m:num>
              <m:r>
                <m:rPr>
                  <m:nor/>
                </m:rPr>
                <m:t>TP</m:t>
              </m:r>
            </m:num>
            <m:den>
              <m:r>
                <m:rPr>
                  <m:nor/>
                </m:rPr>
                <m:t>TP</m:t>
              </m:r>
              <m:r>
                <m:t>+</m:t>
              </m:r>
              <m:r>
                <m:rPr>
                  <m:nor/>
                </m:rPr>
                <m:t>FN</m:t>
              </m:r>
            </m:den>
          </m:f>
          <m:r>
            <m:t>−</m:t>
          </m:r>
          <m:f>
            <m:fPr>
              <m:type m:val="bar"/>
            </m:fPr>
            <m:num>
              <m:r>
                <m:rPr>
                  <m:nor/>
                </m:rPr>
                <m:t>FP</m:t>
              </m:r>
            </m:num>
            <m:den>
              <m:r>
                <m:rPr>
                  <m:nor/>
                </m:rPr>
                <m:t>FP</m:t>
              </m:r>
              <m:r>
                <m:t>+</m:t>
              </m:r>
              <m:r>
                <m:rPr>
                  <m:nor/>
                </m:rPr>
                <m:t>TN</m:t>
              </m:r>
            </m:den>
          </m:f>
        </m:oMath>
      </m:oMathPara>
    </w:p>
    <w:p>
      <w:pPr>
        <w:spacing w:before="0" w:after="160"/>
        <w:jc w:val="center"/>
      </w:pPr>
      <w:r>
        <w:rPr>
          <w:i/>
          <w:color w:val="4B5563"/>
          <w:sz w:val="20"/>
        </w:rPr>
        <w:t>Công thức (1.9): Chỉ số Youden's Index J theo chuẩn đánh giá WAF của OWASP Benchmark Project [Ref 08]</w:t>
      </w:r>
    </w:p>
    <w:p>
      <w:pPr>
        <w:spacing w:after="80" w:line="312" w:lineRule="auto"/>
        <w:jc w:val="both"/>
      </w:pPr>
      <w:r>
        <w:rPr>
          <w:i w:val="0"/>
          <w:sz w:val="26"/>
        </w:rPr>
        <w:t>Thang đo J thuộc [-1.0, 1.0]. Hệ thống lý tưởng đạt J = 1.0 (TPR = 100%, FPR = 0%). Nếu J &lt;= 0, hệ thống phòng thủ hoàn toàn vô dụng hoặc gây hại cho dịch vụ.</w:t>
      </w:r>
    </w:p>
    <w:p>
      <w:pPr>
        <w:spacing w:before="200" w:after="80"/>
      </w:pPr>
      <w:r>
        <w:rPr>
          <w:b/>
          <w:color w:val="1E40AF"/>
          <w:sz w:val="27"/>
        </w:rPr>
        <w:t>1.5.3. Ngân sách độ trễ xử lý (Latency Overhead Budget)</w:t>
      </w:r>
    </w:p>
    <w:p>
      <w:pPr>
        <w:spacing w:after="80" w:line="312" w:lineRule="auto"/>
        <w:jc w:val="both"/>
      </w:pPr>
      <w:r>
        <w:rPr>
          <w:i w:val="0"/>
          <w:sz w:val="26"/>
        </w:rPr>
        <w:t>Theo tiêu chuẩn vận hành kiến trúc Reverse Proxy hiệu năng cao trong NGINX Cookbook [Ref 05], thời gian WAF can thiệp phân tích gói tin không được làm suy giảm trải nghiệm người dùng:</w:t>
      </w:r>
    </w:p>
    <w:p>
      <w:pPr>
        <w:spacing w:before="160" w:after="40" w:line="276" w:lineRule="auto"/>
        <w:jc w:val="center"/>
      </w:pPr>
      <m:oMathPara>
        <m:oMath>
          <m:r>
            <m:t>Δt=</m:t>
          </m:r>
          <m:sSub>
            <m:e>
              <m:r>
                <m:t>t</m:t>
              </m:r>
            </m:e>
            <m:sub>
              <m:r>
                <m:rPr>
                  <m:nor/>
                </m:rPr>
                <m:t>with\_WAF</m:t>
              </m:r>
            </m:sub>
          </m:sSub>
          <m:r>
            <m:t>−</m:t>
          </m:r>
          <m:sSub>
            <m:e>
              <m:r>
                <m:t>t</m:t>
              </m:r>
            </m:e>
            <m:sub>
              <m:r>
                <m:rPr>
                  <m:nor/>
                </m:rPr>
                <m:t>direct</m:t>
              </m:r>
            </m:sub>
          </m:sSub>
          <m:r>
            <m:t>≤15</m:t>
          </m:r>
          <m:r>
            <m:rPr>
              <m:nor/>
            </m:rPr>
            <m:t> ms</m:t>
          </m:r>
        </m:oMath>
      </m:oMathPara>
    </w:p>
    <w:p>
      <w:pPr>
        <w:spacing w:before="0" w:after="160"/>
        <w:jc w:val="center"/>
      </w:pPr>
      <w:r>
        <w:rPr>
          <w:i/>
          <w:color w:val="4B5563"/>
          <w:sz w:val="20"/>
        </w:rPr>
        <w:t>Công thức (1.10): Ngân sách độ trễ tối đa cho toàn bộ quy trình kiểm tra WAF Hybrid [Ref 05]</w:t>
      </w:r>
    </w:p>
    <w:p>
      <w:pPr>
        <w:spacing w:before="280" w:after="120"/>
      </w:pPr>
      <w:r>
        <w:rPr>
          <w:b/>
          <w:color w:val="0F766E"/>
          <w:sz w:val="30"/>
        </w:rPr>
        <w:t>1.6. TỔNG KẾT CHƯƠNG 1</w:t>
      </w:r>
    </w:p>
    <w:p>
      <w:pPr>
        <w:spacing w:after="80" w:line="312" w:lineRule="auto"/>
        <w:jc w:val="both"/>
      </w:pPr>
      <w:r>
        <w:rPr>
          <w:i w:val="0"/>
          <w:sz w:val="26"/>
        </w:rPr>
        <w:t>Chương 1 đã hoàn thành việc xây dựng nền tảng cơ sở lý thuyết toàn diện, có tính liên kết chặt chẽ:</w:t>
      </w:r>
    </w:p>
    <w:p>
      <w:pPr>
        <w:pStyle w:val="ListBullet"/>
        <w:spacing w:after="60" w:line="312" w:lineRule="auto"/>
        <w:jc w:val="both"/>
      </w:pPr>
      <w:r>
        <w:rPr>
          <w:b/>
          <w:color w:val="111827"/>
          <w:sz w:val="26"/>
        </w:rPr>
        <w:t xml:space="preserve">1. Giáo trình kinh điển: </w:t>
      </w:r>
      <w:r>
        <w:rPr>
          <w:sz w:val="26"/>
        </w:rPr>
        <w:t>Vận dụng lý thuyết Cổng tầng ứng dụng của William Stallings [Ref 01], lý thuyết thông tin Shannon của Douglas Stinson [Ref 02], và Trò chơi an ninh đối kháng của Katz &amp; Lindell [Ref 03].</w:t>
      </w:r>
    </w:p>
    <w:p>
      <w:pPr>
        <w:pStyle w:val="ListBullet"/>
        <w:spacing w:after="60" w:line="312" w:lineRule="auto"/>
        <w:jc w:val="both"/>
      </w:pPr>
      <w:r>
        <w:rPr>
          <w:b/>
          <w:color w:val="111827"/>
          <w:sz w:val="26"/>
        </w:rPr>
        <w:t xml:space="preserve">2. Tiêu chuẩn công nghiệp: </w:t>
      </w:r>
      <w:r>
        <w:rPr>
          <w:sz w:val="26"/>
        </w:rPr>
        <w:t>Bám sát bộ rủi ro OWASP Top 10 API Security Risks (2023) [Ref 06], kiến trúc phân tích tính điểm bất thường ModSecurity CRS v4 [Ref 07], và khung chuẩn đánh giá OWASP Benchmark [Ref 08].</w:t>
      </w:r>
    </w:p>
    <w:p>
      <w:pPr>
        <w:pStyle w:val="ListBullet"/>
        <w:spacing w:after="60" w:line="312" w:lineRule="auto"/>
        <w:jc w:val="both"/>
      </w:pPr>
      <w:r>
        <w:rPr>
          <w:b/>
          <w:color w:val="111827"/>
          <w:sz w:val="26"/>
        </w:rPr>
        <w:t xml:space="preserve">3. Công trình khoa học thực nghiệm: </w:t>
      </w:r>
      <w:r>
        <w:rPr>
          <w:sz w:val="26"/>
        </w:rPr>
        <w:t>Triển khai không gian 17 đặc trưng hình thái chuỗi payload [Ref 15], kết hợp mô hình học máy phân lớp Random Forest [Ref 12], phát hiện dị biệt Isolation Forest [Ref 11], kiến trúc dung hợp đa tầng [Ref 13], và mô hình Thao trường An ninh Đối kháng phân tán [Ref 16].</w:t>
      </w:r>
    </w:p>
    <w:sectPr w:rsidR="00FC693F" w:rsidRPr="0006063C" w:rsidSect="00034616">
      <w:pgSz w:w="12240" w:h="15840"/>
      <w:pgMar w:top="1417" w:right="1133"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