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r>
        <w:t>Mantenimiento Evolutivo</w:t>
      </w:r>
      <w:r w:rsidR="000A1314">
        <w:t xml:space="preserve"> INTERNO</w:t>
      </w:r>
    </w:p>
    <w:tbl>
      <w:tblPr>
        <w:tblW w:w="9658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237"/>
      </w:tblGrid>
      <w:tr w:rsidR="0092080F" w:rsidRPr="006C1842" w:rsidTr="00E929C2">
        <w:trPr>
          <w:trHeight w:val="390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92080F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7F24D5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</w:t>
            </w:r>
            <w:r w:rsidR="00DE5120">
              <w:rPr>
                <w:rFonts w:ascii="Garamond" w:hAnsi="Garamond"/>
                <w:b/>
                <w:sz w:val="24"/>
                <w:szCs w:val="24"/>
                <w:lang w:val="es-ES"/>
              </w:rPr>
              <w:t>ocumento Ordinario N°: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Pr="002703A5" w:rsidRDefault="0092080F" w:rsidP="007F24D5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>No aplica</w:t>
            </w:r>
          </w:p>
        </w:tc>
      </w:tr>
      <w:tr w:rsidR="0092080F" w:rsidRPr="006C1842" w:rsidTr="00E929C2">
        <w:trPr>
          <w:trHeight w:val="1461"/>
        </w:trPr>
        <w:tc>
          <w:tcPr>
            <w:tcW w:w="9658" w:type="dxa"/>
            <w:gridSpan w:val="2"/>
            <w:shd w:val="clear" w:color="auto" w:fill="auto"/>
          </w:tcPr>
          <w:p w:rsidR="0092080F" w:rsidRPr="007F24D5" w:rsidRDefault="0092080F" w:rsidP="00D267E6">
            <w:pPr>
              <w:rPr>
                <w:rFonts w:ascii="Garamond" w:hAnsi="Garamond"/>
                <w:b/>
                <w:sz w:val="18"/>
                <w:szCs w:val="18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339"/>
              <w:gridCol w:w="1134"/>
              <w:gridCol w:w="992"/>
              <w:gridCol w:w="1559"/>
              <w:gridCol w:w="851"/>
              <w:gridCol w:w="1276"/>
              <w:gridCol w:w="1134"/>
            </w:tblGrid>
            <w:tr w:rsidR="007F24D5" w:rsidRPr="007F24D5" w:rsidTr="007F24D5">
              <w:trPr>
                <w:trHeight w:val="292"/>
              </w:trPr>
              <w:tc>
                <w:tcPr>
                  <w:tcW w:w="1242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133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1134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992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155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851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  <w:tc>
                <w:tcPr>
                  <w:tcW w:w="1276" w:type="dxa"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PORTAL CLINICO</w:t>
                  </w:r>
                </w:p>
              </w:tc>
              <w:tc>
                <w:tcPr>
                  <w:tcW w:w="1134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7F24D5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AGENDA MAS</w:t>
                  </w:r>
                </w:p>
              </w:tc>
            </w:tr>
            <w:tr w:rsidR="007F24D5" w:rsidRPr="002A56B9" w:rsidTr="007F24D5">
              <w:trPr>
                <w:trHeight w:val="347"/>
              </w:trPr>
              <w:tc>
                <w:tcPr>
                  <w:tcW w:w="1242" w:type="dxa"/>
                  <w:hideMark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33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5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851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DD2DCA" w:rsidP="00DE5120">
                  <w:pP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92080F" w:rsidRPr="004C1FE0" w:rsidRDefault="006B18DF" w:rsidP="004C1FE0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>Se requiere que en los datos que visualiza el telefonista, en la pantalla que ve después de buscar al paciente por RUT, aparezca</w:t>
            </w:r>
            <w:r w:rsidR="004C1FE0"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el sector al que pertenece e</w:t>
            </w:r>
            <w:r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>l paciente</w:t>
            </w:r>
            <w:r w:rsidR="004C1FE0"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y a posterior, que este campo salga en el detalle del reporte que se puede exportar de la  lista de trabajo del telefonista. </w:t>
            </w:r>
            <w:r w:rsidRPr="004C1FE0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</w:t>
            </w:r>
            <w:r w:rsidR="004C1FE0">
              <w:rPr>
                <w:rFonts w:ascii="Garamond" w:hAnsi="Garamond"/>
                <w:b/>
                <w:sz w:val="24"/>
                <w:szCs w:val="24"/>
                <w:lang w:val="es-ES"/>
              </w:rPr>
              <w:t>Además en este reporte deben aparecen en columnas separadas cuando el cliente tenga más de un teléfono</w:t>
            </w:r>
          </w:p>
        </w:tc>
      </w:tr>
      <w:tr w:rsidR="0092080F" w:rsidRPr="006C1842" w:rsidTr="00E929C2">
        <w:trPr>
          <w:trHeight w:val="272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6B18DF" w:rsidP="006D4D8D">
            <w:pPr>
              <w:jc w:val="both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B18DF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 de Impacto: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E42AFE" w:rsidRDefault="00E42AF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261A1E" w:rsidRPr="006C1842" w:rsidRDefault="006B18DF" w:rsidP="00C568CB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Que el telefonista cuente con los datos necesarios, que ha manifestado nuestro actual cliente de la modalidad Call Center, como eventuales futuros clientes también han manifestados</w:t>
            </w:r>
            <w:r w:rsidR="00C568C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Imágenes:</w:t>
            </w:r>
            <w:r w:rsidR="00261A1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</w:tcPr>
          <w:p w:rsidR="0073467E" w:rsidRDefault="0073467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B9692B" w:rsidRDefault="007C4373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lastRenderedPageBreak/>
              <w:drawing>
                <wp:inline distT="0" distB="0" distL="0" distR="0" wp14:anchorId="3D9C8C13" wp14:editId="6592498C">
                  <wp:extent cx="5995670" cy="2667000"/>
                  <wp:effectExtent l="0" t="0" r="508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1FE0" w:rsidRDefault="004C1FE0" w:rsidP="00D267E6">
            <w:pPr>
              <w:rPr>
                <w:noProof/>
              </w:rPr>
            </w:pPr>
          </w:p>
          <w:p w:rsidR="004C1FE0" w:rsidRDefault="004C1FE0" w:rsidP="00D267E6">
            <w:pPr>
              <w:rPr>
                <w:noProof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2C542C3C" wp14:editId="430B1561">
                  <wp:extent cx="5995670" cy="1458595"/>
                  <wp:effectExtent l="0" t="0" r="5080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92B" w:rsidRDefault="004C1FE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30743B93" wp14:editId="197AC117">
                  <wp:extent cx="5995670" cy="2673350"/>
                  <wp:effectExtent l="0" t="0" r="508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26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92B" w:rsidRPr="006C1842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715B2D" w:rsidP="00DE5120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</w:t>
            </w:r>
            <w:r w:rsidR="00B45F1C">
              <w:rPr>
                <w:rFonts w:ascii="Garamond" w:hAnsi="Garamond"/>
                <w:sz w:val="24"/>
                <w:szCs w:val="24"/>
                <w:lang w:val="es-ES"/>
              </w:rPr>
              <w:t>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237" w:type="dxa"/>
            <w:shd w:val="clear" w:color="auto" w:fill="auto"/>
          </w:tcPr>
          <w:p w:rsidR="0092080F" w:rsidRDefault="002A513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237" w:type="dxa"/>
            <w:shd w:val="clear" w:color="auto" w:fill="auto"/>
          </w:tcPr>
          <w:p w:rsidR="0092080F" w:rsidRDefault="009F750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2A5139" w:rsidP="00061C7B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El incorporar esta 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>funcionalidad permitirá</w:t>
            </w:r>
            <w:r w:rsidR="00841F02">
              <w:rPr>
                <w:rFonts w:ascii="Garamond" w:hAnsi="Garamond"/>
                <w:sz w:val="24"/>
                <w:szCs w:val="24"/>
                <w:lang w:val="es-ES"/>
              </w:rPr>
              <w:t xml:space="preserve"> mayor aceptación del servicio por los actuales y potenciales clientes</w:t>
            </w:r>
            <w:r w:rsidR="00BC36F2">
              <w:rPr>
                <w:rFonts w:ascii="Garamond" w:hAnsi="Garamond"/>
                <w:sz w:val="24"/>
                <w:szCs w:val="24"/>
                <w:lang w:val="es-ES"/>
              </w:rPr>
              <w:t xml:space="preserve">. </w:t>
            </w:r>
            <w:r w:rsidR="003C7AF6">
              <w:rPr>
                <w:rFonts w:ascii="Garamond" w:hAnsi="Garamond"/>
                <w:sz w:val="24"/>
                <w:szCs w:val="24"/>
                <w:lang w:val="es-ES"/>
              </w:rPr>
              <w:t xml:space="preserve">  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237" w:type="dxa"/>
            <w:shd w:val="clear" w:color="auto" w:fill="auto"/>
          </w:tcPr>
          <w:p w:rsidR="0092080F" w:rsidRDefault="00261A1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43423F" w:rsidRPr="006C1842" w:rsidRDefault="00261A1E" w:rsidP="00750C4F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Begoña Collao por Negocios y </w:t>
            </w:r>
            <w:r w:rsidRPr="00261A1E">
              <w:rPr>
                <w:rFonts w:ascii="Garamond" w:hAnsi="Garamond"/>
                <w:sz w:val="24"/>
                <w:szCs w:val="24"/>
                <w:lang w:val="es-ES"/>
              </w:rPr>
              <w:t xml:space="preserve">Jéssica Ortiz por Servicios </w:t>
            </w:r>
          </w:p>
        </w:tc>
      </w:tr>
      <w:tr w:rsidR="0092080F" w:rsidRPr="000F1B9E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033FAF" w:rsidP="00D267E6">
            <w:pPr>
              <w:pStyle w:val="sdxtexto"/>
            </w:pPr>
            <w:r>
              <w:t>SI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033FAF" w:rsidP="00750C4F">
            <w:pPr>
              <w:pStyle w:val="sdxtexto"/>
            </w:pPr>
            <w:r>
              <w:t>NO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033FA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ALTA, CONSIDERANDO QUE PARA ESTOS CAMBIOS SE DEBE INTERVENIR EL WEBSERVICE, PROCEDIMIENTOS ALMACENADOS Y MIRTH, ADEMÁS DEL FRONT END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0F1B9E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Observaciones:</w:t>
            </w:r>
          </w:p>
        </w:tc>
        <w:tc>
          <w:tcPr>
            <w:tcW w:w="6237" w:type="dxa"/>
            <w:shd w:val="clear" w:color="auto" w:fill="auto"/>
          </w:tcPr>
          <w:p w:rsidR="0092080F" w:rsidRPr="000F1B9E" w:rsidRDefault="0092080F" w:rsidP="00D267E6">
            <w:pPr>
              <w:pStyle w:val="sdxtexto"/>
            </w:pPr>
          </w:p>
        </w:tc>
      </w:tr>
      <w:tr w:rsidR="0092080F" w:rsidRPr="000F1B9E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92080F" w:rsidRPr="00B51C9D" w:rsidRDefault="0092080F" w:rsidP="00750C4F">
            <w:pPr>
              <w:pStyle w:val="sdxtexto"/>
            </w:pPr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11"/>
      <w:footerReference w:type="default" r:id="rId12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354" w:rsidRDefault="00C67354" w:rsidP="00956675">
      <w:pPr>
        <w:spacing w:after="0" w:line="240" w:lineRule="auto"/>
      </w:pPr>
      <w:r>
        <w:separator/>
      </w:r>
    </w:p>
  </w:endnote>
  <w:endnote w:type="continuationSeparator" w:id="0">
    <w:p w:rsidR="00C67354" w:rsidRDefault="00C67354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354" w:rsidRDefault="00C67354" w:rsidP="00956675">
      <w:pPr>
        <w:spacing w:after="0" w:line="240" w:lineRule="auto"/>
      </w:pPr>
      <w:r>
        <w:separator/>
      </w:r>
    </w:p>
  </w:footnote>
  <w:footnote w:type="continuationSeparator" w:id="0">
    <w:p w:rsidR="00C67354" w:rsidRDefault="00C67354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033FAF" w:rsidRPr="00033FAF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033FAF" w:rsidRPr="00033FAF">
                          <w:rPr>
                            <w:noProof/>
                            <w:color w:val="3F3F3F" w:themeColor="text1"/>
                            <w:sz w:val="20"/>
                          </w:rPr>
                          <w:t>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598B"/>
    <w:multiLevelType w:val="hybridMultilevel"/>
    <w:tmpl w:val="F00CA4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65CB"/>
    <w:rsid w:val="00033FAF"/>
    <w:rsid w:val="00034C91"/>
    <w:rsid w:val="00061C7B"/>
    <w:rsid w:val="000A1314"/>
    <w:rsid w:val="00137470"/>
    <w:rsid w:val="0014054C"/>
    <w:rsid w:val="001B1725"/>
    <w:rsid w:val="001E2FF6"/>
    <w:rsid w:val="001F0183"/>
    <w:rsid w:val="001F08B6"/>
    <w:rsid w:val="00220232"/>
    <w:rsid w:val="002527AA"/>
    <w:rsid w:val="00261A1E"/>
    <w:rsid w:val="00281D22"/>
    <w:rsid w:val="00294804"/>
    <w:rsid w:val="002A5139"/>
    <w:rsid w:val="002B567C"/>
    <w:rsid w:val="002C7013"/>
    <w:rsid w:val="002E3959"/>
    <w:rsid w:val="003368C2"/>
    <w:rsid w:val="003C7AF6"/>
    <w:rsid w:val="0042442D"/>
    <w:rsid w:val="0043423F"/>
    <w:rsid w:val="00447C08"/>
    <w:rsid w:val="004848DB"/>
    <w:rsid w:val="004C1FE0"/>
    <w:rsid w:val="00500E69"/>
    <w:rsid w:val="00522776"/>
    <w:rsid w:val="00526ED3"/>
    <w:rsid w:val="00536018"/>
    <w:rsid w:val="005764E8"/>
    <w:rsid w:val="00603722"/>
    <w:rsid w:val="00603CA1"/>
    <w:rsid w:val="00654C7C"/>
    <w:rsid w:val="00662DD8"/>
    <w:rsid w:val="00694D5D"/>
    <w:rsid w:val="006B18DF"/>
    <w:rsid w:val="006C06C4"/>
    <w:rsid w:val="006C6F93"/>
    <w:rsid w:val="006D4D8D"/>
    <w:rsid w:val="006D6D76"/>
    <w:rsid w:val="00715B2D"/>
    <w:rsid w:val="00723BC4"/>
    <w:rsid w:val="0073467E"/>
    <w:rsid w:val="00750C4F"/>
    <w:rsid w:val="007754EA"/>
    <w:rsid w:val="00780F51"/>
    <w:rsid w:val="007A5B44"/>
    <w:rsid w:val="007B1BC1"/>
    <w:rsid w:val="007C4373"/>
    <w:rsid w:val="007C62EB"/>
    <w:rsid w:val="007D6E2E"/>
    <w:rsid w:val="007F1393"/>
    <w:rsid w:val="007F24D5"/>
    <w:rsid w:val="00827FC7"/>
    <w:rsid w:val="00841F02"/>
    <w:rsid w:val="008958B6"/>
    <w:rsid w:val="008A3AC3"/>
    <w:rsid w:val="008B522D"/>
    <w:rsid w:val="008C4254"/>
    <w:rsid w:val="008D3A0F"/>
    <w:rsid w:val="0092080F"/>
    <w:rsid w:val="009215DA"/>
    <w:rsid w:val="00922BCE"/>
    <w:rsid w:val="00956675"/>
    <w:rsid w:val="009A0343"/>
    <w:rsid w:val="009B3366"/>
    <w:rsid w:val="009C156C"/>
    <w:rsid w:val="009C73D4"/>
    <w:rsid w:val="009D0021"/>
    <w:rsid w:val="009F7500"/>
    <w:rsid w:val="00A33320"/>
    <w:rsid w:val="00A77C83"/>
    <w:rsid w:val="00AE4EDA"/>
    <w:rsid w:val="00AF3C36"/>
    <w:rsid w:val="00B13CFC"/>
    <w:rsid w:val="00B33329"/>
    <w:rsid w:val="00B45F1C"/>
    <w:rsid w:val="00B61227"/>
    <w:rsid w:val="00B722FA"/>
    <w:rsid w:val="00B9692B"/>
    <w:rsid w:val="00BA31DA"/>
    <w:rsid w:val="00BC36F2"/>
    <w:rsid w:val="00C02329"/>
    <w:rsid w:val="00C45A5E"/>
    <w:rsid w:val="00C476F2"/>
    <w:rsid w:val="00C568CB"/>
    <w:rsid w:val="00C5794A"/>
    <w:rsid w:val="00C67354"/>
    <w:rsid w:val="00CB4B17"/>
    <w:rsid w:val="00D16D04"/>
    <w:rsid w:val="00D33746"/>
    <w:rsid w:val="00DB1676"/>
    <w:rsid w:val="00DD2DCA"/>
    <w:rsid w:val="00DD47D9"/>
    <w:rsid w:val="00DE5120"/>
    <w:rsid w:val="00E13497"/>
    <w:rsid w:val="00E307DA"/>
    <w:rsid w:val="00E42AFE"/>
    <w:rsid w:val="00E87857"/>
    <w:rsid w:val="00E929C2"/>
    <w:rsid w:val="00F070DB"/>
    <w:rsid w:val="00F34985"/>
    <w:rsid w:val="00F43DB5"/>
    <w:rsid w:val="00F45AD3"/>
    <w:rsid w:val="00F87349"/>
    <w:rsid w:val="00FA4AC1"/>
    <w:rsid w:val="00FD0428"/>
    <w:rsid w:val="00FD0FBE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4CF7B0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7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B5246-1BFC-45A9-9CA5-D0D5A2BC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Kohnenkamp</dc:creator>
  <cp:lastModifiedBy>Víctor Coronado</cp:lastModifiedBy>
  <cp:revision>2</cp:revision>
  <dcterms:created xsi:type="dcterms:W3CDTF">2018-05-18T15:23:00Z</dcterms:created>
  <dcterms:modified xsi:type="dcterms:W3CDTF">2018-05-18T15:23:00Z</dcterms:modified>
</cp:coreProperties>
</file>