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0F" w:rsidRDefault="0092080F" w:rsidP="0092080F">
      <w:pPr>
        <w:pStyle w:val="Ttulo1"/>
      </w:pPr>
      <w:r>
        <w:t>Mantenimiento Evolutivo</w:t>
      </w:r>
    </w:p>
    <w:tbl>
      <w:tblPr>
        <w:tblW w:w="9923"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502"/>
      </w:tblGrid>
      <w:tr w:rsidR="0092080F" w:rsidRPr="006C1842" w:rsidTr="004848DB">
        <w:trPr>
          <w:trHeight w:val="390"/>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rsidTr="004848DB">
        <w:tc>
          <w:tcPr>
            <w:tcW w:w="9923" w:type="dxa"/>
            <w:gridSpan w:val="2"/>
            <w:shd w:val="clear" w:color="auto" w:fill="auto"/>
            <w:vAlign w:val="center"/>
          </w:tcPr>
          <w:p w:rsidR="0092080F" w:rsidRDefault="0092080F" w:rsidP="00A414E8">
            <w:pPr>
              <w:jc w:val="both"/>
              <w:rPr>
                <w:rFonts w:ascii="Garamond" w:hAnsi="Garamond"/>
                <w:b/>
                <w:sz w:val="24"/>
                <w:szCs w:val="24"/>
                <w:lang w:val="es-ES"/>
              </w:rPr>
            </w:pPr>
            <w:r>
              <w:rPr>
                <w:rFonts w:ascii="Garamond" w:hAnsi="Garamond"/>
                <w:b/>
                <w:sz w:val="24"/>
                <w:szCs w:val="24"/>
                <w:lang w:val="es-ES"/>
              </w:rPr>
              <w:t>Contratante:</w:t>
            </w:r>
            <w:r w:rsidR="007A43A9">
              <w:rPr>
                <w:rFonts w:ascii="Garamond" w:hAnsi="Garamond"/>
                <w:b/>
                <w:sz w:val="24"/>
                <w:szCs w:val="24"/>
                <w:lang w:val="es-ES"/>
              </w:rPr>
              <w:t xml:space="preserve"> SSMSur</w:t>
            </w:r>
            <w:r>
              <w:rPr>
                <w:rFonts w:ascii="Garamond" w:hAnsi="Garamond"/>
                <w:b/>
                <w:sz w:val="24"/>
                <w:szCs w:val="24"/>
                <w:lang w:val="es-ES"/>
              </w:rPr>
              <w:t xml:space="preserve"> </w:t>
            </w:r>
          </w:p>
        </w:tc>
      </w:tr>
      <w:tr w:rsidR="0092080F" w:rsidRPr="006C1842" w:rsidTr="004848DB">
        <w:tc>
          <w:tcPr>
            <w:tcW w:w="9923" w:type="dxa"/>
            <w:gridSpan w:val="2"/>
            <w:shd w:val="clear" w:color="auto" w:fill="auto"/>
            <w:vAlign w:val="center"/>
          </w:tcPr>
          <w:p w:rsidR="0092080F" w:rsidRDefault="0092080F" w:rsidP="00A414E8">
            <w:pPr>
              <w:jc w:val="both"/>
              <w:rPr>
                <w:rFonts w:ascii="Garamond" w:hAnsi="Garamond"/>
                <w:b/>
                <w:sz w:val="24"/>
                <w:szCs w:val="24"/>
                <w:lang w:val="es-ES"/>
              </w:rPr>
            </w:pPr>
            <w:r>
              <w:rPr>
                <w:rFonts w:ascii="Garamond" w:hAnsi="Garamond"/>
                <w:b/>
                <w:sz w:val="24"/>
                <w:szCs w:val="24"/>
                <w:lang w:val="es-ES"/>
              </w:rPr>
              <w:t xml:space="preserve">Documento Ordinario N°: </w:t>
            </w:r>
            <w:r w:rsidR="00A414E8">
              <w:rPr>
                <w:rFonts w:ascii="Garamond" w:hAnsi="Garamond"/>
                <w:b/>
                <w:sz w:val="24"/>
                <w:szCs w:val="24"/>
                <w:lang w:val="es-ES"/>
              </w:rPr>
              <w:t>(Solo si aplica)</w:t>
            </w:r>
          </w:p>
        </w:tc>
      </w:tr>
      <w:tr w:rsidR="0092080F" w:rsidRPr="006C1842" w:rsidTr="004848DB">
        <w:tc>
          <w:tcPr>
            <w:tcW w:w="9923" w:type="dxa"/>
            <w:gridSpan w:val="2"/>
            <w:shd w:val="clear" w:color="auto" w:fill="auto"/>
            <w:vAlign w:val="center"/>
          </w:tcPr>
          <w:p w:rsidR="0092080F" w:rsidRPr="002703A5" w:rsidRDefault="0092080F" w:rsidP="00A414E8">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7A43A9">
              <w:rPr>
                <w:rFonts w:ascii="Garamond" w:hAnsi="Garamond"/>
                <w:b/>
                <w:sz w:val="24"/>
                <w:szCs w:val="24"/>
                <w:lang w:val="es-ES"/>
              </w:rPr>
              <w:t>Juan Pablo Urzúa</w:t>
            </w:r>
          </w:p>
        </w:tc>
      </w:tr>
      <w:tr w:rsidR="0092080F" w:rsidRPr="006C1842" w:rsidTr="004848DB">
        <w:trPr>
          <w:trHeight w:val="1461"/>
        </w:trPr>
        <w:tc>
          <w:tcPr>
            <w:tcW w:w="9923" w:type="dxa"/>
            <w:gridSpan w:val="2"/>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 xml:space="preserve">Sistema Utilizado </w:t>
            </w:r>
          </w:p>
          <w:tbl>
            <w:tblPr>
              <w:tblW w:w="9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04"/>
              <w:gridCol w:w="1307"/>
              <w:gridCol w:w="253"/>
              <w:gridCol w:w="1180"/>
              <w:gridCol w:w="258"/>
              <w:gridCol w:w="1264"/>
              <w:gridCol w:w="253"/>
              <w:gridCol w:w="1575"/>
              <w:gridCol w:w="280"/>
              <w:gridCol w:w="1085"/>
            </w:tblGrid>
            <w:tr w:rsidR="0092080F" w:rsidRPr="002A56B9" w:rsidTr="00E42AFE">
              <w:trPr>
                <w:trHeight w:val="292"/>
              </w:trPr>
              <w:tc>
                <w:tcPr>
                  <w:tcW w:w="1242" w:type="dxa"/>
                  <w:tcBorders>
                    <w:top w:val="nil"/>
                    <w:left w:val="nil"/>
                    <w:bottom w:val="single" w:sz="4" w:space="0" w:color="auto"/>
                    <w:right w:val="nil"/>
                  </w:tcBorders>
                  <w:hideMark/>
                </w:tcPr>
                <w:p w:rsidR="0092080F" w:rsidRPr="000F1B9E" w:rsidRDefault="001041F5" w:rsidP="00D267E6">
                  <w:pPr>
                    <w:jc w:val="center"/>
                    <w:rPr>
                      <w:rFonts w:ascii="Garamond" w:hAnsi="Garamond"/>
                      <w:b/>
                      <w:sz w:val="18"/>
                      <w:szCs w:val="18"/>
                      <w:lang w:val="es-ES"/>
                    </w:rPr>
                  </w:pPr>
                  <w:r>
                    <w:rPr>
                      <w:rFonts w:ascii="Garamond" w:hAnsi="Garamond"/>
                      <w:b/>
                      <w:sz w:val="18"/>
                      <w:szCs w:val="18"/>
                      <w:lang w:val="es-ES"/>
                    </w:rPr>
                    <w:t>PORTAL</w:t>
                  </w:r>
                </w:p>
              </w:tc>
              <w:tc>
                <w:tcPr>
                  <w:tcW w:w="304" w:type="dxa"/>
                  <w:tcBorders>
                    <w:top w:val="nil"/>
                    <w:left w:val="nil"/>
                    <w:bottom w:val="nil"/>
                    <w:right w:val="nil"/>
                  </w:tcBorders>
                </w:tcPr>
                <w:p w:rsidR="0092080F" w:rsidRPr="000F1B9E" w:rsidRDefault="0092080F" w:rsidP="00D267E6">
                  <w:pPr>
                    <w:jc w:val="center"/>
                    <w:rPr>
                      <w:rFonts w:ascii="Goudy Old Style" w:hAnsi="Goudy Old Style"/>
                      <w:sz w:val="18"/>
                      <w:szCs w:val="18"/>
                      <w:lang w:val="es-ES"/>
                    </w:rPr>
                  </w:pPr>
                </w:p>
              </w:tc>
              <w:tc>
                <w:tcPr>
                  <w:tcW w:w="1307" w:type="dxa"/>
                  <w:tcBorders>
                    <w:top w:val="nil"/>
                    <w:left w:val="nil"/>
                    <w:bottom w:val="single" w:sz="4" w:space="0" w:color="auto"/>
                    <w:right w:val="nil"/>
                  </w:tcBorders>
                  <w:hideMark/>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180" w:type="dxa"/>
                  <w:tcBorders>
                    <w:top w:val="nil"/>
                    <w:left w:val="nil"/>
                    <w:bottom w:val="single" w:sz="4" w:space="0" w:color="auto"/>
                    <w:right w:val="nil"/>
                  </w:tcBorders>
                </w:tcPr>
                <w:p w:rsidR="0092080F" w:rsidRPr="000F1B9E" w:rsidRDefault="0092080F" w:rsidP="00D267E6">
                  <w:pPr>
                    <w:jc w:val="center"/>
                    <w:rPr>
                      <w:sz w:val="18"/>
                      <w:szCs w:val="18"/>
                      <w:lang w:val="es-ES"/>
                    </w:rPr>
                  </w:pPr>
                  <w:r w:rsidRPr="000F1B9E">
                    <w:rPr>
                      <w:rFonts w:ascii="Garamond" w:hAnsi="Garamond"/>
                      <w:b/>
                      <w:sz w:val="18"/>
                      <w:szCs w:val="18"/>
                      <w:lang w:val="es-ES"/>
                    </w:rPr>
                    <w:t>MI SALUD</w:t>
                  </w:r>
                </w:p>
              </w:tc>
              <w:tc>
                <w:tcPr>
                  <w:tcW w:w="258" w:type="dxa"/>
                  <w:tcBorders>
                    <w:top w:val="nil"/>
                    <w:left w:val="nil"/>
                    <w:bottom w:val="nil"/>
                    <w:right w:val="nil"/>
                  </w:tcBorders>
                </w:tcPr>
                <w:p w:rsidR="0092080F" w:rsidRPr="000F1B9E" w:rsidRDefault="0092080F" w:rsidP="00D267E6">
                  <w:pPr>
                    <w:jc w:val="center"/>
                    <w:rPr>
                      <w:sz w:val="18"/>
                      <w:szCs w:val="18"/>
                      <w:lang w:val="es-ES"/>
                    </w:rPr>
                  </w:pPr>
                </w:p>
              </w:tc>
              <w:tc>
                <w:tcPr>
                  <w:tcW w:w="1264"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Pr>
                      <w:rFonts w:ascii="Garamond" w:hAnsi="Garamond"/>
                      <w:b/>
                      <w:sz w:val="18"/>
                      <w:szCs w:val="18"/>
                      <w:lang w:val="es-ES"/>
                    </w:rPr>
                    <w:t>IRIS</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57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280" w:type="dxa"/>
                  <w:tcBorders>
                    <w:top w:val="nil"/>
                    <w:left w:val="nil"/>
                    <w:bottom w:val="nil"/>
                    <w:right w:val="nil"/>
                  </w:tcBorders>
                </w:tcPr>
                <w:p w:rsidR="0092080F" w:rsidRPr="000F1B9E" w:rsidRDefault="0092080F" w:rsidP="00D267E6">
                  <w:pPr>
                    <w:jc w:val="center"/>
                    <w:rPr>
                      <w:sz w:val="18"/>
                      <w:szCs w:val="18"/>
                      <w:lang w:val="es-ES"/>
                    </w:rPr>
                  </w:pPr>
                </w:p>
              </w:tc>
              <w:tc>
                <w:tcPr>
                  <w:tcW w:w="108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RNI</w:t>
                  </w:r>
                </w:p>
              </w:tc>
            </w:tr>
            <w:tr w:rsidR="0092080F" w:rsidRPr="002A56B9" w:rsidTr="00E42AFE">
              <w:trPr>
                <w:trHeight w:val="347"/>
              </w:trPr>
              <w:tc>
                <w:tcPr>
                  <w:tcW w:w="1242" w:type="dxa"/>
                  <w:tcBorders>
                    <w:top w:val="single" w:sz="4" w:space="0" w:color="auto"/>
                    <w:left w:val="single" w:sz="4" w:space="0" w:color="auto"/>
                    <w:bottom w:val="single" w:sz="4" w:space="0" w:color="auto"/>
                    <w:right w:val="single" w:sz="4" w:space="0" w:color="auto"/>
                  </w:tcBorders>
                  <w:hideMark/>
                </w:tcPr>
                <w:p w:rsidR="0092080F" w:rsidRPr="002A56B9" w:rsidRDefault="001041F5" w:rsidP="001041F5">
                  <w:pPr>
                    <w:jc w:val="center"/>
                    <w:rPr>
                      <w:rFonts w:ascii="Goudy Old Style" w:hAnsi="Goudy Old Style"/>
                      <w:sz w:val="24"/>
                      <w:szCs w:val="24"/>
                      <w:lang w:val="es-ES"/>
                    </w:rPr>
                  </w:pPr>
                  <w:r>
                    <w:rPr>
                      <w:rFonts w:ascii="Goudy Old Style" w:hAnsi="Goudy Old Style"/>
                      <w:sz w:val="24"/>
                      <w:szCs w:val="24"/>
                      <w:lang w:val="es-ES"/>
                    </w:rPr>
                    <w:t>X</w:t>
                  </w:r>
                </w:p>
              </w:tc>
              <w:tc>
                <w:tcPr>
                  <w:tcW w:w="304"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14"/>
                      <w:szCs w:val="14"/>
                      <w:lang w:val="es-ES"/>
                    </w:rPr>
                  </w:pPr>
                </w:p>
              </w:tc>
              <w:tc>
                <w:tcPr>
                  <w:tcW w:w="1307"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180"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8"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264"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57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80"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08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r>
          </w:tbl>
          <w:p w:rsidR="0092080F" w:rsidRPr="00DB00C9" w:rsidRDefault="0092080F" w:rsidP="00D267E6">
            <w:pPr>
              <w:rPr>
                <w:rFonts w:ascii="Garamond" w:hAnsi="Garamond"/>
                <w:b/>
                <w:sz w:val="24"/>
                <w:szCs w:val="24"/>
                <w:lang w:val="es-ES"/>
              </w:rPr>
            </w:pPr>
          </w:p>
        </w:tc>
      </w:tr>
      <w:tr w:rsidR="0092080F" w:rsidRPr="006C1842" w:rsidTr="004848DB">
        <w:tc>
          <w:tcPr>
            <w:tcW w:w="9923" w:type="dxa"/>
            <w:gridSpan w:val="2"/>
            <w:shd w:val="clear" w:color="auto" w:fill="6DA92D" w:themeFill="text2" w:themeFillShade="BF"/>
            <w:hideMark/>
          </w:tcPr>
          <w:p w:rsidR="0092080F" w:rsidRPr="007A43A9" w:rsidRDefault="0092080F" w:rsidP="00D267E6">
            <w:r w:rsidRPr="007A43A9">
              <w:t>Descripción De Solicitud:</w:t>
            </w:r>
          </w:p>
        </w:tc>
      </w:tr>
      <w:tr w:rsidR="0092080F" w:rsidRPr="006C1842" w:rsidTr="004848DB">
        <w:trPr>
          <w:trHeight w:val="2835"/>
        </w:trPr>
        <w:tc>
          <w:tcPr>
            <w:tcW w:w="9923" w:type="dxa"/>
            <w:gridSpan w:val="2"/>
            <w:shd w:val="clear" w:color="auto" w:fill="auto"/>
          </w:tcPr>
          <w:p w:rsidR="00A36D15" w:rsidRPr="007A43A9" w:rsidRDefault="00A36D15" w:rsidP="00A36D15">
            <w:pPr>
              <w:spacing w:after="0" w:line="240" w:lineRule="auto"/>
            </w:pPr>
          </w:p>
          <w:p w:rsidR="00A36D15" w:rsidRPr="007A43A9" w:rsidRDefault="007A43A9" w:rsidP="00A36D15">
            <w:pPr>
              <w:spacing w:after="0" w:line="240" w:lineRule="auto"/>
            </w:pPr>
            <w:r w:rsidRPr="007A43A9">
              <w:t>Se solicita que el Visor Salud de Te Integra, funcione de igual forma como está creado el Portal de HEC.</w:t>
            </w:r>
          </w:p>
          <w:p w:rsidR="007A43A9" w:rsidRPr="007A43A9" w:rsidRDefault="007A43A9" w:rsidP="00A36D15">
            <w:pPr>
              <w:spacing w:after="0" w:line="240" w:lineRule="auto"/>
            </w:pPr>
          </w:p>
          <w:p w:rsidR="007A43A9" w:rsidRPr="007A43A9" w:rsidRDefault="007A43A9" w:rsidP="00A36D15">
            <w:pPr>
              <w:spacing w:after="0" w:line="240" w:lineRule="auto"/>
            </w:pPr>
            <w:r w:rsidRPr="007A43A9">
              <w:t>Lo anterior, para utilizar esta herramienta como perfil de auditoria, sin que se ocupe una licencia y se pueda revisar el historial de un paciente.</w:t>
            </w:r>
          </w:p>
          <w:p w:rsidR="0092080F" w:rsidRPr="007A43A9" w:rsidRDefault="0092080F" w:rsidP="00D267E6"/>
          <w:p w:rsidR="007A43A9" w:rsidRPr="007A43A9" w:rsidRDefault="007A43A9" w:rsidP="00D267E6">
            <w:r w:rsidRPr="007A43A9">
              <w:rPr>
                <w:noProof/>
                <w:lang w:val="es-CL" w:eastAsia="es-CL"/>
              </w:rPr>
              <w:drawing>
                <wp:inline distT="0" distB="0" distL="0" distR="0">
                  <wp:extent cx="4438650" cy="1524000"/>
                  <wp:effectExtent l="0" t="0" r="0" b="0"/>
                  <wp:docPr id="4" name="Imagen 4" descr="cid:image002.jpg@01D47B39.977DE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47B39.977DE6B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38650" cy="1524000"/>
                          </a:xfrm>
                          <a:prstGeom prst="rect">
                            <a:avLst/>
                          </a:prstGeom>
                          <a:noFill/>
                          <a:ln>
                            <a:noFill/>
                          </a:ln>
                        </pic:spPr>
                      </pic:pic>
                    </a:graphicData>
                  </a:graphic>
                </wp:inline>
              </w:drawing>
            </w:r>
          </w:p>
          <w:p w:rsidR="0092080F" w:rsidRPr="007A43A9" w:rsidRDefault="0092080F" w:rsidP="00D267E6"/>
          <w:p w:rsidR="007A43A9" w:rsidRDefault="007A43A9" w:rsidP="007A43A9">
            <w:r>
              <w:t>Según el esquema de la página 290 de la Oferta Técnica, se mencionan diversos RCE, sin embargo, para este caso solo se necesita acceder a lo registrado en Rayen y a la información de AVIS y TrackCare, que será migrada al Salud Te Integra.</w:t>
            </w:r>
          </w:p>
          <w:p w:rsidR="007A43A9" w:rsidRDefault="007A43A9" w:rsidP="007A43A9">
            <w:r>
              <w:t>Esto último, está en proceso de inicio de actividad con el equipo de Integraciones.</w:t>
            </w:r>
          </w:p>
          <w:p w:rsidR="007A43A9" w:rsidRPr="007A43A9" w:rsidRDefault="007A43A9" w:rsidP="00D267E6"/>
          <w:p w:rsidR="0092080F" w:rsidRPr="007A43A9" w:rsidRDefault="0092080F" w:rsidP="00D267E6"/>
          <w:p w:rsidR="0092080F" w:rsidRPr="007A43A9" w:rsidRDefault="0092080F" w:rsidP="00D267E6"/>
          <w:p w:rsidR="0092080F" w:rsidRPr="007A43A9" w:rsidRDefault="0092080F" w:rsidP="00D267E6"/>
          <w:p w:rsidR="0092080F" w:rsidRPr="007A43A9" w:rsidRDefault="0092080F" w:rsidP="00D267E6"/>
        </w:tc>
      </w:tr>
      <w:tr w:rsidR="0092080F" w:rsidRPr="006C1842" w:rsidTr="004848DB">
        <w:trPr>
          <w:trHeight w:val="272"/>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lastRenderedPageBreak/>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rsidTr="004848DB">
        <w:trPr>
          <w:trHeight w:val="2835"/>
        </w:trPr>
        <w:tc>
          <w:tcPr>
            <w:tcW w:w="9923" w:type="dxa"/>
            <w:gridSpan w:val="2"/>
            <w:shd w:val="clear" w:color="auto" w:fill="auto"/>
          </w:tcPr>
          <w:p w:rsidR="0092080F" w:rsidRDefault="0092080F" w:rsidP="00D267E6">
            <w:pPr>
              <w:rPr>
                <w:rFonts w:ascii="Garamond" w:hAnsi="Garamond"/>
                <w:sz w:val="24"/>
                <w:szCs w:val="24"/>
                <w:lang w:val="es-ES"/>
              </w:rPr>
            </w:pPr>
          </w:p>
          <w:p w:rsidR="0092080F" w:rsidRPr="007A43A9" w:rsidRDefault="007A43A9" w:rsidP="00D267E6">
            <w:r w:rsidRPr="007A43A9">
              <w:t xml:space="preserve">Dar cuenta de un </w:t>
            </w:r>
            <w:r>
              <w:t>perfil de Observador/Auditor de Historia Clínica.</w:t>
            </w:r>
          </w:p>
          <w:p w:rsidR="0092080F" w:rsidRDefault="0092080F" w:rsidP="00D267E6">
            <w:pPr>
              <w:rPr>
                <w:rFonts w:ascii="Garamond" w:hAnsi="Garamond"/>
                <w:sz w:val="24"/>
                <w:szCs w:val="24"/>
              </w:rPr>
            </w:pPr>
          </w:p>
          <w:p w:rsidR="00E42AFE" w:rsidRPr="006C1842" w:rsidRDefault="00E42AFE" w:rsidP="00D267E6">
            <w:pPr>
              <w:rPr>
                <w:rFonts w:ascii="Garamond" w:hAnsi="Garamond"/>
                <w:sz w:val="24"/>
                <w:szCs w:val="24"/>
              </w:rPr>
            </w:pPr>
          </w:p>
        </w:tc>
      </w:tr>
      <w:tr w:rsidR="0092080F" w:rsidRPr="006C1842" w:rsidTr="004848DB">
        <w:tc>
          <w:tcPr>
            <w:tcW w:w="9923" w:type="dxa"/>
            <w:gridSpan w:val="2"/>
            <w:shd w:val="clear" w:color="auto" w:fill="6DA92D" w:themeFill="text2" w:themeFillShade="BF"/>
            <w:hideMark/>
          </w:tcPr>
          <w:p w:rsidR="0092080F" w:rsidRPr="006C1842" w:rsidRDefault="00256CBE"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Estimación de tiempos a alto nivel</w:t>
            </w:r>
            <w:r w:rsidR="0092080F">
              <w:rPr>
                <w:rFonts w:ascii="Garamond" w:hAnsi="Garamond"/>
                <w:b/>
                <w:color w:val="FFFFFF" w:themeColor="background1"/>
                <w:sz w:val="24"/>
                <w:szCs w:val="24"/>
                <w:lang w:val="es-ES"/>
              </w:rPr>
              <w:t>:</w:t>
            </w:r>
          </w:p>
        </w:tc>
      </w:tr>
      <w:tr w:rsidR="0092080F" w:rsidRPr="006C1842" w:rsidTr="004848DB">
        <w:tc>
          <w:tcPr>
            <w:tcW w:w="9923" w:type="dxa"/>
            <w:gridSpan w:val="2"/>
            <w:shd w:val="clear" w:color="auto" w:fill="auto"/>
          </w:tcPr>
          <w:tbl>
            <w:tblPr>
              <w:tblStyle w:val="Tablaconcuadrcula"/>
              <w:tblW w:w="0" w:type="auto"/>
              <w:tblLayout w:type="fixed"/>
              <w:tblLook w:val="04A0" w:firstRow="1" w:lastRow="0" w:firstColumn="1" w:lastColumn="0" w:noHBand="0" w:noVBand="1"/>
            </w:tblPr>
            <w:tblGrid>
              <w:gridCol w:w="7701"/>
              <w:gridCol w:w="1996"/>
            </w:tblGrid>
            <w:tr w:rsidR="00256CBE" w:rsidTr="00B83F96">
              <w:tc>
                <w:tcPr>
                  <w:tcW w:w="7701" w:type="dxa"/>
                </w:tcPr>
                <w:p w:rsidR="00256CBE" w:rsidRDefault="00B83F96" w:rsidP="00D267E6">
                  <w:pPr>
                    <w:rPr>
                      <w:rFonts w:ascii="Garamond" w:hAnsi="Garamond"/>
                      <w:sz w:val="24"/>
                      <w:szCs w:val="24"/>
                    </w:rPr>
                  </w:pPr>
                  <w:r>
                    <w:rPr>
                      <w:rFonts w:ascii="Garamond" w:hAnsi="Garamond"/>
                      <w:sz w:val="24"/>
                      <w:szCs w:val="24"/>
                    </w:rPr>
                    <w:t>Ítem</w:t>
                  </w:r>
                </w:p>
              </w:tc>
              <w:tc>
                <w:tcPr>
                  <w:tcW w:w="1996" w:type="dxa"/>
                </w:tcPr>
                <w:p w:rsidR="00256CBE" w:rsidRDefault="00B83F96" w:rsidP="00D267E6">
                  <w:pPr>
                    <w:rPr>
                      <w:rFonts w:ascii="Garamond" w:hAnsi="Garamond"/>
                      <w:sz w:val="24"/>
                      <w:szCs w:val="24"/>
                    </w:rPr>
                  </w:pPr>
                  <w:r>
                    <w:rPr>
                      <w:rFonts w:ascii="Garamond" w:hAnsi="Garamond"/>
                      <w:sz w:val="24"/>
                      <w:szCs w:val="24"/>
                    </w:rPr>
                    <w:t>Cantidad HH</w:t>
                  </w:r>
                </w:p>
              </w:tc>
            </w:tr>
            <w:tr w:rsidR="00256CBE" w:rsidTr="00B83F96">
              <w:tc>
                <w:tcPr>
                  <w:tcW w:w="7701" w:type="dxa"/>
                </w:tcPr>
                <w:p w:rsidR="00256CBE" w:rsidRDefault="00B83F96" w:rsidP="00B83F96">
                  <w:pPr>
                    <w:rPr>
                      <w:rFonts w:ascii="Garamond" w:hAnsi="Garamond"/>
                      <w:sz w:val="24"/>
                      <w:szCs w:val="24"/>
                    </w:rPr>
                  </w:pPr>
                  <w:r>
                    <w:rPr>
                      <w:rFonts w:ascii="Garamond" w:hAnsi="Garamond"/>
                      <w:sz w:val="24"/>
                      <w:szCs w:val="24"/>
                    </w:rPr>
                    <w:t>Análisis y levantamiento inicial</w:t>
                  </w:r>
                </w:p>
              </w:tc>
              <w:tc>
                <w:tcPr>
                  <w:tcW w:w="1996" w:type="dxa"/>
                </w:tcPr>
                <w:p w:rsidR="00256CBE" w:rsidRDefault="00B83F96" w:rsidP="00B83F96">
                  <w:pPr>
                    <w:jc w:val="center"/>
                    <w:rPr>
                      <w:rFonts w:ascii="Garamond" w:hAnsi="Garamond"/>
                      <w:sz w:val="24"/>
                      <w:szCs w:val="24"/>
                    </w:rPr>
                  </w:pPr>
                  <w:r>
                    <w:rPr>
                      <w:rFonts w:ascii="Garamond" w:hAnsi="Garamond"/>
                      <w:sz w:val="24"/>
                      <w:szCs w:val="24"/>
                    </w:rPr>
                    <w:t>12</w:t>
                  </w:r>
                </w:p>
              </w:tc>
            </w:tr>
            <w:tr w:rsidR="00256CBE" w:rsidTr="00B83F96">
              <w:tc>
                <w:tcPr>
                  <w:tcW w:w="7701" w:type="dxa"/>
                </w:tcPr>
                <w:p w:rsidR="00256CBE" w:rsidRDefault="00B83F96" w:rsidP="00D267E6">
                  <w:pPr>
                    <w:rPr>
                      <w:rFonts w:ascii="Garamond" w:hAnsi="Garamond"/>
                      <w:sz w:val="24"/>
                      <w:szCs w:val="24"/>
                    </w:rPr>
                  </w:pPr>
                  <w:r>
                    <w:rPr>
                      <w:rFonts w:ascii="Garamond" w:hAnsi="Garamond"/>
                      <w:sz w:val="24"/>
                      <w:szCs w:val="24"/>
                    </w:rPr>
                    <w:t>Preparación de ambiente, clonación de proyectos Back y Front</w:t>
                  </w:r>
                </w:p>
              </w:tc>
              <w:tc>
                <w:tcPr>
                  <w:tcW w:w="1996" w:type="dxa"/>
                </w:tcPr>
                <w:p w:rsidR="00256CBE" w:rsidRDefault="00B83F96" w:rsidP="00B83F96">
                  <w:pPr>
                    <w:jc w:val="center"/>
                    <w:rPr>
                      <w:rFonts w:ascii="Garamond" w:hAnsi="Garamond"/>
                      <w:sz w:val="24"/>
                      <w:szCs w:val="24"/>
                    </w:rPr>
                  </w:pPr>
                  <w:r>
                    <w:rPr>
                      <w:rFonts w:ascii="Garamond" w:hAnsi="Garamond"/>
                      <w:sz w:val="24"/>
                      <w:szCs w:val="24"/>
                    </w:rPr>
                    <w:t>8</w:t>
                  </w:r>
                </w:p>
              </w:tc>
            </w:tr>
            <w:tr w:rsidR="00256CBE" w:rsidTr="00B83F96">
              <w:tc>
                <w:tcPr>
                  <w:tcW w:w="7701" w:type="dxa"/>
                </w:tcPr>
                <w:p w:rsidR="00256CBE" w:rsidRDefault="00B83F96" w:rsidP="00D267E6">
                  <w:pPr>
                    <w:rPr>
                      <w:rFonts w:ascii="Garamond" w:hAnsi="Garamond"/>
                      <w:sz w:val="24"/>
                      <w:szCs w:val="24"/>
                    </w:rPr>
                  </w:pPr>
                  <w:r>
                    <w:rPr>
                      <w:rFonts w:ascii="Garamond" w:hAnsi="Garamond"/>
                      <w:sz w:val="24"/>
                      <w:szCs w:val="24"/>
                    </w:rPr>
                    <w:t>Modificación de los componentes del back End y front end para agregar token de autentificación (actualmente no tiene ya que fue realizado antes de la norma)</w:t>
                  </w:r>
                </w:p>
              </w:tc>
              <w:tc>
                <w:tcPr>
                  <w:tcW w:w="1996" w:type="dxa"/>
                </w:tcPr>
                <w:p w:rsidR="00256CBE" w:rsidRDefault="00B83F96" w:rsidP="00B83F96">
                  <w:pPr>
                    <w:jc w:val="center"/>
                    <w:rPr>
                      <w:rFonts w:ascii="Garamond" w:hAnsi="Garamond"/>
                      <w:sz w:val="24"/>
                      <w:szCs w:val="24"/>
                    </w:rPr>
                  </w:pPr>
                  <w:r>
                    <w:rPr>
                      <w:rFonts w:ascii="Garamond" w:hAnsi="Garamond"/>
                      <w:sz w:val="24"/>
                      <w:szCs w:val="24"/>
                    </w:rPr>
                    <w:t>12</w:t>
                  </w:r>
                </w:p>
              </w:tc>
            </w:tr>
            <w:tr w:rsidR="00256CBE" w:rsidTr="00B83F96">
              <w:tc>
                <w:tcPr>
                  <w:tcW w:w="7701" w:type="dxa"/>
                </w:tcPr>
                <w:p w:rsidR="00256CBE" w:rsidRDefault="00B83F96" w:rsidP="00D267E6">
                  <w:pPr>
                    <w:rPr>
                      <w:rFonts w:ascii="Garamond" w:hAnsi="Garamond"/>
                      <w:sz w:val="24"/>
                      <w:szCs w:val="24"/>
                    </w:rPr>
                  </w:pPr>
                  <w:r>
                    <w:rPr>
                      <w:rFonts w:ascii="Garamond" w:hAnsi="Garamond"/>
                      <w:sz w:val="24"/>
                      <w:szCs w:val="24"/>
                    </w:rPr>
                    <w:t>Modificación de los componentes Back End y Front End para mostrar, procesar y adjuntar los distintos repositorios de información</w:t>
                  </w:r>
                </w:p>
              </w:tc>
              <w:tc>
                <w:tcPr>
                  <w:tcW w:w="1996" w:type="dxa"/>
                </w:tcPr>
                <w:p w:rsidR="00256CBE" w:rsidRDefault="00B83F96" w:rsidP="00B83F96">
                  <w:pPr>
                    <w:jc w:val="center"/>
                    <w:rPr>
                      <w:rFonts w:ascii="Garamond" w:hAnsi="Garamond"/>
                      <w:sz w:val="24"/>
                      <w:szCs w:val="24"/>
                    </w:rPr>
                  </w:pPr>
                  <w:r>
                    <w:rPr>
                      <w:rFonts w:ascii="Garamond" w:hAnsi="Garamond"/>
                      <w:sz w:val="24"/>
                      <w:szCs w:val="24"/>
                    </w:rPr>
                    <w:t>24</w:t>
                  </w:r>
                </w:p>
              </w:tc>
            </w:tr>
            <w:tr w:rsidR="00256CBE" w:rsidTr="00B83F96">
              <w:tc>
                <w:tcPr>
                  <w:tcW w:w="7701" w:type="dxa"/>
                </w:tcPr>
                <w:p w:rsidR="00256CBE" w:rsidRDefault="00B83F96" w:rsidP="00D267E6">
                  <w:pPr>
                    <w:rPr>
                      <w:rFonts w:ascii="Garamond" w:hAnsi="Garamond"/>
                      <w:sz w:val="24"/>
                      <w:szCs w:val="24"/>
                    </w:rPr>
                  </w:pPr>
                  <w:r>
                    <w:rPr>
                      <w:rFonts w:ascii="Garamond" w:hAnsi="Garamond"/>
                      <w:sz w:val="24"/>
                      <w:szCs w:val="24"/>
                    </w:rPr>
                    <w:t>Pruebas Unitarias</w:t>
                  </w:r>
                </w:p>
              </w:tc>
              <w:tc>
                <w:tcPr>
                  <w:tcW w:w="1996" w:type="dxa"/>
                </w:tcPr>
                <w:p w:rsidR="00256CBE" w:rsidRDefault="00B83F96" w:rsidP="00B83F96">
                  <w:pPr>
                    <w:jc w:val="center"/>
                    <w:rPr>
                      <w:rFonts w:ascii="Garamond" w:hAnsi="Garamond"/>
                      <w:sz w:val="24"/>
                      <w:szCs w:val="24"/>
                    </w:rPr>
                  </w:pPr>
                  <w:r>
                    <w:rPr>
                      <w:rFonts w:ascii="Garamond" w:hAnsi="Garamond"/>
                      <w:sz w:val="24"/>
                      <w:szCs w:val="24"/>
                    </w:rPr>
                    <w:t>8</w:t>
                  </w:r>
                </w:p>
              </w:tc>
            </w:tr>
            <w:tr w:rsidR="00B83F96" w:rsidTr="00B83F96">
              <w:tc>
                <w:tcPr>
                  <w:tcW w:w="7701" w:type="dxa"/>
                </w:tcPr>
                <w:p w:rsidR="00B83F96" w:rsidRDefault="00B83F96" w:rsidP="00D267E6">
                  <w:pPr>
                    <w:rPr>
                      <w:rFonts w:ascii="Garamond" w:hAnsi="Garamond"/>
                      <w:sz w:val="24"/>
                      <w:szCs w:val="24"/>
                    </w:rPr>
                  </w:pPr>
                  <w:r>
                    <w:rPr>
                      <w:rFonts w:ascii="Garamond" w:hAnsi="Garamond"/>
                      <w:sz w:val="24"/>
                      <w:szCs w:val="24"/>
                    </w:rPr>
                    <w:t>Documentación de entrega y empaquetado</w:t>
                  </w:r>
                </w:p>
              </w:tc>
              <w:tc>
                <w:tcPr>
                  <w:tcW w:w="1996" w:type="dxa"/>
                </w:tcPr>
                <w:p w:rsidR="00B83F96" w:rsidRDefault="00B83F96" w:rsidP="00B83F96">
                  <w:pPr>
                    <w:jc w:val="center"/>
                    <w:rPr>
                      <w:rFonts w:ascii="Garamond" w:hAnsi="Garamond"/>
                      <w:sz w:val="24"/>
                      <w:szCs w:val="24"/>
                    </w:rPr>
                  </w:pPr>
                  <w:r>
                    <w:rPr>
                      <w:rFonts w:ascii="Garamond" w:hAnsi="Garamond"/>
                      <w:sz w:val="24"/>
                      <w:szCs w:val="24"/>
                    </w:rPr>
                    <w:t>8</w:t>
                  </w:r>
                </w:p>
              </w:tc>
            </w:tr>
            <w:tr w:rsidR="00256CBE" w:rsidTr="00B83F96">
              <w:tc>
                <w:tcPr>
                  <w:tcW w:w="7701" w:type="dxa"/>
                </w:tcPr>
                <w:p w:rsidR="00256CBE" w:rsidRPr="00B83F96" w:rsidRDefault="00B83F96" w:rsidP="00D267E6">
                  <w:pPr>
                    <w:rPr>
                      <w:rFonts w:ascii="Garamond" w:hAnsi="Garamond"/>
                      <w:b/>
                      <w:sz w:val="28"/>
                      <w:szCs w:val="24"/>
                    </w:rPr>
                  </w:pPr>
                  <w:r w:rsidRPr="00B83F96">
                    <w:rPr>
                      <w:rFonts w:ascii="Garamond" w:hAnsi="Garamond"/>
                      <w:b/>
                      <w:sz w:val="28"/>
                      <w:szCs w:val="24"/>
                    </w:rPr>
                    <w:t>Total desarrollo</w:t>
                  </w:r>
                </w:p>
              </w:tc>
              <w:tc>
                <w:tcPr>
                  <w:tcW w:w="1996" w:type="dxa"/>
                </w:tcPr>
                <w:p w:rsidR="00256CBE" w:rsidRPr="00B83F96" w:rsidRDefault="00B83F96" w:rsidP="00B83F96">
                  <w:pPr>
                    <w:jc w:val="center"/>
                    <w:rPr>
                      <w:rFonts w:ascii="Garamond" w:hAnsi="Garamond"/>
                      <w:b/>
                      <w:sz w:val="28"/>
                      <w:szCs w:val="24"/>
                    </w:rPr>
                  </w:pPr>
                  <w:r w:rsidRPr="00B83F96">
                    <w:rPr>
                      <w:rFonts w:ascii="Garamond" w:hAnsi="Garamond"/>
                      <w:b/>
                      <w:sz w:val="28"/>
                      <w:szCs w:val="24"/>
                    </w:rPr>
                    <w:t>72</w:t>
                  </w:r>
                </w:p>
              </w:tc>
            </w:tr>
          </w:tbl>
          <w:p w:rsidR="0092080F" w:rsidRPr="00256CBE" w:rsidRDefault="00B83F96" w:rsidP="00D267E6">
            <w:pPr>
              <w:rPr>
                <w:rFonts w:ascii="Garamond" w:hAnsi="Garamond"/>
                <w:sz w:val="24"/>
                <w:szCs w:val="24"/>
              </w:rPr>
            </w:pPr>
            <w:r>
              <w:rPr>
                <w:rFonts w:ascii="Garamond" w:hAnsi="Garamond"/>
                <w:sz w:val="24"/>
                <w:szCs w:val="24"/>
              </w:rPr>
              <w:t xml:space="preserve"> </w:t>
            </w:r>
            <w:r w:rsidRPr="00B83F96">
              <w:rPr>
                <w:rFonts w:ascii="Garamond" w:hAnsi="Garamond"/>
                <w:sz w:val="24"/>
                <w:szCs w:val="24"/>
                <w:highlight w:val="yellow"/>
              </w:rPr>
              <w:t>Alberto, estas horas son sólo de desarrollo con dedicación al 100%, considerar los temas de integración, CM, QA.</w:t>
            </w:r>
            <w:bookmarkStart w:id="0" w:name="_GoBack"/>
            <w:bookmarkEnd w:id="0"/>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Default="00A36D15" w:rsidP="00A36D15">
            <w:pPr>
              <w:spacing w:after="0" w:line="240" w:lineRule="auto"/>
              <w:rPr>
                <w:rFonts w:ascii="Arial" w:eastAsia="Times New Roman" w:hAnsi="Arial" w:cs="Arial"/>
                <w:color w:val="000000"/>
                <w:sz w:val="18"/>
                <w:szCs w:val="18"/>
                <w:lang w:val="es-CL" w:eastAsia="es-CL"/>
              </w:rPr>
            </w:pPr>
          </w:p>
          <w:p w:rsid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Default="00A36D15"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Pr="006C1842" w:rsidRDefault="0092080F" w:rsidP="00D267E6">
            <w:pPr>
              <w:rPr>
                <w:rFonts w:ascii="Garamond" w:hAnsi="Garamond"/>
                <w:sz w:val="24"/>
                <w:szCs w:val="24"/>
                <w:lang w:val="es-ES"/>
              </w:rPr>
            </w:pPr>
          </w:p>
        </w:tc>
      </w:tr>
      <w:tr w:rsidR="0092080F" w:rsidRPr="006C1842" w:rsidTr="004848DB">
        <w:tc>
          <w:tcPr>
            <w:tcW w:w="9923" w:type="dxa"/>
            <w:gridSpan w:val="2"/>
            <w:shd w:val="clear" w:color="auto" w:fill="6DA92D" w:themeFill="text2" w:themeFillShade="BF"/>
          </w:tcPr>
          <w:p w:rsidR="0092080F" w:rsidRPr="00DB00C9" w:rsidRDefault="0092080F" w:rsidP="00F36BBA">
            <w:pPr>
              <w:rPr>
                <w:rFonts w:ascii="Garamond" w:hAnsi="Garamond"/>
                <w:b/>
                <w:sz w:val="24"/>
                <w:szCs w:val="24"/>
                <w:lang w:val="es-ES"/>
              </w:rPr>
            </w:pPr>
            <w:r>
              <w:rPr>
                <w:rFonts w:ascii="Garamond" w:hAnsi="Garamond"/>
                <w:b/>
                <w:color w:val="FFFFFF" w:themeColor="background1"/>
                <w:sz w:val="24"/>
                <w:szCs w:val="24"/>
                <w:lang w:val="es-ES"/>
              </w:rPr>
              <w:lastRenderedPageBreak/>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F36BBA">
              <w:rPr>
                <w:rFonts w:ascii="Garamond" w:hAnsi="Garamond"/>
                <w:b/>
                <w:color w:val="FFFFFF" w:themeColor="background1"/>
                <w:sz w:val="24"/>
                <w:szCs w:val="24"/>
                <w:lang w:val="es-ES"/>
              </w:rPr>
              <w:t>Rayen</w:t>
            </w:r>
            <w:r w:rsidRPr="00DB00C9">
              <w:rPr>
                <w:rFonts w:ascii="Garamond" w:hAnsi="Garamond"/>
                <w:b/>
                <w:color w:val="FFFFFF" w:themeColor="background1"/>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502" w:type="dxa"/>
            <w:shd w:val="clear" w:color="auto" w:fill="auto"/>
          </w:tcPr>
          <w:p w:rsidR="0092080F" w:rsidRPr="006C1842" w:rsidRDefault="0092080F" w:rsidP="00D267E6">
            <w:pPr>
              <w:rPr>
                <w:rFonts w:ascii="Garamond" w:hAnsi="Garamond"/>
                <w:sz w:val="24"/>
                <w:szCs w:val="24"/>
                <w:lang w:val="es-ES"/>
              </w:rPr>
            </w:pPr>
            <w:r>
              <w:rPr>
                <w:rFonts w:ascii="Garamond" w:hAnsi="Garamond"/>
                <w:sz w:val="24"/>
                <w:szCs w:val="24"/>
                <w:lang w:val="es-ES"/>
              </w:rPr>
              <w:t>[</w:t>
            </w:r>
            <w:r w:rsidR="00D60E68">
              <w:rPr>
                <w:rFonts w:ascii="Garamond" w:hAnsi="Garamond"/>
                <w:sz w:val="24"/>
                <w:szCs w:val="24"/>
                <w:lang w:val="es-ES"/>
              </w:rPr>
              <w:t>Si</w:t>
            </w: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502" w:type="dxa"/>
            <w:shd w:val="clear" w:color="auto" w:fill="auto"/>
          </w:tcPr>
          <w:p w:rsidR="0092080F" w:rsidRDefault="0092080F" w:rsidP="00D267E6">
            <w:pPr>
              <w:rPr>
                <w:rFonts w:ascii="Garamond" w:hAnsi="Garamond"/>
                <w:sz w:val="24"/>
                <w:szCs w:val="24"/>
                <w:lang w:val="es-ES"/>
              </w:rPr>
            </w:pPr>
            <w:r>
              <w:rPr>
                <w:rFonts w:ascii="Garamond" w:hAnsi="Garamond"/>
                <w:sz w:val="24"/>
                <w:szCs w:val="24"/>
                <w:lang w:val="es-ES"/>
              </w:rPr>
              <w:t>[</w:t>
            </w:r>
            <w:r w:rsidR="00F36BBA">
              <w:rPr>
                <w:rFonts w:ascii="Garamond" w:hAnsi="Garamond"/>
                <w:sz w:val="24"/>
                <w:szCs w:val="24"/>
                <w:lang w:val="es-ES"/>
              </w:rPr>
              <w:t>Si</w:t>
            </w: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502" w:type="dxa"/>
            <w:shd w:val="clear" w:color="auto" w:fill="auto"/>
          </w:tcPr>
          <w:p w:rsidR="0092080F" w:rsidRDefault="00D60E68" w:rsidP="00F36BBA">
            <w:pPr>
              <w:rPr>
                <w:rFonts w:ascii="Garamond" w:hAnsi="Garamond"/>
                <w:sz w:val="24"/>
                <w:szCs w:val="24"/>
                <w:lang w:val="es-ES"/>
              </w:rPr>
            </w:pPr>
            <w:r>
              <w:rPr>
                <w:rFonts w:ascii="Garamond" w:hAnsi="Garamond"/>
                <w:sz w:val="24"/>
                <w:szCs w:val="24"/>
                <w:lang w:val="es-ES"/>
              </w:rPr>
              <w:t>[</w:t>
            </w:r>
            <w:r w:rsidR="00F36BBA">
              <w:rPr>
                <w:rFonts w:ascii="Garamond" w:hAnsi="Garamond"/>
                <w:sz w:val="24"/>
                <w:szCs w:val="24"/>
                <w:lang w:val="es-ES"/>
              </w:rPr>
              <w:t>Alto</w:t>
            </w:r>
            <w:r w:rsidR="0092080F">
              <w:rPr>
                <w:rFonts w:ascii="Garamond" w:hAnsi="Garamond"/>
                <w:sz w:val="24"/>
                <w:szCs w:val="24"/>
                <w:lang w:val="es-ES"/>
              </w:rPr>
              <w:t>]</w:t>
            </w: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502" w:type="dxa"/>
            <w:shd w:val="clear" w:color="auto" w:fill="auto"/>
          </w:tcPr>
          <w:p w:rsidR="00D60E68" w:rsidRDefault="00256CBE" w:rsidP="00D267E6">
            <w:pPr>
              <w:rPr>
                <w:rFonts w:ascii="Garamond" w:hAnsi="Garamond"/>
                <w:sz w:val="24"/>
                <w:szCs w:val="24"/>
                <w:lang w:val="es-ES"/>
              </w:rPr>
            </w:pPr>
            <w:r>
              <w:rPr>
                <w:rFonts w:ascii="Garamond" w:hAnsi="Garamond"/>
                <w:sz w:val="24"/>
                <w:szCs w:val="24"/>
                <w:lang w:val="es-ES"/>
              </w:rPr>
              <w:t>M</w:t>
            </w:r>
            <w:r w:rsidR="00CB7AFE">
              <w:rPr>
                <w:rFonts w:ascii="Garamond" w:hAnsi="Garamond"/>
                <w:sz w:val="24"/>
                <w:szCs w:val="24"/>
                <w:lang w:val="es-ES"/>
              </w:rPr>
              <w:t xml:space="preserve">ejora el uso y seguimiento de los procesos de auditorías </w:t>
            </w:r>
          </w:p>
          <w:p w:rsidR="0092080F" w:rsidRDefault="0092080F" w:rsidP="00D267E6">
            <w:pPr>
              <w:rPr>
                <w:rFonts w:ascii="Garamond" w:hAnsi="Garamond"/>
                <w:sz w:val="24"/>
                <w:szCs w:val="24"/>
                <w:lang w:val="es-ES"/>
              </w:rPr>
            </w:pPr>
          </w:p>
          <w:p w:rsidR="0092080F" w:rsidRPr="006C1842" w:rsidRDefault="0092080F" w:rsidP="00D267E6">
            <w:pPr>
              <w:rPr>
                <w:rFonts w:ascii="Garamond" w:hAnsi="Garamond"/>
                <w:sz w:val="24"/>
                <w:szCs w:val="24"/>
                <w:lang w:val="es-ES"/>
              </w:rPr>
            </w:pP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502" w:type="dxa"/>
            <w:shd w:val="clear" w:color="auto" w:fill="auto"/>
          </w:tcPr>
          <w:p w:rsidR="0092080F" w:rsidRDefault="00CB7AFE" w:rsidP="00F36BBA">
            <w:pPr>
              <w:rPr>
                <w:rFonts w:ascii="Garamond" w:hAnsi="Garamond"/>
                <w:sz w:val="24"/>
                <w:szCs w:val="24"/>
                <w:lang w:val="es-ES"/>
              </w:rPr>
            </w:pPr>
            <w:r>
              <w:rPr>
                <w:rFonts w:ascii="Garamond" w:hAnsi="Garamond"/>
                <w:sz w:val="24"/>
                <w:szCs w:val="24"/>
                <w:lang w:val="es-ES"/>
              </w:rPr>
              <w:t>TODA</w:t>
            </w:r>
          </w:p>
        </w:tc>
      </w:tr>
      <w:tr w:rsidR="0092080F" w:rsidRPr="006C1842" w:rsidTr="004848DB">
        <w:trPr>
          <w:trHeight w:val="390"/>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502" w:type="dxa"/>
            <w:shd w:val="clear" w:color="auto" w:fill="auto"/>
          </w:tcPr>
          <w:p w:rsidR="0092080F" w:rsidRPr="006C1842" w:rsidRDefault="00CB7AFE" w:rsidP="00F36BBA">
            <w:pPr>
              <w:rPr>
                <w:rFonts w:ascii="Garamond" w:hAnsi="Garamond"/>
                <w:sz w:val="24"/>
                <w:szCs w:val="24"/>
                <w:lang w:val="es-ES"/>
              </w:rPr>
            </w:pPr>
            <w:r>
              <w:rPr>
                <w:rFonts w:ascii="Garamond" w:hAnsi="Garamond"/>
                <w:sz w:val="24"/>
                <w:szCs w:val="24"/>
                <w:lang w:val="es-ES"/>
              </w:rPr>
              <w:t xml:space="preserve">Marcela Andía </w:t>
            </w:r>
          </w:p>
        </w:tc>
      </w:tr>
      <w:tr w:rsidR="0092080F" w:rsidRPr="000F1B9E" w:rsidTr="004848DB">
        <w:tc>
          <w:tcPr>
            <w:tcW w:w="9923" w:type="dxa"/>
            <w:gridSpan w:val="2"/>
            <w:shd w:val="clear" w:color="auto" w:fill="6DA92D" w:themeFill="text2" w:themeFillShade="BF"/>
          </w:tcPr>
          <w:p w:rsidR="0092080F" w:rsidRPr="000F1B9E" w:rsidRDefault="0092080F" w:rsidP="00F36BBA">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F36BBA">
              <w:rPr>
                <w:rFonts w:ascii="Garamond" w:hAnsi="Garamond"/>
                <w:b/>
                <w:color w:val="FFFFFF" w:themeColor="background1"/>
                <w:sz w:val="24"/>
                <w:szCs w:val="24"/>
                <w:lang w:val="es-ES"/>
              </w:rPr>
              <w:t>Rayen</w:t>
            </w:r>
            <w:r w:rsidRPr="000F1B9E">
              <w:rPr>
                <w:rFonts w:ascii="Garamond" w:hAnsi="Garamond"/>
                <w:b/>
                <w:color w:val="FFFFFF" w:themeColor="background1"/>
                <w:sz w:val="24"/>
                <w:szCs w:val="24"/>
                <w:lang w:val="es-ES"/>
              </w:rPr>
              <w:t>)</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 xml:space="preserve">Es Factible:  </w:t>
            </w:r>
          </w:p>
        </w:tc>
        <w:tc>
          <w:tcPr>
            <w:tcW w:w="6502" w:type="dxa"/>
            <w:shd w:val="clear" w:color="auto" w:fill="auto"/>
          </w:tcPr>
          <w:p w:rsidR="0092080F" w:rsidRPr="00FD12A4" w:rsidRDefault="00827257" w:rsidP="00827257">
            <w:pPr>
              <w:pStyle w:val="sdxtexto"/>
            </w:pPr>
            <w:r>
              <w:rPr>
                <w:b w:val="0"/>
              </w:rPr>
              <w:t>[Si</w:t>
            </w:r>
            <w:r w:rsidR="0092080F" w:rsidRPr="00D6744A">
              <w:rPr>
                <w:b w:val="0"/>
              </w:rPr>
              <w:t>]</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Falta Información</w:t>
            </w:r>
          </w:p>
        </w:tc>
        <w:tc>
          <w:tcPr>
            <w:tcW w:w="6502" w:type="dxa"/>
            <w:shd w:val="clear" w:color="auto" w:fill="auto"/>
          </w:tcPr>
          <w:p w:rsidR="00827257" w:rsidRPr="00256CBE" w:rsidRDefault="00256CBE" w:rsidP="00256CBE">
            <w:pPr>
              <w:pStyle w:val="sdxtexto"/>
              <w:rPr>
                <w:b w:val="0"/>
              </w:rPr>
            </w:pPr>
            <w:r>
              <w:rPr>
                <w:b w:val="0"/>
              </w:rPr>
              <w:t>[No</w:t>
            </w:r>
            <w:r w:rsidR="0092080F" w:rsidRPr="00D6744A">
              <w:rPr>
                <w:b w:val="0"/>
              </w:rPr>
              <w:t>]</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502" w:type="dxa"/>
            <w:shd w:val="clear" w:color="auto" w:fill="auto"/>
          </w:tcPr>
          <w:p w:rsidR="0092080F" w:rsidRDefault="0092080F" w:rsidP="00D267E6">
            <w:pPr>
              <w:rPr>
                <w:rFonts w:ascii="Garamond" w:hAnsi="Garamond"/>
                <w:sz w:val="24"/>
                <w:szCs w:val="24"/>
                <w:lang w:val="es-ES"/>
              </w:rPr>
            </w:pPr>
            <w:r w:rsidRPr="005254AB">
              <w:rPr>
                <w:rFonts w:ascii="Garamond" w:hAnsi="Garamond"/>
                <w:sz w:val="24"/>
                <w:szCs w:val="24"/>
                <w:lang w:val="es-ES"/>
              </w:rPr>
              <w:t>[Describir el alcance de la solución]</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lastRenderedPageBreak/>
              <w:t>Aspectos que no se incluyen en la solución:</w:t>
            </w:r>
          </w:p>
        </w:tc>
        <w:tc>
          <w:tcPr>
            <w:tcW w:w="6502" w:type="dxa"/>
            <w:shd w:val="clear" w:color="auto" w:fill="auto"/>
          </w:tcPr>
          <w:p w:rsidR="0092080F" w:rsidRDefault="0092080F" w:rsidP="00D267E6">
            <w:pPr>
              <w:rPr>
                <w:rFonts w:ascii="Garamond" w:hAnsi="Garamond"/>
                <w:sz w:val="24"/>
                <w:szCs w:val="24"/>
                <w:lang w:val="es-ES"/>
              </w:rPr>
            </w:pPr>
            <w:r w:rsidRPr="005254AB">
              <w:rPr>
                <w:rFonts w:ascii="Garamond" w:hAnsi="Garamond"/>
                <w:sz w:val="24"/>
                <w:szCs w:val="24"/>
                <w:lang w:val="es-ES"/>
              </w:rPr>
              <w:t>[Enunciar que aspectos funcionales, no serán cubiertos en el desarrollo de la solución]</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502" w:type="dxa"/>
            <w:shd w:val="clear" w:color="auto" w:fill="auto"/>
          </w:tcPr>
          <w:p w:rsidR="0092080F" w:rsidRDefault="0092080F" w:rsidP="00D267E6">
            <w:pPr>
              <w:rPr>
                <w:rFonts w:ascii="Garamond" w:hAnsi="Garamond"/>
                <w:sz w:val="24"/>
                <w:szCs w:val="24"/>
                <w:lang w:val="es-ES"/>
              </w:rPr>
            </w:pPr>
            <w:r w:rsidRPr="005254AB">
              <w:rPr>
                <w:rFonts w:ascii="Garamond" w:hAnsi="Garamond"/>
                <w:sz w:val="24"/>
                <w:szCs w:val="24"/>
                <w:lang w:val="es-ES"/>
              </w:rPr>
              <w:t>[Describir los riesgos o el impacto asociado a la implementación del requerimiento]</w:t>
            </w:r>
          </w:p>
        </w:tc>
      </w:tr>
      <w:tr w:rsidR="0092080F" w:rsidRPr="000F1B9E" w:rsidTr="004848DB">
        <w:trPr>
          <w:trHeight w:val="259"/>
        </w:trPr>
        <w:tc>
          <w:tcPr>
            <w:tcW w:w="3421" w:type="dxa"/>
            <w:shd w:val="clear" w:color="auto" w:fill="auto"/>
          </w:tcPr>
          <w:p w:rsidR="0092080F" w:rsidRPr="00FD12A4" w:rsidRDefault="0092080F" w:rsidP="00D267E6">
            <w:pPr>
              <w:pStyle w:val="sdxtexto"/>
            </w:pPr>
            <w:r w:rsidRPr="00FD12A4">
              <w:t>Observaciones:</w:t>
            </w:r>
          </w:p>
        </w:tc>
        <w:tc>
          <w:tcPr>
            <w:tcW w:w="6502" w:type="dxa"/>
            <w:shd w:val="clear" w:color="auto" w:fill="auto"/>
          </w:tcPr>
          <w:p w:rsidR="0092080F" w:rsidRPr="000F1B9E" w:rsidRDefault="00256CBE" w:rsidP="00D267E6">
            <w:pPr>
              <w:pStyle w:val="sdxtexto"/>
            </w:pPr>
            <w:r>
              <w:t>El sistema deberá trabajar con el modelo actual de Salud Te integra, en base a entidades contratantes, donde cada gestor o cada encargado de la entidad deberá crear a los usuarios que podrán hacer uso de Salud Te Integra, bajo este contexto el funcionamiento de la aplicación no tendrá dificultades, esto es requerido ya que la aplicación tiene registro de login y trazabilidad de impresiones.</w:t>
            </w:r>
          </w:p>
        </w:tc>
      </w:tr>
      <w:tr w:rsidR="0092080F" w:rsidRPr="000F1B9E" w:rsidTr="004848DB">
        <w:trPr>
          <w:trHeight w:val="390"/>
        </w:trPr>
        <w:tc>
          <w:tcPr>
            <w:tcW w:w="3421" w:type="dxa"/>
            <w:shd w:val="clear" w:color="auto" w:fill="auto"/>
          </w:tcPr>
          <w:p w:rsidR="0092080F" w:rsidRPr="00FD12A4" w:rsidRDefault="0092080F" w:rsidP="00D267E6">
            <w:pPr>
              <w:pStyle w:val="sdxtexto"/>
            </w:pPr>
            <w:r w:rsidRPr="00FD12A4">
              <w:t>Validado por:</w:t>
            </w:r>
          </w:p>
        </w:tc>
        <w:tc>
          <w:tcPr>
            <w:tcW w:w="6502" w:type="dxa"/>
            <w:shd w:val="clear" w:color="auto" w:fill="auto"/>
          </w:tcPr>
          <w:p w:rsidR="0092080F" w:rsidRPr="00B51C9D" w:rsidRDefault="0092080F" w:rsidP="00D267E6">
            <w:pPr>
              <w:pStyle w:val="sdxtexto"/>
            </w:pPr>
            <w:r w:rsidRPr="00D6744A">
              <w:rPr>
                <w:b w:val="0"/>
              </w:rPr>
              <w:t>[Nombre y Apellido del técnico]</w:t>
            </w:r>
          </w:p>
        </w:tc>
      </w:tr>
    </w:tbl>
    <w:p w:rsidR="0092080F" w:rsidRPr="001A4BC3" w:rsidRDefault="0092080F" w:rsidP="0092080F">
      <w:pPr>
        <w:pStyle w:val="sdxtexto"/>
      </w:pPr>
    </w:p>
    <w:p w:rsidR="00603CA1" w:rsidRPr="00603CA1" w:rsidRDefault="00603CA1" w:rsidP="00603CA1">
      <w:pPr>
        <w:pStyle w:val="Sinespaciado"/>
        <w:jc w:val="center"/>
      </w:pPr>
    </w:p>
    <w:sectPr w:rsidR="00603CA1" w:rsidRPr="00603CA1" w:rsidSect="00603CA1">
      <w:headerReference w:type="default" r:id="rId10"/>
      <w:footerReference w:type="default" r:id="rId11"/>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808" w:rsidRDefault="006B0808" w:rsidP="00956675">
      <w:pPr>
        <w:spacing w:after="0" w:line="240" w:lineRule="auto"/>
      </w:pPr>
      <w:r>
        <w:separator/>
      </w:r>
    </w:p>
  </w:endnote>
  <w:endnote w:type="continuationSeparator" w:id="0">
    <w:p w:rsidR="006B0808" w:rsidRDefault="006B0808"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MS Reference Sans Serif"/>
    <w:charset w:val="00"/>
    <w:family w:val="swiss"/>
    <w:pitch w:val="variable"/>
    <w:sig w:usb0="E00002EF" w:usb1="4000205B" w:usb2="00000028" w:usb3="00000000" w:csb0="0000019F" w:csb1="00000000"/>
  </w:font>
  <w:font w:name="Goudy Old Style">
    <w:altName w:val="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808" w:rsidRDefault="006B0808" w:rsidP="00956675">
      <w:pPr>
        <w:spacing w:after="0" w:line="240" w:lineRule="auto"/>
      </w:pPr>
      <w:r>
        <w:separator/>
      </w:r>
    </w:p>
  </w:footnote>
  <w:footnote w:type="continuationSeparator" w:id="0">
    <w:p w:rsidR="006B0808" w:rsidRDefault="006B0808"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B83F96" w:rsidRPr="00B83F96">
                                <w:rPr>
                                  <w:noProof/>
                                  <w:color w:val="3F3F3F" w:themeColor="text1"/>
                                  <w:sz w:val="20"/>
                                </w:rPr>
                                <w:t>2</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B83F96" w:rsidRPr="00B83F96">
                          <w:rPr>
                            <w:noProof/>
                            <w:color w:val="3F3F3F" w:themeColor="text1"/>
                            <w:sz w:val="20"/>
                          </w:rPr>
                          <w:t>2</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175FF"/>
    <w:multiLevelType w:val="hybridMultilevel"/>
    <w:tmpl w:val="3D52D89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66D1B"/>
    <w:rsid w:val="000F140F"/>
    <w:rsid w:val="000F24B2"/>
    <w:rsid w:val="001041F5"/>
    <w:rsid w:val="00256CBE"/>
    <w:rsid w:val="00281D22"/>
    <w:rsid w:val="00406B20"/>
    <w:rsid w:val="00447C08"/>
    <w:rsid w:val="004848DB"/>
    <w:rsid w:val="004E436E"/>
    <w:rsid w:val="00577405"/>
    <w:rsid w:val="00597EC4"/>
    <w:rsid w:val="005D7803"/>
    <w:rsid w:val="00603CA1"/>
    <w:rsid w:val="00654C7C"/>
    <w:rsid w:val="006B0808"/>
    <w:rsid w:val="00780F51"/>
    <w:rsid w:val="007A43A9"/>
    <w:rsid w:val="007A5B44"/>
    <w:rsid w:val="007C62EB"/>
    <w:rsid w:val="00827257"/>
    <w:rsid w:val="008A3AC3"/>
    <w:rsid w:val="0092080F"/>
    <w:rsid w:val="00956675"/>
    <w:rsid w:val="009F0613"/>
    <w:rsid w:val="00A151D6"/>
    <w:rsid w:val="00A36D15"/>
    <w:rsid w:val="00A414E8"/>
    <w:rsid w:val="00A93D4D"/>
    <w:rsid w:val="00AF5A9B"/>
    <w:rsid w:val="00B06F76"/>
    <w:rsid w:val="00B13CFC"/>
    <w:rsid w:val="00B83F96"/>
    <w:rsid w:val="00C45A5E"/>
    <w:rsid w:val="00CB7AFE"/>
    <w:rsid w:val="00D60E68"/>
    <w:rsid w:val="00E42AFE"/>
    <w:rsid w:val="00F36BBA"/>
    <w:rsid w:val="00FA4AC1"/>
    <w:rsid w:val="00FF07CD"/>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BB1EF3"/>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table" w:styleId="Tablaconcuadrcula">
    <w:name w:val="Table Grid"/>
    <w:basedOn w:val="Tablanormal"/>
    <w:uiPriority w:val="59"/>
    <w:rsid w:val="0025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053996">
      <w:bodyDiv w:val="1"/>
      <w:marLeft w:val="0"/>
      <w:marRight w:val="0"/>
      <w:marTop w:val="0"/>
      <w:marBottom w:val="0"/>
      <w:divBdr>
        <w:top w:val="none" w:sz="0" w:space="0" w:color="auto"/>
        <w:left w:val="none" w:sz="0" w:space="0" w:color="auto"/>
        <w:bottom w:val="none" w:sz="0" w:space="0" w:color="auto"/>
        <w:right w:val="none" w:sz="0" w:space="0" w:color="auto"/>
      </w:divBdr>
      <w:divsChild>
        <w:div w:id="1798258793">
          <w:marLeft w:val="0"/>
          <w:marRight w:val="0"/>
          <w:marTop w:val="0"/>
          <w:marBottom w:val="0"/>
          <w:divBdr>
            <w:top w:val="none" w:sz="0" w:space="0" w:color="auto"/>
            <w:left w:val="none" w:sz="0" w:space="0" w:color="auto"/>
            <w:bottom w:val="none" w:sz="0" w:space="0" w:color="auto"/>
            <w:right w:val="none" w:sz="0" w:space="0" w:color="auto"/>
          </w:divBdr>
        </w:div>
        <w:div w:id="300042621">
          <w:marLeft w:val="0"/>
          <w:marRight w:val="0"/>
          <w:marTop w:val="0"/>
          <w:marBottom w:val="0"/>
          <w:divBdr>
            <w:top w:val="none" w:sz="0" w:space="0" w:color="auto"/>
            <w:left w:val="none" w:sz="0" w:space="0" w:color="auto"/>
            <w:bottom w:val="none" w:sz="0" w:space="0" w:color="auto"/>
            <w:right w:val="none" w:sz="0" w:space="0" w:color="auto"/>
          </w:divBdr>
        </w:div>
        <w:div w:id="1776825262">
          <w:marLeft w:val="0"/>
          <w:marRight w:val="0"/>
          <w:marTop w:val="0"/>
          <w:marBottom w:val="0"/>
          <w:divBdr>
            <w:top w:val="none" w:sz="0" w:space="0" w:color="auto"/>
            <w:left w:val="none" w:sz="0" w:space="0" w:color="auto"/>
            <w:bottom w:val="none" w:sz="0" w:space="0" w:color="auto"/>
            <w:right w:val="none" w:sz="0" w:space="0" w:color="auto"/>
          </w:divBdr>
        </w:div>
      </w:divsChild>
    </w:div>
    <w:div w:id="1828784088">
      <w:bodyDiv w:val="1"/>
      <w:marLeft w:val="0"/>
      <w:marRight w:val="0"/>
      <w:marTop w:val="0"/>
      <w:marBottom w:val="0"/>
      <w:divBdr>
        <w:top w:val="none" w:sz="0" w:space="0" w:color="auto"/>
        <w:left w:val="none" w:sz="0" w:space="0" w:color="auto"/>
        <w:bottom w:val="none" w:sz="0" w:space="0" w:color="auto"/>
        <w:right w:val="none" w:sz="0" w:space="0" w:color="auto"/>
      </w:divBdr>
    </w:div>
    <w:div w:id="2024697049">
      <w:bodyDiv w:val="1"/>
      <w:marLeft w:val="0"/>
      <w:marRight w:val="0"/>
      <w:marTop w:val="0"/>
      <w:marBottom w:val="0"/>
      <w:divBdr>
        <w:top w:val="none" w:sz="0" w:space="0" w:color="auto"/>
        <w:left w:val="none" w:sz="0" w:space="0" w:color="auto"/>
        <w:bottom w:val="none" w:sz="0" w:space="0" w:color="auto"/>
        <w:right w:val="none" w:sz="0" w:space="0" w:color="auto"/>
      </w:divBdr>
      <w:divsChild>
        <w:div w:id="1119111152">
          <w:marLeft w:val="0"/>
          <w:marRight w:val="0"/>
          <w:marTop w:val="0"/>
          <w:marBottom w:val="0"/>
          <w:divBdr>
            <w:top w:val="none" w:sz="0" w:space="0" w:color="auto"/>
            <w:left w:val="none" w:sz="0" w:space="0" w:color="auto"/>
            <w:bottom w:val="none" w:sz="0" w:space="0" w:color="auto"/>
            <w:right w:val="none" w:sz="0" w:space="0" w:color="auto"/>
          </w:divBdr>
        </w:div>
        <w:div w:id="1311985333">
          <w:marLeft w:val="0"/>
          <w:marRight w:val="0"/>
          <w:marTop w:val="0"/>
          <w:marBottom w:val="0"/>
          <w:divBdr>
            <w:top w:val="none" w:sz="0" w:space="0" w:color="auto"/>
            <w:left w:val="none" w:sz="0" w:space="0" w:color="auto"/>
            <w:bottom w:val="none" w:sz="0" w:space="0" w:color="auto"/>
            <w:right w:val="none" w:sz="0" w:space="0" w:color="auto"/>
          </w:divBdr>
        </w:div>
        <w:div w:id="522943532">
          <w:marLeft w:val="0"/>
          <w:marRight w:val="0"/>
          <w:marTop w:val="0"/>
          <w:marBottom w:val="0"/>
          <w:divBdr>
            <w:top w:val="none" w:sz="0" w:space="0" w:color="auto"/>
            <w:left w:val="none" w:sz="0" w:space="0" w:color="auto"/>
            <w:bottom w:val="none" w:sz="0" w:space="0" w:color="auto"/>
            <w:right w:val="none" w:sz="0" w:space="0" w:color="auto"/>
          </w:divBdr>
        </w:div>
        <w:div w:id="1138575662">
          <w:marLeft w:val="0"/>
          <w:marRight w:val="0"/>
          <w:marTop w:val="0"/>
          <w:marBottom w:val="0"/>
          <w:divBdr>
            <w:top w:val="none" w:sz="0" w:space="0" w:color="auto"/>
            <w:left w:val="none" w:sz="0" w:space="0" w:color="auto"/>
            <w:bottom w:val="none" w:sz="0" w:space="0" w:color="auto"/>
            <w:right w:val="none" w:sz="0" w:space="0" w:color="auto"/>
          </w:divBdr>
        </w:div>
        <w:div w:id="385876942">
          <w:marLeft w:val="0"/>
          <w:marRight w:val="0"/>
          <w:marTop w:val="0"/>
          <w:marBottom w:val="0"/>
          <w:divBdr>
            <w:top w:val="none" w:sz="0" w:space="0" w:color="auto"/>
            <w:left w:val="none" w:sz="0" w:space="0" w:color="auto"/>
            <w:bottom w:val="none" w:sz="0" w:space="0" w:color="auto"/>
            <w:right w:val="none" w:sz="0" w:space="0" w:color="auto"/>
          </w:divBdr>
        </w:div>
        <w:div w:id="191393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2.jpg@01D47B39.977DE6B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7C2867-B345-4C29-91A4-0E5A9841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418</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2018-12-11T14:55:00Z</dcterms:created>
  <dcterms:modified xsi:type="dcterms:W3CDTF">2018-12-11T14:55:00Z</dcterms:modified>
</cp:coreProperties>
</file>