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6B648A" w:rsidP="00556C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Juan Carlos Villalobos J</w:t>
            </w:r>
            <w:r w:rsidR="00556C51">
              <w:rPr>
                <w:rFonts w:ascii="Calibri" w:hAnsi="Calibri" w:cs="Calibri"/>
                <w:sz w:val="20"/>
              </w:rPr>
              <w:t>a</w:t>
            </w:r>
            <w:r>
              <w:rPr>
                <w:rFonts w:ascii="Calibri" w:hAnsi="Calibri" w:cs="Calibri"/>
                <w:sz w:val="20"/>
              </w:rPr>
              <w:t>ra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6B648A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jvillalobos@rayensalud.com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265FE0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Patrick Vicuña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265FE0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265FE0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265FE0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Scrum Master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265FE0" w:rsidP="006B648A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pvicuna</w:t>
            </w:r>
            <w:r w:rsidR="006B648A">
              <w:rPr>
                <w:rFonts w:ascii="Calibri" w:hAnsi="Calibri" w:cs="Calibri"/>
                <w:b/>
                <w:sz w:val="20"/>
              </w:rPr>
              <w:t>@rayensalud.com</w:t>
            </w:r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265FE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797D8A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97D8A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178266 Retira tercero</w:t>
            </w:r>
            <w:r w:rsidR="00265FE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797D8A" w:rsidP="00797D8A">
            <w:pPr>
              <w:rPr>
                <w:lang w:val="es-ES"/>
              </w:rPr>
            </w:pPr>
            <w:r>
              <w:rPr>
                <w:lang w:val="es-ES"/>
              </w:rPr>
              <w:t>Los nodos que cuenten con parametrización correcta si el nodo 0 esta configurado con un valor 0, no podrán almacenar los datos en la tabla DTR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5364D6" w:rsidRPr="008C2458" w:rsidRDefault="00797D8A" w:rsidP="00FC199E">
            <w:pPr>
              <w:rPr>
                <w:rFonts w:cs="Arial"/>
              </w:rPr>
            </w:pPr>
            <w:r>
              <w:rPr>
                <w:rFonts w:cs="Arial"/>
              </w:rPr>
              <w:t>Corregir el funcionamiento actual permitiendo el guardado correcto en la tabla DTR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B9323F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282"/>
      </w:tblGrid>
      <w:tr w:rsidR="00AA339E" w:rsidTr="00AA339E">
        <w:trPr>
          <w:trHeight w:val="228"/>
        </w:trPr>
        <w:tc>
          <w:tcPr>
            <w:tcW w:w="8282" w:type="dxa"/>
          </w:tcPr>
          <w:p w:rsidR="002760DE" w:rsidRPr="00616F15" w:rsidRDefault="00797D8A" w:rsidP="00556C51">
            <w:pPr>
              <w:rPr>
                <w:rFonts w:ascii="Garamond" w:hAnsi="Garamond" w:cs="Tahoma"/>
                <w:color w:val="000000"/>
                <w:lang w:val="es-CL" w:eastAsia="es-CL"/>
              </w:rPr>
            </w:pPr>
            <w:r>
              <w:rPr>
                <w:rFonts w:ascii="Garamond" w:hAnsi="Garamond" w:cs="Tahoma"/>
                <w:color w:val="000000"/>
                <w:lang w:val="es-CL" w:eastAsia="es-CL"/>
              </w:rPr>
              <w:t>Saydex.ServidorSiap.Negocio</w:t>
            </w:r>
          </w:p>
        </w:tc>
      </w:tr>
    </w:tbl>
    <w:p w:rsidR="00835DC8" w:rsidRDefault="00835DC8" w:rsidP="00835DC8">
      <w:pPr>
        <w:rPr>
          <w:rFonts w:ascii="Calibri" w:hAnsi="Calibri" w:cs="Calibri"/>
          <w:b/>
          <w:sz w:val="24"/>
          <w:szCs w:val="24"/>
        </w:rPr>
      </w:pPr>
    </w:p>
    <w:p w:rsidR="00835DC8" w:rsidRDefault="00835DC8" w:rsidP="00835DC8">
      <w:pPr>
        <w:numPr>
          <w:ilvl w:val="0"/>
          <w:numId w:val="19"/>
        </w:numPr>
        <w:ind w:left="426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Objetos Base de Datos (procedimiento almacenados, funciones y vistas)</w:t>
      </w:r>
    </w:p>
    <w:p w:rsidR="00835DC8" w:rsidRPr="006B1B3B" w:rsidRDefault="00835DC8" w:rsidP="00835DC8">
      <w:pPr>
        <w:ind w:left="426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SP: Procedimiento Almacenados</w:t>
      </w:r>
    </w:p>
    <w:p w:rsidR="00835DC8" w:rsidRPr="006B1B3B" w:rsidRDefault="00835DC8" w:rsidP="00835DC8">
      <w:pPr>
        <w:ind w:left="426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FN: Funcion</w:t>
      </w:r>
    </w:p>
    <w:p w:rsidR="00835DC8" w:rsidRDefault="00835DC8" w:rsidP="00835DC8">
      <w:pPr>
        <w:ind w:left="426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V: Vista</w:t>
      </w:r>
    </w:p>
    <w:p w:rsidR="00835DC8" w:rsidRDefault="00835DC8" w:rsidP="00835DC8">
      <w:pPr>
        <w:ind w:left="426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Q: Query</w:t>
      </w:r>
    </w:p>
    <w:p w:rsidR="00835DC8" w:rsidRDefault="00835DC8" w:rsidP="00835DC8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21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567"/>
        <w:gridCol w:w="7629"/>
      </w:tblGrid>
      <w:tr w:rsidR="00835DC8" w:rsidRPr="00CA4751" w:rsidTr="00386241">
        <w:trPr>
          <w:cantSplit/>
          <w:trHeight w:val="31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35DC8" w:rsidRPr="00CA4751" w:rsidRDefault="00835DC8" w:rsidP="00386241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35DC8" w:rsidRDefault="00835DC8" w:rsidP="00386241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Tipo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35DC8" w:rsidRDefault="00835DC8" w:rsidP="00386241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Objeto</w:t>
            </w:r>
          </w:p>
        </w:tc>
      </w:tr>
      <w:tr w:rsidR="00835DC8" w:rsidRPr="00D06C9D" w:rsidTr="00386241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FIC0535</w:t>
            </w:r>
            <w:bookmarkStart w:id="2" w:name="_GoBack"/>
            <w:bookmarkEnd w:id="2"/>
          </w:p>
        </w:tc>
      </w:tr>
      <w:tr w:rsidR="00835DC8" w:rsidRPr="00D06C9D" w:rsidTr="00386241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Pr="00604E2E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  <w:tr w:rsidR="00835DC8" w:rsidRPr="00D06C9D" w:rsidTr="00386241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  <w:tr w:rsidR="00835DC8" w:rsidRPr="00D06C9D" w:rsidTr="00386241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DC8" w:rsidRDefault="00835DC8" w:rsidP="00386241">
            <w:pPr>
              <w:pStyle w:val="NormalTabla"/>
              <w:snapToGrid w:val="0"/>
              <w:ind w:left="720"/>
              <w:rPr>
                <w:rFonts w:ascii="Calibri" w:hAnsi="Calibri" w:cs="Calibri"/>
              </w:rPr>
            </w:pPr>
          </w:p>
        </w:tc>
      </w:tr>
    </w:tbl>
    <w:p w:rsidR="00835DC8" w:rsidRDefault="00835DC8" w:rsidP="00835DC8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</w:p>
    <w:p w:rsidR="00E92CE5" w:rsidRPr="00835DC8" w:rsidRDefault="006673E0" w:rsidP="00835DC8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835DC8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 w:rsidR="005D583D"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3341"/>
        <w:gridCol w:w="2126"/>
        <w:gridCol w:w="912"/>
        <w:gridCol w:w="992"/>
      </w:tblGrid>
      <w:tr w:rsidR="00A6742E" w:rsidRPr="00CA4751" w:rsidTr="005D583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6B4175" w:rsidRPr="00D06C9D" w:rsidTr="005D583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A2518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265FE0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Reemplazar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Pr="00265FE0" w:rsidRDefault="00797D8A" w:rsidP="00797D8A">
            <w:pPr>
              <w:rPr>
                <w:rFonts w:ascii="Garamond" w:hAnsi="Garamond" w:cs="Tahoma"/>
                <w:sz w:val="16"/>
                <w:lang w:val="es-CL" w:eastAsia="es-CL"/>
              </w:rPr>
            </w:pPr>
            <w:r>
              <w:rPr>
                <w:rFonts w:ascii="Garamond" w:hAnsi="Garamond" w:cs="Tahoma"/>
                <w:color w:val="000000"/>
                <w:lang w:val="es-CL" w:eastAsia="es-CL"/>
              </w:rPr>
              <w:t>Saydex.ServidorSiap.Negocio</w:t>
            </w:r>
            <w:r w:rsidRPr="00265FE0">
              <w:rPr>
                <w:rFonts w:ascii="Garamond" w:hAnsi="Garamond" w:cs="Tahoma"/>
                <w:sz w:val="16"/>
                <w:lang w:val="es-CL" w:eastAsia="es-C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Pr="00FF4313" w:rsidRDefault="006B4175" w:rsidP="00D632B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A6742E" w:rsidRPr="00777B60" w:rsidRDefault="005447D5" w:rsidP="00777B60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073"/>
        <w:gridCol w:w="3543"/>
        <w:gridCol w:w="2410"/>
        <w:gridCol w:w="770"/>
        <w:gridCol w:w="1027"/>
      </w:tblGrid>
      <w:tr w:rsidR="00A6742E" w:rsidRPr="00CA4751" w:rsidTr="005D583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21194" w:rsidRPr="00A66C17" w:rsidTr="005D583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BE7747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Pr="00265FE0" w:rsidRDefault="00797D8A" w:rsidP="00265FE0">
            <w:pPr>
              <w:rPr>
                <w:rFonts w:ascii="Garamond" w:hAnsi="Garamond" w:cs="Tahoma"/>
                <w:color w:val="000000"/>
                <w:sz w:val="16"/>
                <w:lang w:val="es-CL" w:eastAsia="es-CL"/>
              </w:rPr>
            </w:pPr>
            <w:r>
              <w:rPr>
                <w:rFonts w:ascii="Garamond" w:hAnsi="Garamond" w:cs="Tahoma"/>
                <w:color w:val="000000"/>
                <w:lang w:val="es-VE" w:eastAsia="es-CL"/>
              </w:rPr>
              <w:t>Saydex.ServidorSiap.Negocio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Pr="00A66C17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CA7EDD">
        <w:trPr>
          <w:trHeight w:val="454"/>
        </w:trPr>
        <w:tc>
          <w:tcPr>
            <w:tcW w:w="9335" w:type="dxa"/>
          </w:tcPr>
          <w:p w:rsidR="00E853DF" w:rsidRPr="00D942E1" w:rsidRDefault="00C1372D" w:rsidP="009D46B1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</w:t>
            </w:r>
            <w:r w:rsidR="009D46B1">
              <w:rPr>
                <w:rFonts w:ascii="Calibri" w:hAnsi="Calibri" w:cs="Calibri"/>
              </w:rPr>
              <w:t xml:space="preserve">178266 </w:t>
            </w:r>
            <w:r w:rsidR="005F05F7">
              <w:rPr>
                <w:rFonts w:ascii="Calibri" w:hAnsi="Calibri" w:cs="Calibri"/>
              </w:rPr>
              <w:t>no tiene asociado r</w:t>
            </w:r>
            <w:r w:rsidR="00052FE8">
              <w:rPr>
                <w:rFonts w:ascii="Calibri" w:hAnsi="Calibri" w:cs="Calibri"/>
              </w:rPr>
              <w:t>equerimiento</w:t>
            </w:r>
          </w:p>
        </w:tc>
      </w:tr>
    </w:tbl>
    <w:p w:rsidR="00921BAA" w:rsidRPr="00CA4751" w:rsidRDefault="00AE638B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lastRenderedPageBreak/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E373F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58" w:rsidRDefault="00D82D58">
      <w:r>
        <w:separator/>
      </w:r>
    </w:p>
  </w:endnote>
  <w:endnote w:type="continuationSeparator" w:id="0">
    <w:p w:rsidR="00D82D58" w:rsidRDefault="00D8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58" w:rsidRDefault="00D82D58">
      <w:r>
        <w:separator/>
      </w:r>
    </w:p>
  </w:footnote>
  <w:footnote w:type="continuationSeparator" w:id="0">
    <w:p w:rsidR="00D82D58" w:rsidRDefault="00D82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835DC8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835DC8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AF55F4"/>
    <w:multiLevelType w:val="hybridMultilevel"/>
    <w:tmpl w:val="D2744A8C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05EB2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452A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5303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B5E6F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0F7E6F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53F6"/>
    <w:rsid w:val="00127C0D"/>
    <w:rsid w:val="00130CCF"/>
    <w:rsid w:val="0013176C"/>
    <w:rsid w:val="00131DE7"/>
    <w:rsid w:val="00133C83"/>
    <w:rsid w:val="00133CE6"/>
    <w:rsid w:val="00135127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77E4A"/>
    <w:rsid w:val="001813C4"/>
    <w:rsid w:val="00183E11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5358"/>
    <w:rsid w:val="001E6C8D"/>
    <w:rsid w:val="001F024D"/>
    <w:rsid w:val="001F0486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37D75"/>
    <w:rsid w:val="00241135"/>
    <w:rsid w:val="002424D1"/>
    <w:rsid w:val="00246292"/>
    <w:rsid w:val="00246688"/>
    <w:rsid w:val="00247D74"/>
    <w:rsid w:val="00247EDF"/>
    <w:rsid w:val="00250288"/>
    <w:rsid w:val="002536E9"/>
    <w:rsid w:val="00254EF8"/>
    <w:rsid w:val="00261906"/>
    <w:rsid w:val="00263AE2"/>
    <w:rsid w:val="00265FE0"/>
    <w:rsid w:val="00266864"/>
    <w:rsid w:val="00266B0A"/>
    <w:rsid w:val="00267142"/>
    <w:rsid w:val="00274831"/>
    <w:rsid w:val="002760DE"/>
    <w:rsid w:val="00280CF4"/>
    <w:rsid w:val="00281543"/>
    <w:rsid w:val="002822A8"/>
    <w:rsid w:val="002838A6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15CE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0119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56DA6"/>
    <w:rsid w:val="0036156F"/>
    <w:rsid w:val="00367DA2"/>
    <w:rsid w:val="003717AA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A7B43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0465"/>
    <w:rsid w:val="00472961"/>
    <w:rsid w:val="00472A4A"/>
    <w:rsid w:val="00472E5B"/>
    <w:rsid w:val="00480CC8"/>
    <w:rsid w:val="00482D92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C4CBB"/>
    <w:rsid w:val="004D1934"/>
    <w:rsid w:val="004E01F5"/>
    <w:rsid w:val="004E02E4"/>
    <w:rsid w:val="004E4754"/>
    <w:rsid w:val="004E5175"/>
    <w:rsid w:val="004F155C"/>
    <w:rsid w:val="004F20F7"/>
    <w:rsid w:val="005004F9"/>
    <w:rsid w:val="0050429F"/>
    <w:rsid w:val="00505D32"/>
    <w:rsid w:val="00506D8E"/>
    <w:rsid w:val="00520A89"/>
    <w:rsid w:val="00525144"/>
    <w:rsid w:val="00525B05"/>
    <w:rsid w:val="0053212F"/>
    <w:rsid w:val="00532341"/>
    <w:rsid w:val="00532FC5"/>
    <w:rsid w:val="00533D5B"/>
    <w:rsid w:val="005354E5"/>
    <w:rsid w:val="005364D6"/>
    <w:rsid w:val="0054014E"/>
    <w:rsid w:val="00540A6E"/>
    <w:rsid w:val="005424C5"/>
    <w:rsid w:val="005447D5"/>
    <w:rsid w:val="005525F8"/>
    <w:rsid w:val="00552C2C"/>
    <w:rsid w:val="00554489"/>
    <w:rsid w:val="00554E11"/>
    <w:rsid w:val="00556C51"/>
    <w:rsid w:val="00557E4E"/>
    <w:rsid w:val="00561715"/>
    <w:rsid w:val="00566AA5"/>
    <w:rsid w:val="005709E1"/>
    <w:rsid w:val="00571BFB"/>
    <w:rsid w:val="005821C3"/>
    <w:rsid w:val="00582950"/>
    <w:rsid w:val="00582B3E"/>
    <w:rsid w:val="00584D38"/>
    <w:rsid w:val="00585F40"/>
    <w:rsid w:val="0058602C"/>
    <w:rsid w:val="00593E6E"/>
    <w:rsid w:val="0059559E"/>
    <w:rsid w:val="005A5CA8"/>
    <w:rsid w:val="005A5D0C"/>
    <w:rsid w:val="005B0630"/>
    <w:rsid w:val="005B506C"/>
    <w:rsid w:val="005B7D2F"/>
    <w:rsid w:val="005C0F9D"/>
    <w:rsid w:val="005C4EFE"/>
    <w:rsid w:val="005D0160"/>
    <w:rsid w:val="005D583D"/>
    <w:rsid w:val="005E4ECF"/>
    <w:rsid w:val="005F05F7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16F15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158B"/>
    <w:rsid w:val="00665934"/>
    <w:rsid w:val="00666966"/>
    <w:rsid w:val="006673E0"/>
    <w:rsid w:val="006801A0"/>
    <w:rsid w:val="00682DC8"/>
    <w:rsid w:val="00692C44"/>
    <w:rsid w:val="006A29DB"/>
    <w:rsid w:val="006A3F48"/>
    <w:rsid w:val="006B2C23"/>
    <w:rsid w:val="006B4175"/>
    <w:rsid w:val="006B648A"/>
    <w:rsid w:val="006B7E87"/>
    <w:rsid w:val="006C1189"/>
    <w:rsid w:val="006C36B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D6E66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57A32"/>
    <w:rsid w:val="0076061C"/>
    <w:rsid w:val="007646BE"/>
    <w:rsid w:val="007671CB"/>
    <w:rsid w:val="00770556"/>
    <w:rsid w:val="00772700"/>
    <w:rsid w:val="00772D59"/>
    <w:rsid w:val="007745C0"/>
    <w:rsid w:val="00777259"/>
    <w:rsid w:val="00777B60"/>
    <w:rsid w:val="0078109B"/>
    <w:rsid w:val="0078137E"/>
    <w:rsid w:val="007834D6"/>
    <w:rsid w:val="00785010"/>
    <w:rsid w:val="007862F9"/>
    <w:rsid w:val="00795450"/>
    <w:rsid w:val="00797D8A"/>
    <w:rsid w:val="007A034E"/>
    <w:rsid w:val="007A159A"/>
    <w:rsid w:val="007A18A5"/>
    <w:rsid w:val="007A2298"/>
    <w:rsid w:val="007A297F"/>
    <w:rsid w:val="007A4CD8"/>
    <w:rsid w:val="007A73B1"/>
    <w:rsid w:val="007B0BED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35DC8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462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2190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75630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6B1"/>
    <w:rsid w:val="009D4A02"/>
    <w:rsid w:val="009E0E27"/>
    <w:rsid w:val="009E4CB6"/>
    <w:rsid w:val="009F4F11"/>
    <w:rsid w:val="009F6486"/>
    <w:rsid w:val="009F77D0"/>
    <w:rsid w:val="00A00092"/>
    <w:rsid w:val="00A0098B"/>
    <w:rsid w:val="00A011D0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518E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6A1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339E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C73D7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1B13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323F"/>
    <w:rsid w:val="00B94800"/>
    <w:rsid w:val="00B94B26"/>
    <w:rsid w:val="00BA206F"/>
    <w:rsid w:val="00BA33FB"/>
    <w:rsid w:val="00BA686B"/>
    <w:rsid w:val="00BA718C"/>
    <w:rsid w:val="00BA7641"/>
    <w:rsid w:val="00BB0710"/>
    <w:rsid w:val="00BB1A4E"/>
    <w:rsid w:val="00BB2E38"/>
    <w:rsid w:val="00BB31C3"/>
    <w:rsid w:val="00BB4C1B"/>
    <w:rsid w:val="00BC484C"/>
    <w:rsid w:val="00BC4BD9"/>
    <w:rsid w:val="00BC7864"/>
    <w:rsid w:val="00BD5604"/>
    <w:rsid w:val="00BD6D9E"/>
    <w:rsid w:val="00BE6F2F"/>
    <w:rsid w:val="00BE7747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5735"/>
    <w:rsid w:val="00C46264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A7EDD"/>
    <w:rsid w:val="00CB529C"/>
    <w:rsid w:val="00CB5757"/>
    <w:rsid w:val="00CB6D02"/>
    <w:rsid w:val="00CC0186"/>
    <w:rsid w:val="00CC1D80"/>
    <w:rsid w:val="00CC4A16"/>
    <w:rsid w:val="00CC6B5C"/>
    <w:rsid w:val="00CD1698"/>
    <w:rsid w:val="00CD1B77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2497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32B6"/>
    <w:rsid w:val="00D6444B"/>
    <w:rsid w:val="00D645C2"/>
    <w:rsid w:val="00D650DB"/>
    <w:rsid w:val="00D665DD"/>
    <w:rsid w:val="00D82D58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627"/>
    <w:rsid w:val="00DE1BC1"/>
    <w:rsid w:val="00DE273C"/>
    <w:rsid w:val="00DE4C68"/>
    <w:rsid w:val="00DF331A"/>
    <w:rsid w:val="00DF4565"/>
    <w:rsid w:val="00E03C65"/>
    <w:rsid w:val="00E04B9E"/>
    <w:rsid w:val="00E122D3"/>
    <w:rsid w:val="00E13C3A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0AD2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362"/>
    <w:rsid w:val="00EA4553"/>
    <w:rsid w:val="00EA6557"/>
    <w:rsid w:val="00EB10C7"/>
    <w:rsid w:val="00EB1712"/>
    <w:rsid w:val="00EB2EA5"/>
    <w:rsid w:val="00EB3A01"/>
    <w:rsid w:val="00EB4115"/>
    <w:rsid w:val="00EB4C54"/>
    <w:rsid w:val="00EB538E"/>
    <w:rsid w:val="00EB7626"/>
    <w:rsid w:val="00EB7BE9"/>
    <w:rsid w:val="00EC4B92"/>
    <w:rsid w:val="00EC5FC7"/>
    <w:rsid w:val="00EC67D3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1194"/>
    <w:rsid w:val="00F22881"/>
    <w:rsid w:val="00F2385F"/>
    <w:rsid w:val="00F26798"/>
    <w:rsid w:val="00F27695"/>
    <w:rsid w:val="00F31266"/>
    <w:rsid w:val="00F320F3"/>
    <w:rsid w:val="00F36B4E"/>
    <w:rsid w:val="00F37B54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0A64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199E"/>
    <w:rsid w:val="00FC2863"/>
    <w:rsid w:val="00FC679B"/>
    <w:rsid w:val="00FC67CE"/>
    <w:rsid w:val="00FD4CF1"/>
    <w:rsid w:val="00FE1EE6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9485B5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5CB33E-625F-455F-BFEC-083DDCED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3574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Víctor Coronado</cp:lastModifiedBy>
  <cp:revision>2</cp:revision>
  <cp:lastPrinted>2010-02-19T12:56:00Z</cp:lastPrinted>
  <dcterms:created xsi:type="dcterms:W3CDTF">2019-04-04T15:56:00Z</dcterms:created>
  <dcterms:modified xsi:type="dcterms:W3CDTF">2019-04-04T15:56:00Z</dcterms:modified>
</cp:coreProperties>
</file>