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F1187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121657 USYM Monitoreo Influenza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9"/>
        <w:gridCol w:w="4209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DC101B" w:rsidRDefault="00C75DF0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REP0026</w:t>
            </w:r>
            <w:r w:rsidR="003A3B34">
              <w:rPr>
                <w:noProof/>
                <w:lang w:val="es-CL" w:eastAsia="es-CL"/>
              </w:rPr>
              <w:t>.SQL</w:t>
            </w:r>
          </w:p>
          <w:p w:rsidR="00C75DF0" w:rsidRDefault="00C75DF0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REP0027.SQL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C75DF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SP </w:t>
            </w:r>
            <w:r w:rsidR="00C75DF0">
              <w:rPr>
                <w:rFonts w:ascii="Calibri" w:hAnsi="Calibri" w:cs="Calibri"/>
                <w:lang w:val="es-ES"/>
              </w:rPr>
              <w:t>REP0026 Y REP0027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C75DF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del SP </w:t>
            </w:r>
            <w:r w:rsidR="00C75DF0">
              <w:rPr>
                <w:rFonts w:ascii="Calibri" w:hAnsi="Calibri" w:cs="Calibri"/>
                <w:lang w:val="es-ES"/>
              </w:rPr>
              <w:t>REP0026 Y REP0027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C75DF0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C75DF0">
              <w:rPr>
                <w:rFonts w:ascii="Calibri" w:hAnsi="Calibri" w:cs="Calibri"/>
              </w:rPr>
              <w:t>121657</w:t>
            </w:r>
            <w:bookmarkStart w:id="2" w:name="_GoBack"/>
            <w:bookmarkEnd w:id="2"/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A3B34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18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87" w:rsidRDefault="00BF1187">
      <w:r>
        <w:separator/>
      </w:r>
    </w:p>
  </w:endnote>
  <w:endnote w:type="continuationSeparator" w:id="0">
    <w:p w:rsidR="00BF1187" w:rsidRDefault="00BF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87" w:rsidRDefault="00BF1187">
      <w:r>
        <w:separator/>
      </w:r>
    </w:p>
  </w:footnote>
  <w:footnote w:type="continuationSeparator" w:id="0">
    <w:p w:rsidR="00BF1187" w:rsidRDefault="00BF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75DF0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75DF0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752903C-E528-4A13-B0B3-36400F70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3379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2016-08-18T19:31:00Z</dcterms:created>
  <dcterms:modified xsi:type="dcterms:W3CDTF">2016-08-18T19:31:00Z</dcterms:modified>
</cp:coreProperties>
</file>