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FIC_DEV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before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PROGRAMADOR DE SISTEMAS COM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DESAFIO PRÁTICO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Pipeline Governado, Escalável e Seguro de Conteúdos Educacionais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6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Fundamentos de Dados para IA</w:t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Carga horária recomendada:</w:t>
            </w: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0000"/>
                <w:sz w:val="19"/>
                <w:szCs w:val="19"/>
                <w:rtl w:val="0"/>
              </w:rPr>
              <w:t xml:space="preserve"> 18 horas</w:t>
            </w: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br w:type="textWrapping"/>
              <w:t xml:space="preserve">Modalidade: equipe de três estudantes</w:t>
              <w:br w:type="textWrapping"/>
              <w:t xml:space="preserve">Versão: 1.0 —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Orientações gerais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Este desafio dá continuidade à solução construída no Desafio Prático 1 e integra os conteúdos das aulas 9 a 17 do curso Fundamentos de Dados para IA. A equipe deverá evoluir o pipeline existente para uma arquitetura automatizada, escalável, governada e compatível com os princípios de proteção de dados pessoais.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Leia integralmente o enunciado antes de alterar a solução do Desafio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Utilize dados fictícios e preserve os arquivos e bancos originais para permitir comparação e reprocessamento.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Mantenha a solução dentro do escopo proposto para que seja concluída em aproximadamente 18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Registre decisões de arquitetura, limitações, dependências e instruções de execução no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As funcionalidades adicionais não substituem requisitos obrigatórios ausentes.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Todos os integrantes deverão compreender a solução completa e saber justificar as escolhas realizadas.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Objetivos de aprendizagem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Ao concluir o desafio, espera-se que o discente seja capaz de: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construir uma narrativa executiva baseada em dados e consultas produzidas no SQL Lab;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aplicar filtros cruzados e configurar alertas no Apache Superset;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diferenciar ETL de ELT e justificar a arquitetura adotada;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implementar pipelines e workflows no Apache Hop;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organizar dados nas camadas Bronze, Silver e Gold;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padronizar dados, controlar falhas e encaminhar registros inválidos para quarentena;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processar dados em formato Parquet com Apache Beam e runtime Spark ou Flink;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catalogar ativos, metadados, termos de negócio e linhagem no OpenMetadata;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definir dados mestres e executar testes de qualidade;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identificar dados pessoais e aplicar técnicas adequadas de mascaramento, pseudonimização ou hashing.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Situação-problema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Uma plataforma fictícia disponibiliza cursos, vídeos, artigos, podcasts e outros materiais educacionais. Atualmente, os dados estão distribuídos em diferentes arquivos e formatos, dificultando a identificação dos conteúdos mais procurados, a análise do comportamento dos usuários, a avaliação da qualidade dos materiais, a recomendação de conteúdos relacionados e a construção de indicadores para apoiar decisões.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A instituição deseja organizar esses dados, produzir recomendações simples e acompanhar os principais resultados em um dashboard.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Após a primeira entrega, a plataforma passou a receber um volume maior de dados e precisa tornar o fluxo mais confiável e auditável. A instituição também necessita documentar os ativos, rastrear a origem dos indicadores, controlar a qualidade, proteger dados pessoais e apresentar os resultados por meio de uma narrativa executiva que apoie decisões.</w:t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Produto esperado</w:t>
            </w: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: evolução do pipeline do Desafio 1 para um fluxo automatizado em Apache Hop, com camadas Bronze, Silver e Gold, processamento distribuído, governança no OpenMetadata, controles de qualidade e LGPD e apresentação executiva no Apache Superset.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Problema proposto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Cada equipe deverá utilizar a solução funcional do Desafio Prático 1 como ponto de partida e acrescentar capacidades para: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comunicar resultados por meio de storytelling executivo;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modelar consultas e conjuntos de dados virtuais no SQL Lab;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automatizar ingestão, transformação e carga com Apache Hop;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separar dados brutos, padronizados e analíticos em camadas;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orquestrar o fluxo, tratar erros e permitir reprocessamento controlado;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executar ao menos uma etapa de processamento distribuído com Apache Beam;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catalogar ativos, termos, classificações e linhagem no OpenMetadata;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definir dados mestres e critérios mensuráveis de qualidade;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identificar e proteger dados pessoais durante o processamento e o consumo.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A solução deverá formar um fluxo integrado, reproduzível e demonstrável, desde as fontes do Desafio 1 até a camada de consumo, mantendo evidências técnicas de execução, qualidade, governança e proteção de dados.</w:t>
      </w:r>
    </w:p>
    <w:p w:rsidR="00000000" w:rsidDel="00000000" w:rsidP="00000000" w:rsidRDefault="00000000" w:rsidRPr="00000000" w14:paraId="0000002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Organização das equipes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O desafio deverá ser realizado pela mesma equipe de estudantes do desafio 1. A divisão das responsabilidades fica a cargo da equipe. Uma sugestão para divisão inicial é:</w:t>
      </w:r>
    </w:p>
    <w:tbl>
      <w:tblPr>
        <w:tblStyle w:val="Table3"/>
        <w:tblW w:w="9359.0" w:type="dxa"/>
        <w:jc w:val="center"/>
        <w:tblLayout w:type="fixed"/>
        <w:tblLook w:val="0400"/>
      </w:tblPr>
      <w:tblGrid>
        <w:gridCol w:w="4680"/>
        <w:gridCol w:w="4679"/>
        <w:tblGridChange w:id="0">
          <w:tblGrid>
            <w:gridCol w:w="4680"/>
            <w:gridCol w:w="46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262626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262626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Responsabilidade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Estudante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Apache Hop, camadas Bronze e Silver, workflows e tratamento de erros.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Estudante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Parquet, Apache Beam, runtime distribuído, camada Gold e testes de qualidade.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Estudante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OpenMetadata, LGPD, SQL Lab, storytelling e recursos avançados do Superset.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b w:val="1"/>
          <w:bCs w:val="1"/>
          <w:color w:val="c9211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Importante: a divisão é apenas uma orientação de trabalho. Todos os integrantes deverão compreender e saber explicar a solução completa.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ATENÇÃO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Algumas atividades possuem dependências. Por exemplo, a camada Silver depende da Bronze, e o dashboard depende da Gold.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Assim,</w:t>
      </w:r>
      <w:r w:rsidDel="00000000" w:rsidR="00000000" w:rsidRPr="00000000">
        <w:rPr>
          <w:rtl w:val="0"/>
        </w:rPr>
        <w:t xml:space="preserve"> os integrantes devem trabalhar paralelamente com dados de teste e contratos de entrada e saída previamente definidos.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recomendação é a de que as responsabilidades iniciais sejam bem delimitadas, considerando-se que e integração obrigatória ao final.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apresentação também deve verificar se todos compreendem a solução completa.</w:t>
      </w:r>
    </w:p>
    <w:p w:rsidR="00000000" w:rsidDel="00000000" w:rsidP="00000000" w:rsidRDefault="00000000" w:rsidRPr="00000000" w14:paraId="0000003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6. Dados e ativos de continuidade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O Desafio 2 deverá reaproveitar as fontes e os bancos do Desafio 1. </w:t>
      </w:r>
    </w:p>
    <w:tbl>
      <w:tblPr>
        <w:tblStyle w:val="Table5"/>
        <w:tblW w:w="9359.0" w:type="dxa"/>
        <w:jc w:val="center"/>
        <w:tblLayout w:type="fixed"/>
        <w:tblLook w:val="0400"/>
      </w:tblPr>
      <w:tblGrid>
        <w:gridCol w:w="3119"/>
        <w:gridCol w:w="3120"/>
        <w:gridCol w:w="3120"/>
        <w:tblGridChange w:id="0">
          <w:tblGrid>
            <w:gridCol w:w="3119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262626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262626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262626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Uso no Desafio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Catálogo de conteúdos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CSV e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Ingestão Bronze, padronização Silver, dados mestres e classificação de campos.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Interações dos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JSON e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Processamento temporal, agregações, KPIs e testes de integridade.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Comentários e avaliações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JSON ou 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Integração de dados semiestruturados, análise de PII e qualidade.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Recomendações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Camada Gold, conversão de recomendações e storytelling executivo.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Metadados técnicos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Apache Hop, bancos e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Catalogação, linhagem, responsáveis e documentação no OpenMetadata.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jc w:val="both"/>
        <w:rPr>
          <w:color w:val="c921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7. Requisitos funcionais obrigatórios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Os requisitos desta seção ampliam os requisitos do Desafio Prático 1, numerado de RF01 à RF14. Cada requisito deverá ser implementado, testado e demonstrado pela equipe.</w:t>
      </w:r>
    </w:p>
    <w:p w:rsidR="00000000" w:rsidDel="00000000" w:rsidP="00000000" w:rsidRDefault="00000000" w:rsidRPr="00000000" w14:paraId="0000005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RF15 — Continuidade e configuração da solução</w:t>
      </w:r>
    </w:p>
    <w:p w:rsidR="00000000" w:rsidDel="00000000" w:rsidP="00000000" w:rsidRDefault="00000000" w:rsidRPr="00000000" w14:paraId="00000058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reutilizar os dados, esquemas e resultados válidos do Desafio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manter parâmetros de conexão, caminhos, nomes de ambientes e opções de execução fora dos pipelines;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separar senhas e segredos do código-fonte e dos arquivos versionados;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permitir executar o fluxo completo e também suas principais etapas isoladamente;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registrar as versões do Apache Hop, do runtime distribuído, do Superset e do OpenMetadata utilizados.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RF16 — Storytelling executivo com dados</w:t>
      </w:r>
    </w:p>
    <w:p w:rsidR="00000000" w:rsidDel="00000000" w:rsidP="00000000" w:rsidRDefault="00000000" w:rsidRPr="00000000" w14:paraId="0000005F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definir uma pergunta decisória central relacionada ao catálogo, ao engajamento ou às recomendações;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organizar a narrativa em contexto, evidência, descoberta e ação recomendada;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apresentar pelo menos três visualizações em sequência lógica;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incluir títulos informativos, anotações e texto interpretativo;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distinguir fatos observados, hipóteses e recomendações.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RF17 — SQL Lab e conjuntos de dados virtuais</w:t>
      </w:r>
    </w:p>
    <w:p w:rsidR="00000000" w:rsidDel="00000000" w:rsidP="00000000" w:rsidRDefault="00000000" w:rsidRPr="00000000" w14:paraId="00000066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criar pelo menos três consultas no SQL Lab;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utilizar junção, agregação, expressão condicional e função de 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salvar pelo menos dois conjuntos de dados virtuais para uso no dashboard;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documentar a finalidade e os campos calculados de cada consulta;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garantir que os resultados possam ser reproduzidos a partir da camada Gold.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RF18 — Filtros cruzados e alertas no Superset</w:t>
      </w:r>
    </w:p>
    <w:p w:rsidR="00000000" w:rsidDel="00000000" w:rsidP="00000000" w:rsidRDefault="00000000" w:rsidRPr="00000000" w14:paraId="0000006D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habilitar interação entre pelo menos duas visualizações por filtro cruzado;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disponibilizar filtros globais de período e de pelo menos uma dimensão de negócio;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configurar um alerta ou relatório associado a um limite mensurável;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registrar destinatário fictício, periodicidade, condição e ação esperada;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demonstrar o funcionamento ou, quando o envio não estiver disponível no ambiente, a avaliação comprovada da condição de disparo.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RF19 — Definição da arquitetura ETL ou ELT</w:t>
      </w:r>
    </w:p>
    <w:p w:rsidR="00000000" w:rsidDel="00000000" w:rsidP="00000000" w:rsidRDefault="00000000" w:rsidRPr="00000000" w14:paraId="00000074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representar o fluxo desde as fontes até o consumo;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identificar em que ponto ocorrem extração, transformação e carga;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classificar o fluxo principal como ETL, ELT ou arquitetura híbrida;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justificar a escolha considerando custo, governança, desempenho e reprocessamento;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explicar as limitações da solução anterior baseada apenas em scripts isolados.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RF20 — Pipeline Bronze no Apache Hop</w:t>
      </w:r>
    </w:p>
    <w:p w:rsidR="00000000" w:rsidDel="00000000" w:rsidP="00000000" w:rsidRDefault="00000000" w:rsidRPr="00000000" w14:paraId="0000007B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criar um projeto e um ambiente no Apache Hop;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definir metadados reutilizáveis para conexões e variáveis;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ingerir pelo menos um arquivo CSV, um arquivo JSON e um banco de dados como destino;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preservar os dados sem transformações destrutivas;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acrescentar campos de auditoria com origem, data e hora da ingestão e identificador da execução;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gravar a camada Bronze em diretório ou esquema próprio.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RF21 — Pipeline Silver e padronização</w:t>
      </w:r>
    </w:p>
    <w:p w:rsidR="00000000" w:rsidDel="00000000" w:rsidP="00000000" w:rsidRDefault="00000000" w:rsidRPr="00000000" w14:paraId="00000083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padronizar nomes de campos, tipos, datas, categorias e valores textuais;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tratar valores ausentes conforme regras documentadas;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identificar duplicidades por chaves de negócio;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validar referências entre usuários, conteúdos e interações;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separar registros aprovados dos registros em quarentena;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gravar a camada Silver em diretório ou esquema próprio.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RF22 — Workflow e orquestração automatizada</w:t>
      </w:r>
    </w:p>
    <w:p w:rsidR="00000000" w:rsidDel="00000000" w:rsidP="00000000" w:rsidRDefault="00000000" w:rsidRPr="00000000" w14:paraId="0000008B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criar um workflow que execute Bronze, Silver, qualidade, Gold e publicação de metadados na ordem correta;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interromper etapas dependentes quando ocorrer falha crítica;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registrar início, término, duração e resultado de cada etapa;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permitir execução manual e por agendamento;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retornar um estado final de sucesso, sucesso com ressalvas ou falha.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RF23 — Tratamento de erros, quarentena e recuperação</w:t>
      </w:r>
    </w:p>
    <w:p w:rsidR="00000000" w:rsidDel="00000000" w:rsidP="00000000" w:rsidRDefault="00000000" w:rsidRPr="00000000" w14:paraId="00000092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registrar o identificador do registro, a origem, a regra violada, a data e a mensagem do erro;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encaminhar registros inválidos para uma área de quarentena sem encerrar todo o processamento;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impedir cargas parciais inconsistentes na camada de destino;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permitir corrigir e reprocessar os registros da quarentena;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demonstrar pelo menos uma falha de arquivo, uma falha de regra e uma falha de conexão simulada.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RF24 — Formato Parquet e particionamento</w:t>
      </w:r>
    </w:p>
    <w:p w:rsidR="00000000" w:rsidDel="00000000" w:rsidP="00000000" w:rsidRDefault="00000000" w:rsidRPr="00000000" w14:paraId="00000099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exportar um conjunto relevante da camada Silver para Parquet;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escolher e justificar uma estratégia de particionamento;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comparar tamanho e tempo de leitura do Parquet com CSV ou JSON usando o mesmo recorte de dados;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preservar esquema, tipos e campos de auditoria;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registrar as medições e as limitações do experimento.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RF25 — Processamento distribuído com Apache Beam</w:t>
      </w:r>
    </w:p>
    <w:p w:rsidR="00000000" w:rsidDel="00000000" w:rsidP="00000000" w:rsidRDefault="00000000" w:rsidRPr="00000000" w14:paraId="000000A0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implementar um pipeline Apache Beam para uma agregação ou transformação relevante;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executá-lo com DirectRunner e com um runtime Spark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ler ou gravar dados em formato Parquet;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produzir a mesma regra de negócio nos dois runtimes;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registrar volume processado, tempo de execução e configuração utilizada;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RF26 — Camada Gold para consumo analítico</w:t>
      </w:r>
    </w:p>
    <w:p w:rsidR="00000000" w:rsidDel="00000000" w:rsidP="00000000" w:rsidRDefault="00000000" w:rsidRPr="00000000" w14:paraId="000000A7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produzir tabelas ou visões orientadas às perguntas de negócio;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consolidar dimensões e medidas necessárias aos KPIs;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evitar que o dashboard consulte diretamente a camada Bronze;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manter chaves, granularidade e regras de cálculo documentadas;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disponibilizar a camada Gold ao SQL Lab e ao Apache Superset.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RF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27</w:t>
      </w:r>
      <w:r w:rsidDel="00000000" w:rsidR="00000000" w:rsidRPr="00000000">
        <w:rPr>
          <w:rtl w:val="0"/>
        </w:rPr>
        <w:t xml:space="preserve"> — Implantação e integração do OpenMetadata</w:t>
      </w:r>
    </w:p>
    <w:p w:rsidR="00000000" w:rsidDel="00000000" w:rsidP="00000000" w:rsidRDefault="00000000" w:rsidRPr="00000000" w14:paraId="000000AE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implantar ou acessar uma instância funcional do OpenMetadata;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conectar pelo menos o PostgreSQL e registrar os demais ativos relevantes;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executar a ingestão de metadados técnicos;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atribuir proprietário e descrição aos principais ativos;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explicar quais controles evitam que o ambiente se transforme em um Data Swamp.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RF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28</w:t>
      </w:r>
      <w:r w:rsidDel="00000000" w:rsidR="00000000" w:rsidRPr="00000000">
        <w:rPr>
          <w:rtl w:val="0"/>
        </w:rPr>
        <w:t xml:space="preserve"> — Catálogo, classificação e glossário de negócio</w:t>
      </w:r>
    </w:p>
    <w:p w:rsidR="00000000" w:rsidDel="00000000" w:rsidP="00000000" w:rsidRDefault="00000000" w:rsidRPr="00000000" w14:paraId="000000B5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catalogar as tabelas ou visões das camadas Silver e Gold;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criar pelo menos quatro termos de negócio, incluindo usuário ativo, taxa de conclusão e conversão de recomendação;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definir cada termo, sua regra de cálculo e seu responsável;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associar os termos aos ativos e campos correspondentes;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aplicar classificações técnicas ou de sensibilidade aos campos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RF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29</w:t>
      </w:r>
      <w:r w:rsidDel="00000000" w:rsidR="00000000" w:rsidRPr="00000000">
        <w:rPr>
          <w:rtl w:val="0"/>
        </w:rPr>
        <w:t xml:space="preserve"> — Linhagem de dados</w:t>
      </w:r>
    </w:p>
    <w:p w:rsidR="00000000" w:rsidDel="00000000" w:rsidP="00000000" w:rsidRDefault="00000000" w:rsidRPr="00000000" w14:paraId="000000BC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representar a linhagem entre fonte, Bronze, Silver, Gold e dashboard;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incluir pelo menos um KPI e um conjunto de dados virtual do SQL Lab;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identificar as principais transformações realizadas;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demonstrar como localizar a origem de um valor exibido no dashboard;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registrar manualmente as relações que não puderem ser extraídas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RF30 — Dados mestres</w:t>
      </w:r>
    </w:p>
    <w:p w:rsidR="00000000" w:rsidDel="00000000" w:rsidP="00000000" w:rsidRDefault="00000000" w:rsidRPr="00000000" w14:paraId="000000C3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selecionar pelo menos uma entidade mestre, como conteúdo, usuário ou categoria;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definir chave de negócio, atributos essenciais e fonte de referência;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estabelecer regras de correspondência, deduplicação e sobrevivência;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gerar um identificador mestre ou tabela de correspondência;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demonstrar o tratamento de dois registros conflitantes.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RF31 — Qualidade de dados</w:t>
      </w:r>
    </w:p>
    <w:p w:rsidR="00000000" w:rsidDel="00000000" w:rsidP="00000000" w:rsidRDefault="00000000" w:rsidRPr="00000000" w14:paraId="000000CA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implementar no mínimo 5 testes distribuídos entre completude, validade, unicidade, consistência e integridade referencial;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definir fórmula, limite aceitável, severidade e ação para cada teste;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armazenar o resultado por execução e por fonte;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impedir a publicação na camada Gold quando uma regra crítica falhar;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apresentar a evolução de pelo menos duas métricas de qualidade.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RF32 — Inventário de dados pessoais e LGPD</w:t>
      </w:r>
    </w:p>
    <w:p w:rsidR="00000000" w:rsidDel="00000000" w:rsidP="00000000" w:rsidRDefault="00000000" w:rsidRPr="00000000" w14:paraId="000000D1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identificar os campos que contêm dados pessoais, pessoais sensíveis ou identificadores indiretos;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registrar finalidade, necessidade, acesso e tempo de retenção propostos para cada campo;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classificar os ativos correspondentes no catálogo;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minimizar o uso de dados pessoais na camada Gold;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não utilizar dados pessoais reais no desafio.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RF33 — Mascaramento, pseudonimização e hashing</w:t>
      </w:r>
    </w:p>
    <w:p w:rsidR="00000000" w:rsidDel="00000000" w:rsidP="00000000" w:rsidRDefault="00000000" w:rsidRPr="00000000" w14:paraId="000000D8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aplicar mascaramento a pelo menos um campo exibido para consumo;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pseudonimizar um identificador que ainda precise permitir associação controlada;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aplicar hashing com salt a um campo escolhido para comparação irreversível;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manter segredos, salts e tabelas de correspondência fora do código e do repositório;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comparar as duas técnicas e justificar a aplicação de cada uma;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demonstrar que o dashboard não expõe os valores originais protegidos.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RF34 — Evidências e critérios de aceite</w:t>
      </w:r>
    </w:p>
    <w:p w:rsidR="00000000" w:rsidDel="00000000" w:rsidP="00000000" w:rsidRDefault="00000000" w:rsidRPr="00000000" w14:paraId="000000E0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A equipe deverá apresentar: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exportações dos pipelines e workflows do Apache Hop;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amostras das camadas Bronze, Silver e Gold;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registros de quarentena e reprocessamento;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execução do pipeline Apache Beam no runtime;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capturas do catálogo, glossário, classificações e linhagem no OpenMetadata;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resultado dos testes de qualidade e dos controles de LGPD;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consultas do SQL Lab, dashboard, filtros cruzados e alerta;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narrativa executiva e recomendação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8. Arquitetura mínima esperada</w:t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  <w:t xml:space="preserve">A Figura 1 apresenta uma referência para a arquitetura mínima. A equipe poderá adaptar tecnologias e disposição dos componentes, desde que preserve as responsabilidades das camadas e justifique as alterações.</w:t>
      </w:r>
    </w:p>
    <w:p w:rsidR="00000000" w:rsidDel="00000000" w:rsidP="00000000" w:rsidRDefault="00000000" w:rsidRPr="00000000" w14:paraId="000000EB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5806440" cy="31610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1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/>
      </w:pPr>
      <w:r w:rsidDel="00000000" w:rsidR="00000000" w:rsidRPr="00000000">
        <w:rPr>
          <w:rFonts w:ascii="Carlito" w:cs="Carlito" w:eastAsia="Carlito" w:hAnsi="Carlito"/>
          <w:color w:val="333333"/>
          <w:sz w:val="18"/>
          <w:szCs w:val="18"/>
          <w:rtl w:val="0"/>
        </w:rPr>
        <w:t xml:space="preserve">Figura 1. Representação gráfica da arquitetura mínima do Desafio Prático 2.</w:t>
      </w:r>
      <w:r w:rsidDel="00000000" w:rsidR="00000000" w:rsidRPr="00000000">
        <w:rPr>
          <w:rtl w:val="0"/>
        </w:rPr>
      </w:r>
    </w:p>
    <w:tbl>
      <w:tblPr>
        <w:tblStyle w:val="Table6"/>
        <w:tblW w:w="9359.0" w:type="dxa"/>
        <w:jc w:val="center"/>
        <w:tblLayout w:type="fixed"/>
        <w:tblLook w:val="0400"/>
      </w:tblPr>
      <w:tblGrid>
        <w:gridCol w:w="4680"/>
        <w:gridCol w:w="4679"/>
        <w:tblGridChange w:id="0">
          <w:tblGrid>
            <w:gridCol w:w="4680"/>
            <w:gridCol w:w="46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262626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Camada ou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262626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Responsabilidade mínima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Fontes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Arquivos e bancos produzidos no Desafio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Bronze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Cópia auditável dos dados ingeridos, sem transformações destrutivas.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Dados padronizados, validados, deduplicados e separados da quarentena.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Tabelas e visões orientadas aos KPIs e às perguntas de negócio.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Processamento distribuído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Pipeline Apache Beam executado com DirectRunner e Spark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Governança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Catálogo, glossário, classificações, linhagem, qualidade e responsáveis.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SQL Lab, datasets virtuais, dashboard, storytelling, filtros e alertas.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Segurança</w:t>
            </w: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: credenciais, salts, chaves, dados pessoais originais e tabelas de correspondência não deverão ser incluídos no repositório nem expostos no dashboard.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9. Governança, DataOps e proteção de dados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 solução deverá integrar práticas de operação, governança e segurança ao fluxo, e não tratá-las apenas como documentação final. No mínimo, a equipe deverá: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versionar código, pipelines, workflows, consultas e configurações não sensíveis;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usar parâmetros por ambiente e registrar dependências;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manter logs correlacionados por identificador de execução;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documentar responsáveis pelos ativos e termos de negócio;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registrar critérios de qualidade e ações diante de violações;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aplicar o princípio da minimização de dados pessoais;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definir rotina de recuperação e reprocessamento;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fornecer instruções para reproduzir a solução.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10. Uso da Inteligência Artificial</w:t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  <w:t xml:space="preserve">A IA poderá ser utilizada para explicar erros, sugerir transformações do Apache Hop, revisar consultas SQL, propor testes de qualidade, auxiliar na documentação de metadados, revisar regras de anonimização, apoiar a interpretação de resultados e melhorar a comunicação do storytelling.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11. Entregáveis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Cada equipe deverá entregar um arquivo compactado com a seguinte organização sugerida:</w:t>
      </w:r>
    </w:p>
    <w:tbl>
      <w:tblPr>
        <w:tblStyle w:val="Table8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Estrutura: desafio_dados_2/</w:t>
              <w:br w:type="textWrapping"/>
              <w:t xml:space="preserve">├── README.md</w:t>
              <w:br w:type="textWrapping"/>
              <w:t xml:space="preserve">├── dados/</w:t>
              <w:br w:type="textWrapping"/>
              <w:t xml:space="preserve">│   ├── bronze/</w:t>
              <w:br w:type="textWrapping"/>
              <w:t xml:space="preserve">│   ├── silver/</w:t>
              <w:br w:type="textWrapping"/>
              <w:t xml:space="preserve">│   ├── gold/</w:t>
              <w:br w:type="textWrapping"/>
              <w:t xml:space="preserve">│   └── quarentena/</w:t>
              <w:br w:type="textWrapping"/>
              <w:t xml:space="preserve">├── hop/</w:t>
              <w:br w:type="textWrapping"/>
              <w:t xml:space="preserve">│   ├── pipelines/</w:t>
              <w:br w:type="textWrapping"/>
              <w:t xml:space="preserve">│   ├── workflows/</w:t>
              <w:br w:type="textWrapping"/>
              <w:t xml:space="preserve">│   └── environments/</w:t>
              <w:br w:type="textWrapping"/>
              <w:t xml:space="preserve">├── beam/</w:t>
              <w:br w:type="textWrapping"/>
              <w:t xml:space="preserve">│   ├── pipeline.py</w:t>
              <w:br w:type="textWrapping"/>
              <w:t xml:space="preserve">│   └── evidencias/</w:t>
              <w:br w:type="textWrapping"/>
              <w:t xml:space="preserve">├── sql/</w:t>
              <w:br w:type="textWrapping"/>
              <w:t xml:space="preserve">│   ├── camada_gold.sql</w:t>
              <w:br w:type="textWrapping"/>
              <w:t xml:space="preserve">│   └── sql_lab.sql</w:t>
              <w:br w:type="textWrapping"/>
              <w:t xml:space="preserve">├── superset/</w:t>
              <w:br w:type="textWrapping"/>
              <w:t xml:space="preserve">│   └── exportacao_e_evidencias/</w:t>
              <w:br w:type="textWrapping"/>
              <w:t xml:space="preserve">├── openmetadata/</w:t>
              <w:br w:type="textWrapping"/>
              <w:t xml:space="preserve">│   └── evidencias/</w:t>
              <w:br w:type="textWrapping"/>
              <w:t xml:space="preserve">├── qualidade/</w:t>
              <w:br w:type="textWrapping"/>
              <w:t xml:space="preserve">│   ├── regras.md</w:t>
              <w:br w:type="textWrapping"/>
              <w:t xml:space="preserve">│   └── resultados/</w:t>
              <w:br w:type="textWrapping"/>
              <w:t xml:space="preserve">├── lgpd/</w:t>
              <w:br w:type="textWrapping"/>
              <w:t xml:space="preserve">│   ├── inventario_de_dados.md</w:t>
              <w:br w:type="textWrapping"/>
              <w:t xml:space="preserve">│   └── tecnicas_de_protecao.md</w:t>
              <w:br w:type="textWrapping"/>
              <w:t xml:space="preserve">├── documentacao/</w:t>
              <w:br w:type="textWrapping"/>
              <w:t xml:space="preserve">│   ├── arquitetura.pdf</w:t>
              <w:br w:type="textWrapping"/>
              <w:t xml:space="preserve">│   ├── linhagem.pdf</w:t>
              <w:br w:type="textWrapping"/>
              <w:t xml:space="preserve">│   ├── storytelling.pdf</w:t>
              <w:br w:type="textWrapping"/>
              <w:t xml:space="preserve">└── requirements.txt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Entregáveis obrigatórios: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pipelines e workflows exportados do Apache Hop;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amostras ou scripts de produção das camadas Bronze, Silver e Gold;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pipeline Apache Beam e evidências do runtime utilizado;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consultas do SQL Lab e exportação ou evidências do Superset;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evidências do OpenMetadata, incluindo catálogo, glossário, classificação e linhagem;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regras e resultados dos testes de qualidade;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inventário de dados pessoais e implementação das técnicas de proteção;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  <w:t xml:space="preserve">documentação para instalação, configuração e execução;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shd w:fill="auto" w:val="clear"/>
        <w:spacing w:after="0" w:before="0" w:line="252.00000000000003" w:lineRule="auto"/>
        <w:ind w:left="48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12. Apresentação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Cada equipe deverá realizar uma apresentação de aproximadamente 15 minutos:</w:t>
      </w:r>
    </w:p>
    <w:tbl>
      <w:tblPr>
        <w:tblStyle w:val="Table9"/>
        <w:tblW w:w="9359.0" w:type="dxa"/>
        <w:jc w:val="center"/>
        <w:tblLayout w:type="fixed"/>
        <w:tblLook w:val="0400"/>
      </w:tblPr>
      <w:tblGrid>
        <w:gridCol w:w="4680"/>
        <w:gridCol w:w="4679"/>
        <w:tblGridChange w:id="0">
          <w:tblGrid>
            <w:gridCol w:w="4680"/>
            <w:gridCol w:w="46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262626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262626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Situação-problema, continuidade do Desafio 1 e arquitetura escolhida.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Apache Hop, camadas Bronze, Silver e Gold, orquestração e tratamento de erros.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Parquet, Apache Beam e comparação do runtime.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OpenMetadata, glossário, linhagem, dados mestres e qualidade.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LGPD e demonstração das técnicas de proteção.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Storytelling, SQL Lab, dashboard, alerta, conclusões e uso de 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Verificação de aprendizagem: qualquer integrante poderá ser solicitado a explicar uma parte da solução, executar uma etapa ou justificar uma decisão técnica.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widowControl w:val="1"/>
        <w:spacing w:after="12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152" w:left="1440" w:right="1440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spacing w:after="120" w:before="0" w:line="240" w:lineRule="auto"/>
      <w:jc w:val="center"/>
      <w:rPr/>
    </w:pPr>
    <w:r w:rsidDel="00000000" w:rsidR="00000000" w:rsidRPr="00000000">
      <w:rPr>
        <w:rFonts w:ascii="Carlito" w:cs="Carlito" w:eastAsia="Carlito" w:hAnsi="Carlito"/>
        <w:color w:val="5a5a5a"/>
        <w:sz w:val="16"/>
        <w:szCs w:val="16"/>
        <w:rtl w:val="0"/>
      </w:rPr>
      <w:t xml:space="preserve">Desafio Prático 2 — Fundamentos de Dados para IA  |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spacing w:after="120" w:before="0" w:line="240" w:lineRule="auto"/>
      <w:jc w:val="right"/>
      <w:rPr/>
    </w:pPr>
    <w:r w:rsidDel="00000000" w:rsidR="00000000" w:rsidRPr="00000000">
      <w:rPr>
        <w:b w:val="1"/>
        <w:bCs w:val="1"/>
        <w:color w:val="464646"/>
        <w:sz w:val="16"/>
        <w:szCs w:val="16"/>
        <w:rtl w:val="0"/>
      </w:rPr>
      <w:t xml:space="preserve">FIC_DEV — Fundamentos de Dados para IA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40" w:line="240" w:lineRule="auto"/>
    </w:pPr>
    <w:rPr>
      <w:rFonts w:ascii="Calibri" w:cs="Calibri" w:eastAsia="Calibri" w:hAnsi="Calibri"/>
      <w:b w:val="1"/>
      <w:bCs w:val="1"/>
      <w:color w:val="00000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80" w:line="24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40" w:line="240" w:lineRule="auto"/>
    </w:pPr>
    <w:rPr>
      <w:rFonts w:ascii="Calibri" w:cs="Calibri" w:eastAsia="Calibri" w:hAnsi="Calibri"/>
      <w:b w:val="1"/>
      <w:bCs w:val="1"/>
      <w:color w:val="000000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b w:val="1"/>
      <w:bCs w:val="1"/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i w:val="1"/>
      <w:iCs w:val="1"/>
      <w:color w:val="000000"/>
    </w:rPr>
  </w:style>
  <w:style w:type="paragraph" w:styleId="Title">
    <w:name w:val="Title"/>
    <w:basedOn w:val="Normal"/>
    <w:next w:val="Normal"/>
    <w:pPr>
      <w:keepNext w:val="1"/>
      <w:pBdr>
        <w:bottom w:color="7b7b7b" w:space="4" w:sz="8" w:val="single"/>
      </w:pBdr>
      <w:spacing w:after="160" w:before="0" w:line="240" w:lineRule="auto"/>
    </w:pPr>
    <w:rPr>
      <w:rFonts w:ascii="Calibri" w:cs="Calibri" w:eastAsia="Calibri" w:hAnsi="Calibri"/>
      <w:b w:val="1"/>
      <w:bCs w:val="1"/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spacing w:after="200" w:before="0" w:line="240" w:lineRule="auto"/>
    </w:pPr>
    <w:rPr>
      <w:rFonts w:ascii="Calibri" w:cs="Calibri" w:eastAsia="Calibri" w:hAnsi="Calibri"/>
      <w:b w:val="0"/>
      <w:bCs w:val="0"/>
      <w:i w:val="1"/>
      <w:iCs w:val="1"/>
      <w:color w:val="00000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0.0" w:type="dxa"/>
        <w:bottom w:w="100.0" w:type="dxa"/>
        <w:right w:w="1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0.0" w:type="dxa"/>
        <w:bottom w:w="100.0" w:type="dxa"/>
        <w:right w:w="1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0.0" w:type="dxa"/>
        <w:bottom w:w="100.0" w:type="dxa"/>
        <w:right w:w="1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0.0" w:type="dxa"/>
        <w:bottom w:w="100.0" w:type="dxa"/>
        <w:right w:w="1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0.0" w:type="dxa"/>
        <w:bottom w:w="100.0" w:type="dxa"/>
        <w:right w:w="1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10.0" w:type="dxa"/>
        <w:bottom w:w="100.0" w:type="dxa"/>
        <w:right w:w="1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10.0" w:type="dxa"/>
        <w:bottom w:w="100.0" w:type="dxa"/>
        <w:right w:w="1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10.0" w:type="dxa"/>
        <w:bottom w:w="100.0" w:type="dxa"/>
        <w:right w:w="1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10.0" w:type="dxa"/>
        <w:bottom w:w="100.0" w:type="dxa"/>
        <w:right w:w="1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10.0" w:type="dxa"/>
        <w:bottom w:w="100.0" w:type="dxa"/>
        <w:right w:w="1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