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Memorial Descritivo — Proposta de Marca para o Curso Superior de Tecnologia em Design de Produto</w:t>
      </w:r>
    </w:p>
    <w:p>
      <w:pPr>
        <w:pStyle w:val="Subtitle"/>
      </w:pPr>
      <w:r>
        <w:t xml:space="preserve">Instituto Federal de Brasília — Campus Samambaia</w:t>
      </w:r>
    </w:p>
    <w:p>
      <w:pPr>
        <w:pStyle w:val="Author"/>
      </w:pPr>
      <w:r>
        <w:t xml:space="preserve">Victor Costa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memorial-descritivo"/>
    <w:p>
      <w:pPr>
        <w:pStyle w:val="Heading1"/>
      </w:pPr>
      <w:r>
        <w:t xml:space="preserve">Memorial Descritivo</w:t>
      </w:r>
    </w:p>
    <w:bookmarkStart w:id="9" w:name="Xb57b8bb385360c95ba0250254e7a630469b20ea"/>
    <w:p>
      <w:pPr>
        <w:pStyle w:val="Heading2"/>
      </w:pPr>
      <w:r>
        <w:t xml:space="preserve">Proposta de Marca para o Curso Superior de Tecnologia em Design de Produto</w:t>
      </w:r>
    </w:p>
    <w:p>
      <w:pPr>
        <w:pStyle w:val="FirstParagraph"/>
      </w:pPr>
      <w:r>
        <w:rPr>
          <w:b/>
          <w:bCs/>
        </w:rPr>
        <w:t xml:space="preserve">Instituto Federal de Educação, Ciência e Tecnologia de Brasília — Campus Samambaia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Victor Costa</w:t>
      </w:r>
    </w:p>
    <w:p>
      <w:pPr>
        <w:pStyle w:val="BodyText"/>
      </w:pPr>
      <w:r>
        <w:rPr>
          <w:b/>
          <w:bCs/>
        </w:rPr>
        <w:t xml:space="preserve">Ano:</w:t>
      </w:r>
      <w:r>
        <w:t xml:space="preserve"> </w:t>
      </w:r>
      <w:r>
        <w:t xml:space="preserve">2026</w:t>
      </w:r>
    </w:p>
    <w:p>
      <w:pPr>
        <w:pStyle w:val="BodyText"/>
      </w:pPr>
      <w:r>
        <w:t xml:space="preserve">[IMAGEM: Marca final do Curso Superior de Tecnologia em Design de Produto — versão principal em cores, centralizada, sobre fundo branco]</w:t>
      </w:r>
    </w:p>
    <w:bookmarkEnd w:id="9"/>
    <w:bookmarkEnd w:id="10"/>
    <w:bookmarkStart w:id="11" w:name="sumário"/>
    <w:p>
      <w:pPr>
        <w:pStyle w:val="Heading1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hyperlink w:anchor="Xc2970a1a23df3ef3b34d1da3795ce3cec2678cb">
        <w:r>
          <w:rPr>
            <w:rStyle w:val="Hyperlink"/>
          </w:rPr>
          <w:t xml:space="preserve">Introdução</w:t>
        </w:r>
      </w:hyperlink>
    </w:p>
    <w:p>
      <w:pPr>
        <w:pStyle w:val="Compact"/>
        <w:numPr>
          <w:ilvl w:val="0"/>
          <w:numId w:val="1001"/>
        </w:numPr>
      </w:pPr>
      <w:hyperlink w:anchor="X88e107198ce477a1a877419b2d6b7b5fdb1aed1">
        <w:r>
          <w:rPr>
            <w:rStyle w:val="Hyperlink"/>
          </w:rPr>
          <w:t xml:space="preserve">Contexto Institucional</w:t>
        </w:r>
      </w:hyperlink>
    </w:p>
    <w:p>
      <w:pPr>
        <w:pStyle w:val="Compact"/>
        <w:numPr>
          <w:ilvl w:val="1"/>
          <w:numId w:val="1002"/>
        </w:numPr>
      </w:pPr>
      <w:r>
        <w:t xml:space="preserve">2.1</w:t>
      </w:r>
      <w:r>
        <w:t xml:space="preserve"> </w:t>
      </w:r>
      <w:hyperlink w:anchor="X123b0e01346a079b1a58eed7dc1b0ba6472d0c0">
        <w:r>
          <w:rPr>
            <w:rStyle w:val="Hyperlink"/>
          </w:rPr>
          <w:t xml:space="preserve">O Instituto Federal de Brasília</w:t>
        </w:r>
      </w:hyperlink>
    </w:p>
    <w:p>
      <w:pPr>
        <w:pStyle w:val="Compact"/>
        <w:numPr>
          <w:ilvl w:val="1"/>
          <w:numId w:val="1002"/>
        </w:numPr>
      </w:pPr>
      <w:r>
        <w:t xml:space="preserve">2.2</w:t>
      </w:r>
      <w:r>
        <w:t xml:space="preserve"> </w:t>
      </w:r>
      <w:hyperlink w:anchor="X624c412510218062ba9da528126ce53428f23dc">
        <w:r>
          <w:rPr>
            <w:rStyle w:val="Hyperlink"/>
          </w:rPr>
          <w:t xml:space="preserve">O Curso Superior de Tecnologia em Design de Produto</w:t>
        </w:r>
      </w:hyperlink>
    </w:p>
    <w:p>
      <w:pPr>
        <w:pStyle w:val="Compact"/>
        <w:numPr>
          <w:ilvl w:val="1"/>
          <w:numId w:val="1002"/>
        </w:numPr>
      </w:pPr>
      <w:r>
        <w:t xml:space="preserve">2.3</w:t>
      </w:r>
      <w:r>
        <w:t xml:space="preserve"> </w:t>
      </w:r>
      <w:hyperlink w:anchor="Xe51bb5d263452ce8a6ba43ed4808dd13be73d29">
        <w:r>
          <w:rPr>
            <w:rStyle w:val="Hyperlink"/>
          </w:rPr>
          <w:t xml:space="preserve">Brasília, Cidade Criativa do Design — UNESCO</w:t>
        </w:r>
      </w:hyperlink>
    </w:p>
    <w:p>
      <w:pPr>
        <w:pStyle w:val="Compact"/>
        <w:numPr>
          <w:ilvl w:val="0"/>
          <w:numId w:val="1001"/>
        </w:numPr>
      </w:pPr>
      <w:hyperlink w:anchor="Xda7eb0cfd896c55b8b88b0e6d60ed85adf8a017">
        <w:r>
          <w:rPr>
            <w:rStyle w:val="Hyperlink"/>
          </w:rPr>
          <w:t xml:space="preserve">Fundamentação Teórica</w:t>
        </w:r>
      </w:hyperlink>
    </w:p>
    <w:p>
      <w:pPr>
        <w:pStyle w:val="Compact"/>
        <w:numPr>
          <w:ilvl w:val="1"/>
          <w:numId w:val="1003"/>
        </w:numPr>
      </w:pPr>
      <w:r>
        <w:t xml:space="preserve">3.1</w:t>
      </w:r>
      <w:r>
        <w:t xml:space="preserve"> </w:t>
      </w:r>
      <w:hyperlink w:anchor="Xf6eb0dbeeea8ad9e7c233e2eb44bac7b80dab6c">
        <w:r>
          <w:rPr>
            <w:rStyle w:val="Hyperlink"/>
          </w:rPr>
          <w:t xml:space="preserve">Identidade Visual e Branding</w:t>
        </w:r>
      </w:hyperlink>
    </w:p>
    <w:p>
      <w:pPr>
        <w:pStyle w:val="Compact"/>
        <w:numPr>
          <w:ilvl w:val="1"/>
          <w:numId w:val="1003"/>
        </w:numPr>
      </w:pPr>
      <w:r>
        <w:t xml:space="preserve">3.2</w:t>
      </w:r>
      <w:r>
        <w:t xml:space="preserve"> </w:t>
      </w:r>
      <w:hyperlink w:anchor="Xd9bc2c994bc9fb7bfdd81184dd19afcf9493746">
        <w:r>
          <w:rPr>
            <w:rStyle w:val="Hyperlink"/>
          </w:rPr>
          <w:t xml:space="preserve">Semiótica e Percepção Visual</w:t>
        </w:r>
      </w:hyperlink>
    </w:p>
    <w:p>
      <w:pPr>
        <w:pStyle w:val="Compact"/>
        <w:numPr>
          <w:ilvl w:val="1"/>
          <w:numId w:val="1003"/>
        </w:numPr>
      </w:pPr>
      <w:r>
        <w:t xml:space="preserve">3.3</w:t>
      </w:r>
      <w:r>
        <w:t xml:space="preserve"> </w:t>
      </w:r>
      <w:hyperlink w:anchor="X555b7ef0fc669b530b9f7bdc2126293edbc5188">
        <w:r>
          <w:rPr>
            <w:rStyle w:val="Hyperlink"/>
          </w:rPr>
          <w:t xml:space="preserve">Design de Produto: Matéria, Projeto e Formação</w:t>
        </w:r>
      </w:hyperlink>
    </w:p>
    <w:p>
      <w:pPr>
        <w:pStyle w:val="Compact"/>
        <w:numPr>
          <w:ilvl w:val="0"/>
          <w:numId w:val="1001"/>
        </w:numPr>
      </w:pPr>
      <w:hyperlink w:anchor="X85e31aec256865a400c3dd2dccc0d9ac84b920f">
        <w:r>
          <w:rPr>
            <w:rStyle w:val="Hyperlink"/>
          </w:rPr>
          <w:t xml:space="preserve">Conceito da Marca</w:t>
        </w:r>
      </w:hyperlink>
    </w:p>
    <w:p>
      <w:pPr>
        <w:pStyle w:val="Compact"/>
        <w:numPr>
          <w:ilvl w:val="1"/>
          <w:numId w:val="1004"/>
        </w:numPr>
      </w:pPr>
      <w:r>
        <w:t xml:space="preserve">4.1</w:t>
      </w:r>
      <w:r>
        <w:t xml:space="preserve"> </w:t>
      </w:r>
      <w:hyperlink w:anchor="X4d7742cc143c38c15d6491e4b4dbbfa7b69b720">
        <w:r>
          <w:rPr>
            <w:rStyle w:val="Hyperlink"/>
          </w:rPr>
          <w:t xml:space="preserve">Narrativa Conceitual</w:t>
        </w:r>
      </w:hyperlink>
    </w:p>
    <w:p>
      <w:pPr>
        <w:pStyle w:val="Compact"/>
        <w:numPr>
          <w:ilvl w:val="1"/>
          <w:numId w:val="1004"/>
        </w:numPr>
      </w:pPr>
      <w:r>
        <w:t xml:space="preserve">4.2</w:t>
      </w:r>
      <w:r>
        <w:t xml:space="preserve"> </w:t>
      </w:r>
      <w:hyperlink w:anchor="X04a077249375e79f59b8323cbeda6da07e5a1b6">
        <w:r>
          <w:rPr>
            <w:rStyle w:val="Hyperlink"/>
          </w:rPr>
          <w:t xml:space="preserve">Conexão com a Identidade IFB</w:t>
        </w:r>
      </w:hyperlink>
    </w:p>
    <w:p>
      <w:pPr>
        <w:pStyle w:val="Compact"/>
        <w:numPr>
          <w:ilvl w:val="0"/>
          <w:numId w:val="1001"/>
        </w:numPr>
      </w:pPr>
      <w:hyperlink w:anchor="Xea10964d51dabc4fe736e85bcffe8f2cd6b5025">
        <w:r>
          <w:rPr>
            <w:rStyle w:val="Hyperlink"/>
          </w:rPr>
          <w:t xml:space="preserve">Processo Construtivo</w:t>
        </w:r>
      </w:hyperlink>
    </w:p>
    <w:p>
      <w:pPr>
        <w:pStyle w:val="Compact"/>
        <w:numPr>
          <w:ilvl w:val="1"/>
          <w:numId w:val="1005"/>
        </w:numPr>
      </w:pPr>
      <w:r>
        <w:t xml:space="preserve">5.1</w:t>
      </w:r>
      <w:r>
        <w:t xml:space="preserve"> </w:t>
      </w:r>
      <w:hyperlink w:anchor="X8b311a79dec96ffe2eca3fc529ecc40b6a34dce">
        <w:r>
          <w:rPr>
            <w:rStyle w:val="Hyperlink"/>
          </w:rPr>
          <w:t xml:space="preserve">Análise da Identidade IFB</w:t>
        </w:r>
      </w:hyperlink>
    </w:p>
    <w:p>
      <w:pPr>
        <w:pStyle w:val="Compact"/>
        <w:numPr>
          <w:ilvl w:val="1"/>
          <w:numId w:val="1005"/>
        </w:numPr>
      </w:pPr>
      <w:r>
        <w:t xml:space="preserve">5.2</w:t>
      </w:r>
      <w:r>
        <w:t xml:space="preserve"> </w:t>
      </w:r>
      <w:hyperlink w:anchor="X582e7a94d5394242d14f59d9473a5930b21d0bf">
        <w:r>
          <w:rPr>
            <w:rStyle w:val="Hyperlink"/>
          </w:rPr>
          <w:t xml:space="preserve">Extração e Abstração dos Elementos</w:t>
        </w:r>
      </w:hyperlink>
    </w:p>
    <w:p>
      <w:pPr>
        <w:pStyle w:val="Compact"/>
        <w:numPr>
          <w:ilvl w:val="1"/>
          <w:numId w:val="1005"/>
        </w:numPr>
      </w:pPr>
      <w:r>
        <w:t xml:space="preserve">5.3</w:t>
      </w:r>
      <w:r>
        <w:t xml:space="preserve"> </w:t>
      </w:r>
      <w:hyperlink w:anchor="X9250a64ba6b8fef75f0c721b17c83ff721d5f01">
        <w:r>
          <w:rPr>
            <w:rStyle w:val="Hyperlink"/>
          </w:rPr>
          <w:t xml:space="preserve">Exploração Formal e Composição</w:t>
        </w:r>
      </w:hyperlink>
    </w:p>
    <w:p>
      <w:pPr>
        <w:pStyle w:val="Compact"/>
        <w:numPr>
          <w:ilvl w:val="1"/>
          <w:numId w:val="1005"/>
        </w:numPr>
      </w:pPr>
      <w:r>
        <w:t xml:space="preserve">5.4</w:t>
      </w:r>
      <w:r>
        <w:t xml:space="preserve"> </w:t>
      </w:r>
      <w:hyperlink w:anchor="Xd9125673c77404496a79b07b8f02fa06d7a1fab">
        <w:r>
          <w:rPr>
            <w:rStyle w:val="Hyperlink"/>
          </w:rPr>
          <w:t xml:space="preserve">Solução Final</w:t>
        </w:r>
      </w:hyperlink>
    </w:p>
    <w:p>
      <w:pPr>
        <w:pStyle w:val="Compact"/>
        <w:numPr>
          <w:ilvl w:val="0"/>
          <w:numId w:val="1001"/>
        </w:numPr>
      </w:pPr>
      <w:hyperlink w:anchor="X526af7b10b78c17cca1af429882bfb469ca64c5">
        <w:r>
          <w:rPr>
            <w:rStyle w:val="Hyperlink"/>
          </w:rPr>
          <w:t xml:space="preserve">Análise Semiótica</w:t>
        </w:r>
      </w:hyperlink>
    </w:p>
    <w:p>
      <w:pPr>
        <w:pStyle w:val="Compact"/>
        <w:numPr>
          <w:ilvl w:val="1"/>
          <w:numId w:val="1006"/>
        </w:numPr>
      </w:pPr>
      <w:r>
        <w:t xml:space="preserve">6.1</w:t>
      </w:r>
      <w:r>
        <w:t xml:space="preserve"> </w:t>
      </w:r>
      <w:hyperlink w:anchor="X3229d7aed5c42309abbac704f18fc72b0bc07e0">
        <w:r>
          <w:rPr>
            <w:rStyle w:val="Hyperlink"/>
          </w:rPr>
          <w:t xml:space="preserve">Leituras Visuais</w:t>
        </w:r>
      </w:hyperlink>
    </w:p>
    <w:p>
      <w:pPr>
        <w:pStyle w:val="Compact"/>
        <w:numPr>
          <w:ilvl w:val="1"/>
          <w:numId w:val="1006"/>
        </w:numPr>
      </w:pPr>
      <w:r>
        <w:t xml:space="preserve">6.2</w:t>
      </w:r>
      <w:r>
        <w:t xml:space="preserve"> </w:t>
      </w:r>
      <w:hyperlink w:anchor="X64eb3315796e9a40ad89f7dd4a5064ef0bd5190">
        <w:r>
          <w:rPr>
            <w:rStyle w:val="Hyperlink"/>
          </w:rPr>
          <w:t xml:space="preserve">Coerência Multiconceitual</w:t>
        </w:r>
      </w:hyperlink>
    </w:p>
    <w:p>
      <w:pPr>
        <w:pStyle w:val="Compact"/>
        <w:numPr>
          <w:ilvl w:val="0"/>
          <w:numId w:val="1001"/>
        </w:numPr>
      </w:pPr>
      <w:hyperlink w:anchor="X2c3ba0ece3a513573bae278381c839daa63b7f9">
        <w:r>
          <w:rPr>
            <w:rStyle w:val="Hyperlink"/>
          </w:rPr>
          <w:t xml:space="preserve">Sistema Visual</w:t>
        </w:r>
      </w:hyperlink>
    </w:p>
    <w:p>
      <w:pPr>
        <w:pStyle w:val="Compact"/>
        <w:numPr>
          <w:ilvl w:val="1"/>
          <w:numId w:val="1007"/>
        </w:numPr>
      </w:pPr>
      <w:r>
        <w:t xml:space="preserve">7.1</w:t>
      </w:r>
      <w:r>
        <w:t xml:space="preserve"> </w:t>
      </w:r>
      <w:hyperlink w:anchor="X1207fd584398968da0c47a045a71aae08e67b40">
        <w:r>
          <w:rPr>
            <w:rStyle w:val="Hyperlink"/>
          </w:rPr>
          <w:t xml:space="preserve">Tipografia</w:t>
        </w:r>
      </w:hyperlink>
    </w:p>
    <w:p>
      <w:pPr>
        <w:pStyle w:val="Compact"/>
        <w:numPr>
          <w:ilvl w:val="1"/>
          <w:numId w:val="1007"/>
        </w:numPr>
      </w:pPr>
      <w:r>
        <w:t xml:space="preserve">7.2</w:t>
      </w:r>
      <w:r>
        <w:t xml:space="preserve"> </w:t>
      </w:r>
      <w:hyperlink w:anchor="X6349904aa262612387075958197d7e3f9800571">
        <w:r>
          <w:rPr>
            <w:rStyle w:val="Hyperlink"/>
          </w:rPr>
          <w:t xml:space="preserve">Paleta Cromática</w:t>
        </w:r>
      </w:hyperlink>
    </w:p>
    <w:p>
      <w:pPr>
        <w:pStyle w:val="Compact"/>
        <w:numPr>
          <w:ilvl w:val="1"/>
          <w:numId w:val="1007"/>
        </w:numPr>
      </w:pPr>
      <w:r>
        <w:t xml:space="preserve">7.3</w:t>
      </w:r>
      <w:r>
        <w:t xml:space="preserve"> </w:t>
      </w:r>
      <w:hyperlink w:anchor="X605cc023bcf4e0535cfd47d87aaa41428ab7a6b">
        <w:r>
          <w:rPr>
            <w:rStyle w:val="Hyperlink"/>
          </w:rPr>
          <w:t xml:space="preserve">Malha Construtiva</w:t>
        </w:r>
      </w:hyperlink>
    </w:p>
    <w:p>
      <w:pPr>
        <w:pStyle w:val="Compact"/>
        <w:numPr>
          <w:ilvl w:val="1"/>
          <w:numId w:val="1007"/>
        </w:numPr>
      </w:pPr>
      <w:r>
        <w:t xml:space="preserve">7.4</w:t>
      </w:r>
      <w:r>
        <w:t xml:space="preserve"> </w:t>
      </w:r>
      <w:hyperlink w:anchor="X4cb6093d2152ec90881474a75f20566eb54620c">
        <w:r>
          <w:rPr>
            <w:rStyle w:val="Hyperlink"/>
          </w:rPr>
          <w:t xml:space="preserve">Versões da Marca</w:t>
        </w:r>
      </w:hyperlink>
    </w:p>
    <w:p>
      <w:pPr>
        <w:pStyle w:val="Compact"/>
        <w:numPr>
          <w:ilvl w:val="0"/>
          <w:numId w:val="1001"/>
        </w:numPr>
      </w:pPr>
      <w:hyperlink w:anchor="X77260495edcf91851a588272966d775c66a64fa">
        <w:r>
          <w:rPr>
            <w:rStyle w:val="Hyperlink"/>
          </w:rPr>
          <w:t xml:space="preserve">Aplicações</w:t>
        </w:r>
      </w:hyperlink>
    </w:p>
    <w:p>
      <w:pPr>
        <w:pStyle w:val="Compact"/>
        <w:numPr>
          <w:ilvl w:val="1"/>
          <w:numId w:val="1008"/>
        </w:numPr>
      </w:pPr>
      <w:r>
        <w:t xml:space="preserve">8.1</w:t>
      </w:r>
      <w:r>
        <w:t xml:space="preserve"> </w:t>
      </w:r>
      <w:hyperlink w:anchor="X985558a804789e0cf8775cd2781252acf508e3e">
        <w:r>
          <w:rPr>
            <w:rStyle w:val="Hyperlink"/>
          </w:rPr>
          <w:t xml:space="preserve">Aplicações Institucionais</w:t>
        </w:r>
      </w:hyperlink>
    </w:p>
    <w:p>
      <w:pPr>
        <w:pStyle w:val="Compact"/>
        <w:numPr>
          <w:ilvl w:val="1"/>
          <w:numId w:val="1008"/>
        </w:numPr>
      </w:pPr>
      <w:r>
        <w:t xml:space="preserve">8.2</w:t>
      </w:r>
      <w:r>
        <w:t xml:space="preserve"> </w:t>
      </w:r>
      <w:hyperlink w:anchor="Xcef89f91b80ea37f679712eb9ad383d494c8592">
        <w:r>
          <w:rPr>
            <w:rStyle w:val="Hyperlink"/>
          </w:rPr>
          <w:t xml:space="preserve">Produtos do Curso</w:t>
        </w:r>
      </w:hyperlink>
    </w:p>
    <w:p>
      <w:pPr>
        <w:pStyle w:val="Compact"/>
        <w:numPr>
          <w:ilvl w:val="1"/>
          <w:numId w:val="1008"/>
        </w:numPr>
      </w:pPr>
      <w:r>
        <w:t xml:space="preserve">8.3</w:t>
      </w:r>
      <w:r>
        <w:t xml:space="preserve"> </w:t>
      </w:r>
      <w:hyperlink w:anchor="Xce896c4a67ceff6f9a775363a9a1a995d4b6c57">
        <w:r>
          <w:rPr>
            <w:rStyle w:val="Hyperlink"/>
          </w:rPr>
          <w:t xml:space="preserve">Coexistência com a Marca IFB</w:t>
        </w:r>
      </w:hyperlink>
    </w:p>
    <w:p>
      <w:pPr>
        <w:pStyle w:val="Compact"/>
        <w:numPr>
          <w:ilvl w:val="0"/>
          <w:numId w:val="1001"/>
        </w:numPr>
      </w:pPr>
      <w:hyperlink w:anchor="Xd63f666d41082d00d389eda20cf2a6fb378b9e7">
        <w:r>
          <w:rPr>
            <w:rStyle w:val="Hyperlink"/>
          </w:rPr>
          <w:t xml:space="preserve">Especificações Técnicas</w:t>
        </w:r>
      </w:hyperlink>
    </w:p>
    <w:p>
      <w:pPr>
        <w:pStyle w:val="Compact"/>
        <w:numPr>
          <w:ilvl w:val="0"/>
          <w:numId w:val="1001"/>
        </w:numPr>
      </w:pPr>
      <w:hyperlink w:anchor="X4a70c0ec2d00113590c8e4b341ec9298736cd7d">
        <w:r>
          <w:rPr>
            <w:rStyle w:val="Hyperlink"/>
          </w:rPr>
          <w:t xml:space="preserve">Considerações sobre o Concurso</w:t>
        </w:r>
      </w:hyperlink>
    </w:p>
    <w:p>
      <w:pPr>
        <w:pStyle w:val="Compact"/>
        <w:numPr>
          <w:ilvl w:val="0"/>
          <w:numId w:val="1001"/>
        </w:numPr>
      </w:pPr>
      <w:hyperlink w:anchor="X2aa9ca057515ece0e55022eb6257a59ee58dd13">
        <w:r>
          <w:rPr>
            <w:rStyle w:val="Hyperlink"/>
          </w:rPr>
          <w:t xml:space="preserve">Considerações Finais</w:t>
        </w:r>
      </w:hyperlink>
    </w:p>
    <w:p>
      <w:pPr>
        <w:pStyle w:val="Compact"/>
        <w:numPr>
          <w:ilvl w:val="0"/>
          <w:numId w:val="1001"/>
        </w:numPr>
      </w:pPr>
      <w:hyperlink w:anchor="Xbc1ef419b8f56f0ef45b9b69a0ee2b58c073902">
        <w:r>
          <w:rPr>
            <w:rStyle w:val="Hyperlink"/>
          </w:rPr>
          <w:t xml:space="preserve">Referências Bibliográficas</w:t>
        </w:r>
      </w:hyperlink>
    </w:p>
    <w:bookmarkEnd w:id="11"/>
    <w:bookmarkStart w:id="12" w:name="lista-de-figuras"/>
    <w:p>
      <w:pPr>
        <w:pStyle w:val="Heading1"/>
      </w:pPr>
      <w:r>
        <w:t xml:space="preserve">Lista de Figuras</w:t>
      </w:r>
    </w:p>
    <w:p>
      <w:pPr>
        <w:pStyle w:val="Compact"/>
        <w:numPr>
          <w:ilvl w:val="0"/>
          <w:numId w:val="1009"/>
        </w:numPr>
      </w:pPr>
      <w:r>
        <w:t xml:space="preserve">Figura 1 — Marca final do Curso Superior de Tecnologia em Design de Produto (capa)</w:t>
      </w:r>
    </w:p>
    <w:p>
      <w:pPr>
        <w:pStyle w:val="Compact"/>
        <w:numPr>
          <w:ilvl w:val="0"/>
          <w:numId w:val="1009"/>
        </w:numPr>
      </w:pPr>
      <w:r>
        <w:t xml:space="preserve">Figura 2 — Marca institucional do IFB (versão vigente)</w:t>
      </w:r>
    </w:p>
    <w:p>
      <w:pPr>
        <w:pStyle w:val="Compact"/>
        <w:numPr>
          <w:ilvl w:val="0"/>
          <w:numId w:val="1009"/>
        </w:numPr>
      </w:pPr>
      <w:r>
        <w:t xml:space="preserve">Figura 3 — Grid construtivo da marca IFB — análise de formas geométricas</w:t>
      </w:r>
    </w:p>
    <w:p>
      <w:pPr>
        <w:pStyle w:val="Compact"/>
        <w:numPr>
          <w:ilvl w:val="0"/>
          <w:numId w:val="1009"/>
        </w:numPr>
      </w:pPr>
      <w:r>
        <w:t xml:space="preserve">Figura 4 — Extração dos elementos geométricos e monocromatização</w:t>
      </w:r>
    </w:p>
    <w:p>
      <w:pPr>
        <w:pStyle w:val="Compact"/>
        <w:numPr>
          <w:ilvl w:val="0"/>
          <w:numId w:val="1009"/>
        </w:numPr>
      </w:pPr>
      <w:r>
        <w:t xml:space="preserve">Figura 5 — Painel de exploração formal — variações compositivas</w:t>
      </w:r>
    </w:p>
    <w:p>
      <w:pPr>
        <w:pStyle w:val="Compact"/>
        <w:numPr>
          <w:ilvl w:val="0"/>
          <w:numId w:val="1009"/>
        </w:numPr>
      </w:pPr>
      <w:r>
        <w:t xml:space="preserve">Figura 6 — Solução final — forma definitiva do símbolo</w:t>
      </w:r>
    </w:p>
    <w:p>
      <w:pPr>
        <w:pStyle w:val="Compact"/>
        <w:numPr>
          <w:ilvl w:val="0"/>
          <w:numId w:val="1009"/>
        </w:numPr>
      </w:pPr>
      <w:r>
        <w:t xml:space="preserve">Figura 7 — Leitura 1: Matéria e Potencial (cubo / caixa aberta)</w:t>
      </w:r>
    </w:p>
    <w:p>
      <w:pPr>
        <w:pStyle w:val="Compact"/>
        <w:numPr>
          <w:ilvl w:val="0"/>
          <w:numId w:val="1009"/>
        </w:numPr>
      </w:pPr>
      <w:r>
        <w:t xml:space="preserve">Figura 8 — Leitura 2: Conhecimento e Leitura (livro aberto)</w:t>
      </w:r>
    </w:p>
    <w:p>
      <w:pPr>
        <w:pStyle w:val="Compact"/>
        <w:numPr>
          <w:ilvl w:val="0"/>
          <w:numId w:val="1009"/>
        </w:numPr>
      </w:pPr>
      <w:r>
        <w:t xml:space="preserve">Figura 9 — Leitura 3: Formação e Conquista (capelo acadêmico)</w:t>
      </w:r>
    </w:p>
    <w:p>
      <w:pPr>
        <w:pStyle w:val="Compact"/>
        <w:numPr>
          <w:ilvl w:val="0"/>
          <w:numId w:val="1009"/>
        </w:numPr>
      </w:pPr>
      <w:r>
        <w:t xml:space="preserve">Figura 10 — Leitura 4: Caminhos e Expansão (portal / limiar)</w:t>
      </w:r>
    </w:p>
    <w:p>
      <w:pPr>
        <w:pStyle w:val="Compact"/>
        <w:numPr>
          <w:ilvl w:val="0"/>
          <w:numId w:val="1009"/>
        </w:numPr>
      </w:pPr>
      <w:r>
        <w:t xml:space="preserve">Figura 11 — Diagrama da sequência narrativa multiconceitual</w:t>
      </w:r>
    </w:p>
    <w:p>
      <w:pPr>
        <w:pStyle w:val="Compact"/>
        <w:numPr>
          <w:ilvl w:val="0"/>
          <w:numId w:val="1009"/>
        </w:numPr>
      </w:pPr>
      <w:r>
        <w:t xml:space="preserve">Figura 12 — Assinatura tipográfica — fonte e composição</w:t>
      </w:r>
    </w:p>
    <w:p>
      <w:pPr>
        <w:pStyle w:val="Compact"/>
        <w:numPr>
          <w:ilvl w:val="0"/>
          <w:numId w:val="1009"/>
        </w:numPr>
      </w:pPr>
      <w:r>
        <w:t xml:space="preserve">Figura 13 — Paleta cromática com códigos técnicos</w:t>
      </w:r>
    </w:p>
    <w:p>
      <w:pPr>
        <w:pStyle w:val="Compact"/>
        <w:numPr>
          <w:ilvl w:val="0"/>
          <w:numId w:val="1009"/>
        </w:numPr>
      </w:pPr>
      <w:r>
        <w:t xml:space="preserve">Figura 14 — Malha construtiva, proporções e área de proteção</w:t>
      </w:r>
    </w:p>
    <w:p>
      <w:pPr>
        <w:pStyle w:val="Compact"/>
        <w:numPr>
          <w:ilvl w:val="0"/>
          <w:numId w:val="1009"/>
        </w:numPr>
      </w:pPr>
      <w:r>
        <w:t xml:space="preserve">Figura 15 — Versões da marca (principal, vertical, símbolo, monocromáticas)</w:t>
      </w:r>
    </w:p>
    <w:p>
      <w:pPr>
        <w:pStyle w:val="Compact"/>
        <w:numPr>
          <w:ilvl w:val="0"/>
          <w:numId w:val="1009"/>
        </w:numPr>
      </w:pPr>
      <w:r>
        <w:t xml:space="preserve">Figura 16 — Usos incorretos da marca</w:t>
      </w:r>
    </w:p>
    <w:p>
      <w:pPr>
        <w:pStyle w:val="Compact"/>
        <w:numPr>
          <w:ilvl w:val="0"/>
          <w:numId w:val="1009"/>
        </w:numPr>
      </w:pPr>
      <w:r>
        <w:t xml:space="preserve">Figura 17 — Aplicações institucionais (papel timbrado, slides, banner, redes sociais)</w:t>
      </w:r>
    </w:p>
    <w:p>
      <w:pPr>
        <w:pStyle w:val="Compact"/>
        <w:numPr>
          <w:ilvl w:val="0"/>
          <w:numId w:val="1009"/>
        </w:numPr>
      </w:pPr>
      <w:r>
        <w:t xml:space="preserve">Figura 18 — Aplicações em produtos do curso (camiseta, etiqueta, sinalização)</w:t>
      </w:r>
    </w:p>
    <w:p>
      <w:pPr>
        <w:pStyle w:val="Compact"/>
        <w:numPr>
          <w:ilvl w:val="0"/>
          <w:numId w:val="1009"/>
        </w:numPr>
      </w:pPr>
      <w:r>
        <w:t xml:space="preserve">Figura 19 — Lockup de coexistência com a marca IFB</w:t>
      </w:r>
    </w:p>
    <w:bookmarkEnd w:id="12"/>
    <w:bookmarkStart w:id="13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Curso Superior de Tecnologia em Design de Produto do Instituto Federal de Brasília, Campus Samambaia, é o único curso público de tecnologia nessa área oferecido no Distrito Federal. Autorizado pela Resolução 38/2019-RIFB/IFB e reestruturado em 2024, o curso forma tecnólogos aptos a projetar objetos industriais com competência técnica, sensibilidade estética e consciência social. No entanto, desde sua criação, o curso não possui identidade visual própria. Toda a sua comunicação depende exclusivamente da marca institucional do IFB, o que dificulta a construção de uma imagem singular perante a comunidade acadêmica, o mercado profissional e a sociedade.</w:t>
      </w:r>
    </w:p>
    <w:p>
      <w:pPr>
        <w:pStyle w:val="BodyText"/>
      </w:pPr>
      <w:r>
        <w:t xml:space="preserve">A ausência de uma marca específica representa mais do que uma lacuna gráfica. Para Wheeler (2019), a identidade visual é o conjunto tangível de manifestações sensoriais de uma marca — aquilo que se pode ver, tocar e ouvir. Sem esse conjunto, a comunicação do curso permanece genérica e indistinguível das dezenas de outros cursos oferecidos pela instituição. Strunck (2012) aponta que o sistema de identidade visual é o instrumento que permite a uma organização ser reconhecida e diferenciada, funcionando como síntese visual de seus valores. Peón (2009), por sua vez, define o sistema de identidade visual como um sistema que organiza os elementos gráficos que representam uma entidade, conferindo-lhe singularidade, unidade e coerência.</w:t>
      </w:r>
    </w:p>
    <w:p>
      <w:pPr>
        <w:pStyle w:val="BodyText"/>
      </w:pPr>
      <w:r>
        <w:t xml:space="preserve">A construção de marcas para subdivisões de instituições públicas de ensino envolve desafios específicos. A marca do curso precisa, simultaneamente, expressar autonomia e pertencimento: deve ser reconhecida como parte da família visual do IFB, mas também comunicar os valores, a vocação e a identidade própria do Design de Produto.</w:t>
      </w:r>
    </w:p>
    <w:p>
      <w:pPr>
        <w:pStyle w:val="BodyText"/>
      </w:pPr>
      <w:r>
        <w:t xml:space="preserve">Este memorial descritivo documenta e fundamenta a proposta de marca criada para o curso. O trabalho está organizado em três blocos: o primeiro situa o curso no contexto institucional e territorial; o segundo desenvolve a fundamentação teórica que ampara as decisões projetuais, articulando conceitos de branding, semiótica e teoria do design de produto; o terceiro apresenta o processo construtivo, a análise semiótica da solução, o sistema visual completo e suas aplicações.</w:t>
      </w:r>
    </w:p>
    <w:p>
      <w:pPr>
        <w:pStyle w:val="BodyText"/>
      </w:pPr>
      <w:r>
        <w:t xml:space="preserve">A metodologia adotada combina pesquisa bibliográfica nas áreas de identidade visual, semiótica e design de produto com análise da identidade gráfica vigente do IFB e desenvolvimento projetual iterativo. Os dados formais do curso foram extraídos do Projeto Pedagógico de Curso (PPC) vigente, reestruturado em 2024.</w:t>
      </w:r>
    </w:p>
    <w:bookmarkEnd w:id="13"/>
    <w:bookmarkStart w:id="17" w:name="contexto-institucional"/>
    <w:p>
      <w:pPr>
        <w:pStyle w:val="Heading1"/>
      </w:pPr>
      <w:r>
        <w:t xml:space="preserve">2. Contexto Institucional</w:t>
      </w:r>
    </w:p>
    <w:bookmarkStart w:id="14" w:name="o-instituto-federal-de-brasília"/>
    <w:p>
      <w:pPr>
        <w:pStyle w:val="Heading2"/>
      </w:pPr>
      <w:r>
        <w:t xml:space="preserve">2.1 O Instituto Federal de Brasília</w:t>
      </w:r>
    </w:p>
    <w:p>
      <w:pPr>
        <w:pStyle w:val="FirstParagraph"/>
      </w:pPr>
      <w:r>
        <w:t xml:space="preserve">O Instituto Federal de Educação, Ciência e Tecnologia de Brasília (IFB) é uma instituição pública federal de ensino vinculada ao Ministério da Educação, criada pela Lei nº 11.892, de 29 de dezembro de 2008. Sua missão é</w:t>
      </w:r>
      <w:r>
        <w:t xml:space="preserve"> </w:t>
      </w:r>
      <w:r>
        <w:t xml:space="preserve">“transformar vidas por meio da Educação Profissional e Tecnológica, gratuita e de qualidade, promovendo a formação integral, a sustentabilidade, a inclusão e o respeito aos direitos humanos”</w:t>
      </w:r>
      <w:r>
        <w:t xml:space="preserve"> </w:t>
      </w:r>
      <w:r>
        <w:t xml:space="preserve">(IFB, 2024). Os valores institucionais — justiça, solidariedade, cidadania, excelência profissional e efetividade — orientam todas as ações da instituição.</w:t>
      </w:r>
    </w:p>
    <w:p>
      <w:pPr>
        <w:pStyle w:val="BodyText"/>
      </w:pPr>
      <w:r>
        <w:t xml:space="preserve">O Campus Samambaia, situado no Subcentro Leste, Complexo Boca da Mata, Lote 01, Samambaia – DF, CEP 70860-100, foi a primeira instituição pública e gratuita de ensino profissional a se instalar na região. Sua vocação para o eixo tecnológico de Produção Cultural e Design se manifesta na oferta articulada de cursos em diferentes níveis: o Curso Técnico em Design de Móveis, integrado ao Ensino Médio, e o Curso Superior de Tecnologia em Design de Produto.</w:t>
      </w:r>
    </w:p>
    <w:p>
      <w:pPr>
        <w:pStyle w:val="BodyText"/>
      </w:pPr>
      <w:r>
        <w:t xml:space="preserve">Essa articulação responde ao princípio de verticalização do ensino previsto na Lei 11.892/2008 e ratificado pelo Plano de Desenvolvimento Institucional (PDI 2024/2030). A verticalização permite que o estudante ingresse no Campus pelo ensino médio técnico e prossiga, na mesma instituição, para o ensino superior, percorrendo uma trajetória formativa coerente dentro de um mesmo eixo de conhecimento. A criação do Curso Superior de Tecnologia em Design de Produto materializa essa diretriz: é a continuidade natural do Técnico em Design de Móveis.</w:t>
      </w:r>
    </w:p>
    <w:p>
      <w:pPr>
        <w:pStyle w:val="BodyText"/>
      </w:pPr>
      <w:r>
        <w:t xml:space="preserve">A identidade visual institucional do IFB — composta por um símbolo geométrico, tipografia padronizada e paleta cromática em tons de verde e vermelho — constitui o ponto de partida gráfico deste projeto. A marca do curso precisa dialogar com esse sistema sem replicá-lo: precisa ser reconhecida como parte da família institucional e, ao mesmo tempo, afirmar a especificidade do Design de Produto.</w:t>
      </w:r>
    </w:p>
    <w:bookmarkEnd w:id="14"/>
    <w:bookmarkStart w:id="15" w:name="Xeea419a17e6832269996a995d8dcd9a219ee100"/>
    <w:p>
      <w:pPr>
        <w:pStyle w:val="Heading2"/>
      </w:pPr>
      <w:r>
        <w:t xml:space="preserve">2.2 O Curso Superior de Tecnologia em Design de Produto</w:t>
      </w:r>
    </w:p>
    <w:p>
      <w:pPr>
        <w:pStyle w:val="FirstParagraph"/>
      </w:pPr>
      <w:r>
        <w:t xml:space="preserve">O Quadro de Identificação do Curso, conforme o PPC vigente (IFB, 2024), registra os seguintes dados formais: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Denominação</w:t>
            </w:r>
          </w:p>
        </w:tc>
        <w:tc>
          <w:tcPr/>
          <w:p>
            <w:pPr>
              <w:pStyle w:val="Compact"/>
            </w:pPr>
            <w:r>
              <w:t xml:space="preserve">Curso Superior de Tecnologia em Design de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Eixo Tecnológico</w:t>
            </w:r>
          </w:p>
        </w:tc>
        <w:tc>
          <w:tcPr/>
          <w:p>
            <w:pPr>
              <w:pStyle w:val="Compact"/>
            </w:pPr>
            <w:r>
              <w:t xml:space="preserve">Produção Cultural 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Titulação</w:t>
            </w:r>
          </w:p>
        </w:tc>
        <w:tc>
          <w:tcPr/>
          <w:p>
            <w:pPr>
              <w:pStyle w:val="Compact"/>
            </w:pPr>
            <w:r>
              <w:t xml:space="preserve">Tecnólogo em Design de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 Associada</w:t>
            </w:r>
          </w:p>
        </w:tc>
        <w:tc>
          <w:tcPr/>
          <w:p>
            <w:pPr>
              <w:pStyle w:val="Compact"/>
            </w:pPr>
            <w:r>
              <w:t xml:space="preserve">262420 — Desenhista Industrial de Produto (Designer de Produto)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Horária Total</w:t>
            </w:r>
          </w:p>
        </w:tc>
        <w:tc>
          <w:tcPr/>
          <w:p>
            <w:pPr>
              <w:pStyle w:val="Compact"/>
            </w:pPr>
            <w:r>
              <w:t xml:space="preserve">1.654,90 horas-relógio / 1.985,88 horas-aula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Integralização</w:t>
            </w:r>
          </w:p>
        </w:tc>
        <w:tc>
          <w:tcPr/>
          <w:p>
            <w:pPr>
              <w:pStyle w:val="Compact"/>
            </w:pPr>
            <w:r>
              <w:t xml:space="preserve">Previsto: 4 semestres / Máximo: 8 semestres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Vagas por Processo Seletivo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</w:t>
            </w:r>
          </w:p>
        </w:tc>
        <w:tc>
          <w:tcPr/>
          <w:p>
            <w:pPr>
              <w:pStyle w:val="Compact"/>
            </w:pPr>
            <w:r>
              <w:t xml:space="preserve">Vespertino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Modalidade</w:t>
            </w:r>
          </w:p>
        </w:tc>
        <w:tc>
          <w:tcPr/>
          <w:p>
            <w:pPr>
              <w:pStyle w:val="Compact"/>
            </w:pPr>
            <w:r>
              <w:t xml:space="preserve">Presencial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 de Ingresso</w:t>
            </w:r>
          </w:p>
        </w:tc>
        <w:tc>
          <w:tcPr/>
          <w:p>
            <w:pPr>
              <w:pStyle w:val="Compact"/>
            </w:pPr>
            <w:r>
              <w:t xml:space="preserve">SISU, editais de portador de diploma e transferências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Resolução Autorizativa</w:t>
            </w:r>
          </w:p>
        </w:tc>
        <w:tc>
          <w:tcPr/>
          <w:p>
            <w:pPr>
              <w:pStyle w:val="Compact"/>
            </w:pPr>
            <w:r>
              <w:t xml:space="preserve">Resolução 38/2019-RIFB/IFB</w:t>
            </w:r>
          </w:p>
        </w:tc>
      </w:tr>
    </w:tbl>
    <w:p>
      <w:pPr>
        <w:pStyle w:val="BodyText"/>
      </w:pPr>
      <w:r>
        <w:t xml:space="preserve">O curso tem como objetivo geral formar profissionais especializados, conscientes, éticos, com sensibilidade artística e análise crítica e reflexiva, aptos a atuar no desenvolvimento de produtos de informações visuais, artísticas, estéticas, culturais e tecnológicas. O profissional formado soluciona problemas cotidianos de cunho profissional por meio do domínio de conhecimentos técnico-científicos em seu campo de atuação, atua na gestão de projetos em equipe e desenvolve capacidade de liderança e oralidade (IFB, 2024).</w:t>
      </w:r>
    </w:p>
    <w:p>
      <w:pPr>
        <w:pStyle w:val="BodyText"/>
      </w:pPr>
      <w:r>
        <w:t xml:space="preserve">O perfil do egresso é o de um Tecnólogo em Design de Produto competente para projetar objetos considerando a satisfação das necessidades do ser humano e suas relações com o ambiente, com pensamento criativo e analítico tanto sobre processos industriais quanto sobre materiais. A formação direciona o estudante ao conhecimento de linguagens visuais e culturais alinhados às demandas das novas tecnologias, com foco no desenvolvimento econômico regional e nacional (IFB, 2024).</w:t>
      </w:r>
    </w:p>
    <w:p>
      <w:pPr>
        <w:pStyle w:val="BodyText"/>
      </w:pPr>
      <w:r>
        <w:t xml:space="preserve">Entre as competências gerais previstas no PPC, destacam-se: analisar produtos identificando virtudes e deficiências sob os pontos de vista da funcionalidade, ergonomia, estética e fabricabilidade; identificar necessidades e sugerir novos produtos; desenvolver ideias e conceitos em produtos industrializáveis; gerar documentação técnica de projetos; e atuar na gestão do design e da produção com foco na inserção do design na indústria.</w:t>
      </w:r>
    </w:p>
    <w:p>
      <w:pPr>
        <w:pStyle w:val="BodyText"/>
      </w:pPr>
      <w:r>
        <w:t xml:space="preserve">Cabe registrar um diferencial de posicionamento: no Distrito Federal, o único curso equivalente é o Bacharelado em Desenho Industrial — Habilitação em Projeto de Produto, oferecido pela Universidade de Brasília (UnB). O curso do IFB é o único tecnólogo em Design de Produto da região, o que define um nicho formativo próprio: mais curto (4 semestres contra 8 ou 10 do bacharelado), voltado à inserção profissional rápida e articulado com o arranjo produtivo local.</w:t>
      </w:r>
    </w:p>
    <w:bookmarkEnd w:id="15"/>
    <w:bookmarkStart w:id="16" w:name="X053e145c64c0980cad5fa4d6bb60487f939b747"/>
    <w:p>
      <w:pPr>
        <w:pStyle w:val="Heading2"/>
      </w:pPr>
      <w:r>
        <w:t xml:space="preserve">2.3 Brasília, Cidade Criativa do Design — UNESCO</w:t>
      </w:r>
    </w:p>
    <w:p>
      <w:pPr>
        <w:pStyle w:val="FirstParagraph"/>
      </w:pPr>
      <w:r>
        <w:t xml:space="preserve">Em 2017, Brasília recebeu da UNESCO a designação de Cidade Criativa do Design, integrando a Rede de Cidades Criativas da organização. A candidatura, submetida pelo Governo do Distrito Federal por meio da Secretaria de Cultura e Turismo, reconhece a vocação da capital brasileira para o design e a inovação.</w:t>
      </w:r>
    </w:p>
    <w:p>
      <w:pPr>
        <w:pStyle w:val="BodyText"/>
      </w:pPr>
      <w:r>
        <w:t xml:space="preserve">Essa designação não é acidental. Brasília foi fundada como um projeto nacional de desenvolvimento urbano e econômico, e sua concepção é, em si mesma, um ato de design em escala territorial. A herança modernista de Lucio Costa e Oscar Niemeyer legou à cidade um vocabulário visual marcado pela geometria rigorosa, pela clareza formal e pela crença na capacidade do projeto de transformar a realidade.</w:t>
      </w:r>
    </w:p>
    <w:p>
      <w:pPr>
        <w:pStyle w:val="BodyText"/>
      </w:pPr>
      <w:r>
        <w:t xml:space="preserve">O setor de economia criativa de Brasília representa 3,7% do PIB local — cerca de US$ 1,8 bilhão anual — e a cidade ocupa o primeiro lugar no ranking nacional de cidades que atraem e retêm talentos criativos (IFB, 2024, p. 10). A cidade abriga dezenas de laboratórios, incubadoras e eventos voltados ao design, como o Salão Brasil Criativo e o Capital Fashion Week.</w:t>
      </w:r>
    </w:p>
    <w:p>
      <w:pPr>
        <w:pStyle w:val="BodyText"/>
      </w:pPr>
      <w:r>
        <w:t xml:space="preserve">O diálogo entre a marca proposta e o contexto brasiliense se dá pelo vocabulário formal: a geometria rigorosa do símbolo — construída sobre formas primárias (cubo, arco, planos) — ecoa a tradição construtiva e racionalista que define a identidade visual de Brasília. Uma marca para um curso de design de produto nessa cidade precisa carregar, em sua forma, a disciplina geométrica que a própria cidade encarna.</w:t>
      </w:r>
    </w:p>
    <w:bookmarkEnd w:id="16"/>
    <w:bookmarkEnd w:id="17"/>
    <w:bookmarkStart w:id="21" w:name="fundamentação-teórica"/>
    <w:p>
      <w:pPr>
        <w:pStyle w:val="Heading1"/>
      </w:pPr>
      <w:r>
        <w:t xml:space="preserve">3. Fundamentação Teórica</w:t>
      </w:r>
    </w:p>
    <w:bookmarkStart w:id="18" w:name="identidade-visual-e-branding"/>
    <w:p>
      <w:pPr>
        <w:pStyle w:val="Heading2"/>
      </w:pPr>
      <w:r>
        <w:t xml:space="preserve">3.1 Identidade Visual e Branding</w:t>
      </w:r>
    </w:p>
    <w:p>
      <w:pPr>
        <w:pStyle w:val="FirstParagraph"/>
      </w:pPr>
      <w:r>
        <w:t xml:space="preserve">Alina Wheeler (2019), em</w:t>
      </w:r>
      <w:r>
        <w:t xml:space="preserve"> </w:t>
      </w:r>
      <w:r>
        <w:rPr>
          <w:i/>
          <w:iCs/>
        </w:rPr>
        <w:t xml:space="preserve">Design de Identidade de Marca</w:t>
      </w:r>
      <w:r>
        <w:t xml:space="preserve">, define identidade de marca como o conjunto tangível de elementos que se pode ver, tocar e ouvir — o design é o que diferencia e expressa. A identidade visual não é um adorno superficial; é o veículo pelo qual os valores de uma organização se tornam perceptíveis. Para Wheeler, uma identidade eficaz deve funcionar em múltiplas plataformas e suportes, manter coerência ao longo do tempo e ser suficientemente flexível para absorver mudanças sem perder reconhecibilidade.</w:t>
      </w:r>
    </w:p>
    <w:p>
      <w:pPr>
        <w:pStyle w:val="BodyText"/>
      </w:pPr>
      <w:r>
        <w:t xml:space="preserve">Gilberto Strunck (2012), em</w:t>
      </w:r>
      <w:r>
        <w:t xml:space="preserve"> </w:t>
      </w:r>
      <w:r>
        <w:rPr>
          <w:i/>
          <w:iCs/>
        </w:rPr>
        <w:t xml:space="preserve">Como Criar Identidades Visuais para Marcas de Sucesso</w:t>
      </w:r>
      <w:r>
        <w:t xml:space="preserve">, propõe uma taxonomia dos elementos de identidade visual, distinguindo entre elementos primários (logotipo e símbolo) e elementos secundários (cor, tipografia, grafismos complementares). Para Strunck, a marca é a síntese visual dos valores de uma organização, e sua construção exige que cada decisão gráfica seja justificável conceitualmente.</w:t>
      </w:r>
    </w:p>
    <w:p>
      <w:pPr>
        <w:pStyle w:val="BodyText"/>
      </w:pPr>
      <w:r>
        <w:t xml:space="preserve">Maria Luísa Peón (2009), em</w:t>
      </w:r>
      <w:r>
        <w:t xml:space="preserve"> </w:t>
      </w:r>
      <w:r>
        <w:rPr>
          <w:i/>
          <w:iCs/>
        </w:rPr>
        <w:t xml:space="preserve">Sistemas de Identidade Visual</w:t>
      </w:r>
      <w:r>
        <w:t xml:space="preserve">, sistematiza o conceito de Sistema de Identidade Visual (SIV), definindo-o como o conjunto de elementos gráficos que formaliza a percepção visual de uma entidade, conferindo-lhe singularidade, consistência e coerência. O SIV não é a marca isolada, mas o sistema completo de normas que regulam sua aplicação: malha construtiva, paleta cromática, tipografia, versões permitidas, usos incorretos e aplicações em diferentes suportes.</w:t>
      </w:r>
    </w:p>
    <w:p>
      <w:pPr>
        <w:pStyle w:val="BodyText"/>
      </w:pPr>
      <w:r>
        <w:t xml:space="preserve">No caso de uma sub-marca institucional — como a marca de um curso dentro de uma universidade ou instituto federal —, o desafio projetual se multiplica. A marca precisa operar em dois registros: como unidade autônoma (legível e significativa fora do contexto institucional) e como parte de um sistema (coerente com a marca-mãe). Joan Costa (2011), em</w:t>
      </w:r>
      <w:r>
        <w:t xml:space="preserve"> </w:t>
      </w:r>
      <w:r>
        <w:rPr>
          <w:i/>
          <w:iCs/>
        </w:rPr>
        <w:t xml:space="preserve">Design para os Olhos</w:t>
      </w:r>
      <w:r>
        <w:t xml:space="preserve">, argumenta que a identidade visual corporativa é um sistema de signos que funciona por acumulação e repetição, e que sub-marcas ganham força quando mantêm parentesco formal com a marca principal sem serem meras derivações. Marty Neumeier (2006) complementa essa visão ao afirmar que a marca não é o que a organização diz que é, mas o que os outros percebem — e que, portanto, a coerência visual é condição necessária, embora não suficiente, para que essa percepção se construa.</w:t>
      </w:r>
    </w:p>
    <w:bookmarkEnd w:id="18"/>
    <w:bookmarkStart w:id="19" w:name="semiótica-e-percepção-visual"/>
    <w:p>
      <w:pPr>
        <w:pStyle w:val="Heading2"/>
      </w:pPr>
      <w:r>
        <w:t xml:space="preserve">3.2 Semiótica e Percepção Visual</w:t>
      </w:r>
    </w:p>
    <w:p>
      <w:pPr>
        <w:pStyle w:val="FirstParagraph"/>
      </w:pPr>
      <w:r>
        <w:t xml:space="preserve">Charles Sanders Peirce (2005), fundador da semiótica triádica, classifica os signos em ícone, índice e símbolo, conforme a relação entre o signo e seu objeto. O ícone opera por semelhança (o desenho de um cubo é ícone do cubo real); o índice, por contiguidade ou causalidade (a fumaça é índice do fogo); o símbolo, por convenção (a palavra</w:t>
      </w:r>
      <w:r>
        <w:t xml:space="preserve"> </w:t>
      </w:r>
      <w:r>
        <w:t xml:space="preserve">“design”</w:t>
      </w:r>
      <w:r>
        <w:t xml:space="preserve"> </w:t>
      </w:r>
      <w:r>
        <w:t xml:space="preserve">representa o conceito por acordo social). A marca aqui proposta opera simultaneamente nos três registros: é ícone enquanto suas formas se assemelham a objetos reconhecíveis (cubo, livro, capelo); é índice na medida em que aponta para processos (formação, transformação); e é símbolo enquanto se consolida, pelo uso, como representação convencional do curso.</w:t>
      </w:r>
    </w:p>
    <w:p>
      <w:pPr>
        <w:pStyle w:val="BodyText"/>
      </w:pPr>
      <w:r>
        <w:t xml:space="preserve">Lucia Santaella (2002), em</w:t>
      </w:r>
      <w:r>
        <w:t xml:space="preserve"> </w:t>
      </w:r>
      <w:r>
        <w:rPr>
          <w:i/>
          <w:iCs/>
        </w:rPr>
        <w:t xml:space="preserve">Semiótica Aplicada</w:t>
      </w:r>
      <w:r>
        <w:t xml:space="preserve">, amplia a classificação peirceana para o campo do design gráfico, argumentando que signos visuais raramente se limitam a uma única função semiótica — são tipicamente híbridos, acumulando camadas de significação conforme o contexto de leitura. Essa polissemia controlada é exatamente o que permite que uma mesma forma geométrica seja lida, em sequência, como cubo, livro, capelo e portal.</w:t>
      </w:r>
    </w:p>
    <w:p>
      <w:pPr>
        <w:pStyle w:val="BodyText"/>
      </w:pPr>
      <w:r>
        <w:t xml:space="preserve">Rudolf Arnheim (1974), em</w:t>
      </w:r>
      <w:r>
        <w:t xml:space="preserve"> </w:t>
      </w:r>
      <w:r>
        <w:rPr>
          <w:i/>
          <w:iCs/>
        </w:rPr>
        <w:t xml:space="preserve">Arte e Percepção Visual</w:t>
      </w:r>
      <w:r>
        <w:t xml:space="preserve">, e Donis Dondis (1991), em</w:t>
      </w:r>
      <w:r>
        <w:t xml:space="preserve"> </w:t>
      </w:r>
      <w:r>
        <w:rPr>
          <w:i/>
          <w:iCs/>
        </w:rPr>
        <w:t xml:space="preserve">Sintaxe da Linguagem Visual</w:t>
      </w:r>
      <w:r>
        <w:t xml:space="preserve">, fornecem o aparato teórico da Gestalt que sustenta a análise formal da marca. Os princípios gestálticos de fechamento (closure), figura-fundo, pregnância (boa forma) e continuidade são ferramentas analíticas que permitem compreender por que o olho humano organiza determinadas configurações de linhas e planos em formas reconhecíveis. Arnheim argumenta que a percepção não é passiva: o observador participa ativamente na construção do sentido visual, completando formas incompletas e projetando significados sobre configurações ambíguas. É essa participação ativa do observador que torna possível a polissemia da marca — o mesmo contorno pode ser</w:t>
      </w:r>
      <w:r>
        <w:t xml:space="preserve"> </w:t>
      </w:r>
      <w:r>
        <w:t xml:space="preserve">“completado”</w:t>
      </w:r>
      <w:r>
        <w:t xml:space="preserve"> </w:t>
      </w:r>
      <w:r>
        <w:t xml:space="preserve">de diferentes maneiras, gerando múltiplas leituras.</w:t>
      </w:r>
    </w:p>
    <w:bookmarkEnd w:id="19"/>
    <w:bookmarkStart w:id="20" w:name="Xb18f2593879baf8abf87aed08bc8f8517f93902"/>
    <w:p>
      <w:pPr>
        <w:pStyle w:val="Heading2"/>
      </w:pPr>
      <w:r>
        <w:t xml:space="preserve">3.3 Design de Produto: Matéria, Projeto e Formação</w:t>
      </w:r>
    </w:p>
    <w:p>
      <w:pPr>
        <w:pStyle w:val="FirstParagraph"/>
      </w:pPr>
      <w:r>
        <w:t xml:space="preserve">O design de produto é, na sua formulação mais fundamental, a disciplina que transforma matéria em artefato por meio do projeto. Essa definição aparentemente simples carrega uma tradição filosófica que remonta ao hilemorfismo aristotélico — a noção de que todo ente é composto de matéria (</w:t>
      </w:r>
      <w:r>
        <w:rPr>
          <w:i/>
          <w:iCs/>
        </w:rPr>
        <w:t xml:space="preserve">hylé</w:t>
      </w:r>
      <w:r>
        <w:t xml:space="preserve">) e forma (</w:t>
      </w:r>
      <w:r>
        <w:rPr>
          <w:i/>
          <w:iCs/>
        </w:rPr>
        <w:t xml:space="preserve">morphé</w:t>
      </w:r>
      <w:r>
        <w:t xml:space="preserve">) — e que foi rearticulada no campo do design por autores como Vilém Flusser (2007), para quem o design é o esforço de dar forma à matéria, de traduzir intenção em artefato.</w:t>
      </w:r>
    </w:p>
    <w:p>
      <w:pPr>
        <w:pStyle w:val="BodyText"/>
      </w:pPr>
      <w:r>
        <w:t xml:space="preserve">Gui Bonsiepe (1997), em</w:t>
      </w:r>
      <w:r>
        <w:t xml:space="preserve"> </w:t>
      </w:r>
      <w:r>
        <w:rPr>
          <w:i/>
          <w:iCs/>
        </w:rPr>
        <w:t xml:space="preserve">Design: do Material ao Digital</w:t>
      </w:r>
      <w:r>
        <w:t xml:space="preserve">, propõe que o design é uma prática de interface — atua no espaço entre o usuário e o artefato, configurando esse espaço para que a ação seja possível, eficiente e significativa. Bernhard Bürdek (2006), em</w:t>
      </w:r>
      <w:r>
        <w:t xml:space="preserve"> </w:t>
      </w:r>
      <w:r>
        <w:rPr>
          <w:i/>
          <w:iCs/>
        </w:rPr>
        <w:t xml:space="preserve">Design: História, Teoria e Prática do Design de Produto</w:t>
      </w:r>
      <w:r>
        <w:t xml:space="preserve">, traça a genealogia disciplinar do design de produto desde a Bauhaus até a era digital, argumentando que o projeto de produto sempre oscilou entre a racionalidade construtiva e a expressão simbólica. Bernd Löbach (2001), em</w:t>
      </w:r>
      <w:r>
        <w:t xml:space="preserve"> </w:t>
      </w:r>
      <w:r>
        <w:rPr>
          <w:i/>
          <w:iCs/>
        </w:rPr>
        <w:t xml:space="preserve">Design Industrial: Bases para a Configuração dos Produtos Industriais</w:t>
      </w:r>
      <w:r>
        <w:t xml:space="preserve">, sistematiza o processo de design em fases (preparação, geração, avaliação, realização) e insiste na dimensão comunicativa do produto: o objeto não apenas funciona, mas comunica, e essa comunicação é parte constitutiva de sua qualidade projetual.</w:t>
      </w:r>
    </w:p>
    <w:p>
      <w:pPr>
        <w:pStyle w:val="BodyText"/>
      </w:pPr>
      <w:r>
        <w:t xml:space="preserve">Essa tradição teórica converge para uma dupla metáfora que a marca do curso pretende materializar. A primeira: matéria bruta se transforma em produto — o bloco de material ganha forma, função e significado pelo ato de projetar. A segunda: o estudante se transforma em profissional — o ingressante chega com potencial bruto e, ao longo de quatro semestres, é formado por processos de conhecimento, prática e reflexão. Nos dois casos, o que opera é a mesma lógica: transformação orientada por projeto. A marca precisa conter, em sua forma, essa narrativa de passagem da potência ao ato.</w:t>
      </w:r>
    </w:p>
    <w:bookmarkEnd w:id="20"/>
    <w:bookmarkEnd w:id="21"/>
    <w:bookmarkStart w:id="24" w:name="conceito-da-marca"/>
    <w:p>
      <w:pPr>
        <w:pStyle w:val="Heading1"/>
      </w:pPr>
      <w:r>
        <w:t xml:space="preserve">4. Conceito da Marca</w:t>
      </w:r>
    </w:p>
    <w:bookmarkStart w:id="22" w:name="narrativa-conceitual"/>
    <w:p>
      <w:pPr>
        <w:pStyle w:val="Heading2"/>
      </w:pPr>
      <w:r>
        <w:t xml:space="preserve">4.1 Narrativa Conceitual</w:t>
      </w:r>
    </w:p>
    <w:p>
      <w:pPr>
        <w:pStyle w:val="FirstParagraph"/>
      </w:pPr>
      <w:r>
        <w:t xml:space="preserve">A marca proposta para o Curso Superior de Tecnologia em Design de Produto do IFB é um símbolo geométrico construído a partir de formas primárias — cubo e arco — que se organizam em uma composição cuja forma admite quatro camadas de leitura. Essas leituras não são arbitrárias nem simultâneas: formam uma sequência narrativa que percorre a jornada do estudante, da entrada no curso até a saída para o mundo profissional.</w:t>
      </w:r>
    </w:p>
    <w:p>
      <w:pPr>
        <w:pStyle w:val="BodyText"/>
      </w:pPr>
      <w:r>
        <w:rPr>
          <w:b/>
          <w:bCs/>
        </w:rPr>
        <w:t xml:space="preserve">Leitura 1 — Matéria e Potencial: o cubo, a caixa aberta.</w:t>
      </w:r>
      <w:r>
        <w:t xml:space="preserve"> </w:t>
      </w:r>
      <w:r>
        <w:t xml:space="preserve">A forma base do símbolo é percebida, na primeira leitura, como um cubo em perspectiva isométrica — ou, mais precisamente, como uma caixa aberta vista de cima. O cubo é a forma geométrica por excelência do design de produto: é o bloco de matéria antes de ser conformado, a peça bruta que aguarda o projeto. Ele representa o ponto zero da transformação — a matéria-prima que o designer vai trabalhar. Flusser (2007) afirma que o ato de design é a imposição de forma sobre a matéria; o cubo, enquanto forma elementar e ainda não diferenciada, é a metáfora visual desse estado anterior ao projeto.</w:t>
      </w:r>
    </w:p>
    <w:p>
      <w:pPr>
        <w:pStyle w:val="BodyText"/>
      </w:pPr>
      <w:r>
        <w:t xml:space="preserve">[IMAGEM: Símbolo da marca com destaque gráfico para a leitura de cubo/caixa aberta — linhas de contorno evidenciando a volumetria isométrica, acompanhado de setas indicativas e legenda</w:t>
      </w:r>
      <w:r>
        <w:t xml:space="preserve"> </w:t>
      </w:r>
      <w:r>
        <w:t xml:space="preserve">“Leitura 1: Matéria e Potencial”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2 — Conhecimento e Leitura: o livro aberto.</w:t>
      </w:r>
      <w:r>
        <w:t xml:space="preserve"> </w:t>
      </w:r>
      <w:r>
        <w:t xml:space="preserve">Ao deslocar o foco perceptivo, a mesma configuração de planos e arestas se reorganiza como um livro aberto, visto de frente e ligeiramente acima. O arco que coroa o cubo reforça essa leitura ao funcionar como a lombada curva de um livro encadernado. Essa segunda camada remete ao processo educativo: o conhecimento teórico, a pesquisa, os fundamentos que o curso transmite. Se a primeira leitura era a matéria, a segunda é o saber que incide sobre ela.</w:t>
      </w:r>
    </w:p>
    <w:p>
      <w:pPr>
        <w:pStyle w:val="BodyText"/>
      </w:pPr>
      <w:r>
        <w:t xml:space="preserve">[IMAGEM: Símbolo da marca com destaque gráfico para a leitura de livro aberto — planos laterais como páginas, arco superior como lombada, acompanhado de setas indicativas e legenda</w:t>
      </w:r>
      <w:r>
        <w:t xml:space="preserve"> </w:t>
      </w:r>
      <w:r>
        <w:t xml:space="preserve">“Leitura 2: Conhecimento e Leitura”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3 — Formação e Conquista: o capelo acadêmico.</w:t>
      </w:r>
      <w:r>
        <w:t xml:space="preserve"> </w:t>
      </w:r>
      <w:r>
        <w:t xml:space="preserve">A terceira leitura reorganiza o conjunto como um capelo — o chapéu de formatura. O plano superior do cubo é a aba quadrada; o arco é a borla que a coroa. Essa camada é a mais diretamente institucional: remete à conclusão do curso, à titulação, à passagem formal do aluno para o status de tecnólogo. A formação acadêmica como ritual de passagem e conquista.</w:t>
      </w:r>
    </w:p>
    <w:p>
      <w:pPr>
        <w:pStyle w:val="BodyText"/>
      </w:pPr>
      <w:r>
        <w:t xml:space="preserve">[IMAGEM: Símbolo da marca com destaque gráfico para a leitura de capelo acadêmico — plano horizontal superior como aba, arco como borla, acompanhado de setas indicativas e legenda</w:t>
      </w:r>
      <w:r>
        <w:t xml:space="preserve"> </w:t>
      </w:r>
      <w:r>
        <w:t xml:space="preserve">“Leitura 3: Formação e Conquista”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Leitura 4 — Caminhos e Expansão: o portal, o limiar.</w:t>
      </w:r>
      <w:r>
        <w:t xml:space="preserve"> </w:t>
      </w:r>
      <w:r>
        <w:t xml:space="preserve">Na quarta leitura, a forma se abre como um portal ou arco de passagem — o espaço entre o cubo e o arco configura uma abertura, um limiar que se atravessa. Essa leitura remete à saída para o mundo profissional: o egresso cruza o portal da formação e entra no campo de atuação. O arco, aqui, funciona como o elemento que ao mesmo tempo enquadra e liberta — define a passagem e a expansão para além dos limites do curso.</w:t>
      </w:r>
    </w:p>
    <w:p>
      <w:pPr>
        <w:pStyle w:val="BodyText"/>
      </w:pPr>
      <w:r>
        <w:t xml:space="preserve">[IMAGEM: Símbolo da marca com destaque gráfico para a leitura de portal/limiar — espaço negativo entre o cubo e o arco formando uma abertura, acompanhado de setas indicativas e legenda</w:t>
      </w:r>
      <w:r>
        <w:t xml:space="preserve"> </w:t>
      </w:r>
      <w:r>
        <w:t xml:space="preserve">“Leitura 4: Caminhos e Expansão”</w:t>
      </w:r>
      <w:r>
        <w:t xml:space="preserve">]</w:t>
      </w:r>
    </w:p>
    <w:p>
      <w:pPr>
        <w:pStyle w:val="BodyText"/>
      </w:pPr>
      <w:r>
        <w:t xml:space="preserve">A sequência das quatro leituras compõe uma narrativa coerente com a missão do curso e do IFB:</w:t>
      </w:r>
    </w:p>
    <w:p>
      <w:pPr>
        <w:pStyle w:val="BlockText"/>
      </w:pPr>
      <w:r>
        <w:rPr>
          <w:b/>
          <w:bCs/>
        </w:rPr>
        <w:t xml:space="preserve">Matéria → Conhecimento → Formação → Expansão</w:t>
      </w:r>
    </w:p>
    <w:p>
      <w:pPr>
        <w:pStyle w:val="FirstParagraph"/>
      </w:pPr>
      <w:r>
        <w:t xml:space="preserve">O estudante chega como potencial bruto (cubo/matéria), adquire conhecimento (livro), se forma (capelo) e se projeta no mundo profissional (portal). Essa sequência espelha, no plano simbólico, a jornada de transformação que o IFB declara como sua missão:</w:t>
      </w:r>
      <w:r>
        <w:t xml:space="preserve"> </w:t>
      </w:r>
      <w:r>
        <w:t xml:space="preserve">“transformar vidas por meio da Educação Profissional e Tecnológica”</w:t>
      </w:r>
      <w:r>
        <w:t xml:space="preserve">.</w:t>
      </w:r>
    </w:p>
    <w:bookmarkEnd w:id="22"/>
    <w:bookmarkStart w:id="23" w:name="conexão-com-a-identidade-ifb"/>
    <w:p>
      <w:pPr>
        <w:pStyle w:val="Heading2"/>
      </w:pPr>
      <w:r>
        <w:t xml:space="preserve">4.2 Conexão com a Identidade IFB</w:t>
      </w:r>
    </w:p>
    <w:p>
      <w:pPr>
        <w:pStyle w:val="FirstParagraph"/>
      </w:pPr>
      <w:r>
        <w:t xml:space="preserve">A marca do curso não foi criada em isolamento: foi derivada construtivamente da identidade visual do IFB. Os elementos geométricos que compõem o símbolo — cubo em perspectiva, arco, planos triangulares — foram extraídos da análise formal da marca institucional, reconfigurados e recompostos em uma nova forma.</w:t>
      </w:r>
    </w:p>
    <w:p>
      <w:pPr>
        <w:pStyle w:val="BodyText"/>
      </w:pPr>
      <w:r>
        <w:t xml:space="preserve">Essa derivação construtiva é uma decisão projetual deliberada. Ela garante que a marca do curso mantenha parentesco visual com a marca-mãe — as formas geométricas, as proporções, a linguagem construtiva são da mesma família — sem ser uma mera repetição. A diferenciação se dá por dois caminhos: pela recomposição formal (os elementos são reorganizados em uma configuração nova) e pela mudança cromática (a marca do curso adota uma paleta própria, distinta do verde e vermelho institucionais do IFB, sinalizando autonomia dentro do sistema).</w:t>
      </w:r>
    </w:p>
    <w:p>
      <w:pPr>
        <w:pStyle w:val="BodyText"/>
      </w:pPr>
      <w:r>
        <w:t xml:space="preserve">Essa estratégia segue o princípio de Joan Costa (2011) de que sub-marcas eficazes mantêm parentesco formal com a marca principal sem serem derivações mecânicas: devem ser</w:t>
      </w:r>
      <w:r>
        <w:t xml:space="preserve"> </w:t>
      </w:r>
      <w:r>
        <w:t xml:space="preserve">“da mesma família, mas não gêmeas”</w:t>
      </w:r>
      <w:r>
        <w:t xml:space="preserve">.</w:t>
      </w:r>
    </w:p>
    <w:bookmarkEnd w:id="23"/>
    <w:bookmarkEnd w:id="24"/>
    <w:bookmarkStart w:id="29" w:name="processo-construtivo"/>
    <w:p>
      <w:pPr>
        <w:pStyle w:val="Heading1"/>
      </w:pPr>
      <w:r>
        <w:t xml:space="preserve">5. Processo Construtivo</w:t>
      </w:r>
    </w:p>
    <w:p>
      <w:pPr>
        <w:pStyle w:val="FirstParagraph"/>
      </w:pPr>
      <w:r>
        <w:t xml:space="preserve">O processo construtivo da marca seguiu quatro etapas: análise da identidade vigente, extração e abstração de elementos, exploração formal e definição da solução final.</w:t>
      </w:r>
    </w:p>
    <w:bookmarkStart w:id="25" w:name="análise-da-identidade-ifb"/>
    <w:p>
      <w:pPr>
        <w:pStyle w:val="Heading2"/>
      </w:pPr>
      <w:r>
        <w:t xml:space="preserve">5.1 Análise da Identidade IFB</w:t>
      </w:r>
    </w:p>
    <w:p>
      <w:pPr>
        <w:pStyle w:val="FirstParagraph"/>
      </w:pPr>
      <w:r>
        <w:t xml:space="preserve">O ponto de partida foi a análise da marca institucional do IFB. O símbolo do IFB é composto por formas geométricas — trapézios, triângulos e arcos — organizadas sobre uma malha modular. A paleta institucional utiliza tons de verde e vermelho. A tipografia da assinatura é sem-serifa.</w:t>
      </w:r>
    </w:p>
    <w:p>
      <w:pPr>
        <w:pStyle w:val="BodyText"/>
      </w:pPr>
      <w:r>
        <w:t xml:space="preserve">O objetivo desta etapa foi identificar o vocabulário formal da marca do IFB — quais formas geométricas, proporções e relações espaciais definem sua linguagem — para que a marca do curso pudesse falar o mesmo idioma visual.</w:t>
      </w:r>
    </w:p>
    <w:p>
      <w:pPr>
        <w:pStyle w:val="BodyText"/>
      </w:pPr>
      <w:r>
        <w:t xml:space="preserve">[IMAGEM: Marca institucional do IFB com sobreposição de grid analítico — linhas auxiliares evidenciando as formas geométricas constituintes (trapézios, triângulos, arcos), módulos proporcionais e eixos de simetria. Legenda:</w:t>
      </w:r>
      <w:r>
        <w:t xml:space="preserve"> </w:t>
      </w:r>
      <w:r>
        <w:t xml:space="preserve">“Figura 3 — Análise do grid construtivo da marca IFB”</w:t>
      </w:r>
      <w:r>
        <w:t xml:space="preserve">]</w:t>
      </w:r>
    </w:p>
    <w:bookmarkEnd w:id="25"/>
    <w:bookmarkStart w:id="26" w:name="extração-e-abstração-dos-elementos"/>
    <w:p>
      <w:pPr>
        <w:pStyle w:val="Heading2"/>
      </w:pPr>
      <w:r>
        <w:t xml:space="preserve">5.2 Extração e Abstração dos Elementos</w:t>
      </w:r>
    </w:p>
    <w:p>
      <w:pPr>
        <w:pStyle w:val="FirstParagraph"/>
      </w:pPr>
      <w:r>
        <w:t xml:space="preserve">A partir da análise, foram extraídos os elementos geométricos essenciais da linguagem visual do IFB: planos trapezoidais, formas triangulares e arcos. Esses elementos foram isolados, simplificados e monocromatizados — retirados da paleta institucional e tratados como formas puras, sem cor ou textura.</w:t>
      </w:r>
    </w:p>
    <w:p>
      <w:pPr>
        <w:pStyle w:val="BodyText"/>
      </w:pPr>
      <w:r>
        <w:t xml:space="preserve">A monocromatização foi uma etapa necessária para garantir que a composição funcionasse pela forma, não pela cor. Uma marca que depende da cor para ser reconhecida é frágil; a estrutura formal deve ser suficiente.</w:t>
      </w:r>
    </w:p>
    <w:p>
      <w:pPr>
        <w:pStyle w:val="BodyText"/>
      </w:pPr>
      <w:r>
        <w:t xml:space="preserve">[IMAGEM: Sequência de extração dos elementos geométricos da marca IFB — à esquerda, a marca original; ao centro, os elementos isolados (trapézios, triângulos, arcos) em contorno; à direita, os elementos monocromatizados e simplificados em preto. Legenda:</w:t>
      </w:r>
      <w:r>
        <w:t xml:space="preserve"> </w:t>
      </w:r>
      <w:r>
        <w:t xml:space="preserve">“Figura 4 — Extração e abstração dos elementos geométricos”</w:t>
      </w:r>
      <w:r>
        <w:t xml:space="preserve">]</w:t>
      </w:r>
    </w:p>
    <w:bookmarkEnd w:id="26"/>
    <w:bookmarkStart w:id="27" w:name="exploração-formal-e-composição"/>
    <w:p>
      <w:pPr>
        <w:pStyle w:val="Heading2"/>
      </w:pPr>
      <w:r>
        <w:t xml:space="preserve">5.3 Exploração Formal e Composição</w:t>
      </w:r>
    </w:p>
    <w:p>
      <w:pPr>
        <w:pStyle w:val="FirstParagraph"/>
      </w:pPr>
      <w:r>
        <w:t xml:space="preserve">Com os elementos abstraídos, iniciou-se a fase de exploração formal: diferentes configurações e composições foram testadas, combinando cubo isométrico, arco e planos em variadas proporções, posições e relações de figura-fundo.</w:t>
      </w:r>
    </w:p>
    <w:p>
      <w:pPr>
        <w:pStyle w:val="BodyText"/>
      </w:pPr>
      <w:r>
        <w:t xml:space="preserve">O critério de seleção das variações foi tríplice: pregnância (a forma deve ser simples e memorável), polissemia (deve admitir múltiplas leituras) e parentesco com o IFB (deve ser reconhecida como parte da mesma família visual).</w:t>
      </w:r>
    </w:p>
    <w:p>
      <w:pPr>
        <w:pStyle w:val="BodyText"/>
      </w:pPr>
      <w:r>
        <w:t xml:space="preserve">[IMAGEM: Painel com 8 a 12 variações compositivas do símbolo — diferentes arranjos de cubo, arco e planos, dispostos em grid, com indicação das variações selecionadas para refinamento e anotações sobre pontos fortes e fracos de cada alternativa. Legenda:</w:t>
      </w:r>
      <w:r>
        <w:t xml:space="preserve"> </w:t>
      </w:r>
      <w:r>
        <w:t xml:space="preserve">“Figura 5 — Exploração formal e composição — painel de variações”</w:t>
      </w:r>
      <w:r>
        <w:t xml:space="preserve">]</w:t>
      </w:r>
    </w:p>
    <w:bookmarkEnd w:id="27"/>
    <w:bookmarkStart w:id="28" w:name="solução-final"/>
    <w:p>
      <w:pPr>
        <w:pStyle w:val="Heading2"/>
      </w:pPr>
      <w:r>
        <w:t xml:space="preserve">5.4 Solução Final</w:t>
      </w:r>
    </w:p>
    <w:p>
      <w:pPr>
        <w:pStyle w:val="FirstParagraph"/>
      </w:pPr>
      <w:r>
        <w:t xml:space="preserve">A solução final é a composição que melhor atende aos três critérios: um cubo geométrico em perspectiva isométrica, coroado por um arco, cujas faces e arestas configuram uma forma com alta pregnância e quatro leituras simultâneas (cubo/caixa, livro, capelo, portal).</w:t>
      </w:r>
    </w:p>
    <w:p>
      <w:pPr>
        <w:pStyle w:val="BodyText"/>
      </w:pPr>
      <w:r>
        <w:t xml:space="preserve">A forma é construída exclusivamente com linhas retas e um único arco, sem ornamentos, gradientes ou efeitos tridimensionais realistas. Essa contenção formal é coerente com a tradição construtiva do design racionalista e com o vocabulário geométrico tanto da marca do IFB quanto da própria Brasília.</w:t>
      </w:r>
    </w:p>
    <w:p>
      <w:pPr>
        <w:pStyle w:val="BodyText"/>
      </w:pPr>
      <w:r>
        <w:t xml:space="preserve">[IMAGEM: Solução final do símbolo em tamanho ampliado — forma definitiva em preto sobre fundo branco, com indicação das principais relações geométricas (ângulos, proporções, alinhamentos). Legenda:</w:t>
      </w:r>
      <w:r>
        <w:t xml:space="preserve"> </w:t>
      </w:r>
      <w:r>
        <w:t xml:space="preserve">“Figura 6 — Solução final — forma definitiva do símbolo”</w:t>
      </w:r>
      <w:r>
        <w:t xml:space="preserve">]</w:t>
      </w:r>
    </w:p>
    <w:bookmarkEnd w:id="28"/>
    <w:bookmarkEnd w:id="29"/>
    <w:bookmarkStart w:id="32" w:name="análise-semiótica"/>
    <w:p>
      <w:pPr>
        <w:pStyle w:val="Heading1"/>
      </w:pPr>
      <w:r>
        <w:t xml:space="preserve">6. Análise Semiótica</w:t>
      </w:r>
    </w:p>
    <w:bookmarkStart w:id="30" w:name="leituras-visuais"/>
    <w:p>
      <w:pPr>
        <w:pStyle w:val="Heading2"/>
      </w:pPr>
      <w:r>
        <w:t xml:space="preserve">6.1 Leituras Visuais</w:t>
      </w:r>
    </w:p>
    <w:p>
      <w:pPr>
        <w:pStyle w:val="FirstParagraph"/>
      </w:pPr>
      <w:r>
        <w:t xml:space="preserve">Cada uma das quatro leituras da marca pode ser compreendida em termos gestálticos, conforme o aparato teórico de Arnheim (1974) e Dondis (1991).</w:t>
      </w:r>
    </w:p>
    <w:p>
      <w:pPr>
        <w:pStyle w:val="BodyText"/>
      </w:pPr>
      <w:r>
        <w:rPr>
          <w:b/>
          <w:bCs/>
        </w:rPr>
        <w:t xml:space="preserve">Leitura 1 — Cubo / Caixa aberta.</w:t>
      </w:r>
      <w:r>
        <w:t xml:space="preserve"> </w:t>
      </w:r>
      <w:r>
        <w:t xml:space="preserve">Opera pelo princípio de fechamento (closure): o observador completa mentalmente as arestas ocultas do cubo, percebendo volume onde há apenas planos. A perspectiva isométrica — sem ponto de fuga — é a convenção do desenho técnico industrial, o que ancora a leitura no universo do design de produto. O princípio de pregnância atua aqui: o cubo é uma das formas mais estáveis e reconhecíveis do repertório geométrico humano.</w:t>
      </w:r>
    </w:p>
    <w:p>
      <w:pPr>
        <w:pStyle w:val="BodyText"/>
      </w:pPr>
      <w:r>
        <w:rPr>
          <w:b/>
          <w:bCs/>
        </w:rPr>
        <w:t xml:space="preserve">Leitura 2 — Livro aberto.</w:t>
      </w:r>
      <w:r>
        <w:t xml:space="preserve"> </w:t>
      </w:r>
      <w:r>
        <w:t xml:space="preserve">Opera pelo princípio de figura-fundo e pela reorientação perceptiva: os mesmos planos que formavam as faces do cubo se reorganizam como páginas de um livro. O arco funciona como lombada, estabilizando a leitura. A transição do cubo para o livro exige uma mudança de eixo perceptivo — o observador passa de uma leitura volumétrica (3D) para uma leitura planificada (2D) —, o que demonstra a flexibilidade formal da composição.</w:t>
      </w:r>
    </w:p>
    <w:p>
      <w:pPr>
        <w:pStyle w:val="BodyText"/>
      </w:pPr>
      <w:r>
        <w:rPr>
          <w:b/>
          <w:bCs/>
        </w:rPr>
        <w:t xml:space="preserve">Leitura 3 — Capelo.</w:t>
      </w:r>
      <w:r>
        <w:t xml:space="preserve"> </w:t>
      </w:r>
      <w:r>
        <w:t xml:space="preserve">Opera por semelhança icônica (Peirce, 2005): o plano horizontal superior é lido como a aba quadrada do capelo acadêmico, e o arco como a borla. Essa leitura é reforçada pelo contexto de uso — quando a marca aparece em materiais de formatura, certificados e diplomas, a associação com o capelo se torna dominante.</w:t>
      </w:r>
    </w:p>
    <w:p>
      <w:pPr>
        <w:pStyle w:val="BodyText"/>
      </w:pPr>
      <w:r>
        <w:rPr>
          <w:b/>
          <w:bCs/>
        </w:rPr>
        <w:t xml:space="preserve">Leitura 4 — Portal.</w:t>
      </w:r>
      <w:r>
        <w:t xml:space="preserve"> </w:t>
      </w:r>
      <w:r>
        <w:t xml:space="preserve">Opera pelo princípio da figura-fundo invertida: o espaço negativo entre o cubo e o arco se torna a forma principal, configurando uma abertura ou passagem. Arnheim (1974) observa que a percepção de espaço negativo como forma positiva é uma das operações perceptivas mais sofisticadas — exige do observador a inversão da hierarquia habitual entre fundo e figura.</w:t>
      </w:r>
    </w:p>
    <w:bookmarkEnd w:id="30"/>
    <w:bookmarkStart w:id="31" w:name="coerência-multiconceitual"/>
    <w:p>
      <w:pPr>
        <w:pStyle w:val="Heading2"/>
      </w:pPr>
      <w:r>
        <w:t xml:space="preserve">6.2 Coerência Multiconceitual</w:t>
      </w:r>
    </w:p>
    <w:p>
      <w:pPr>
        <w:pStyle w:val="FirstParagraph"/>
      </w:pPr>
      <w:r>
        <w:t xml:space="preserve">A polissemia da marca não é acidental nem dispersiva: é estruturada. Martine Joly (2007), em</w:t>
      </w:r>
      <w:r>
        <w:t xml:space="preserve"> </w:t>
      </w:r>
      <w:r>
        <w:rPr>
          <w:i/>
          <w:iCs/>
        </w:rPr>
        <w:t xml:space="preserve">Introdução à Análise da Imagem</w:t>
      </w:r>
      <w:r>
        <w:t xml:space="preserve">, argumenta que toda imagem visual comporta múltiplas significações, mas que imagens bem construídas organizam essas significações em torno de um eixo semântico coerente. Umberto Eco (2014), em</w:t>
      </w:r>
      <w:r>
        <w:t xml:space="preserve"> </w:t>
      </w:r>
      <w:r>
        <w:rPr>
          <w:i/>
          <w:iCs/>
        </w:rPr>
        <w:t xml:space="preserve">Tratado Geral de Semiótica</w:t>
      </w:r>
      <w:r>
        <w:t xml:space="preserve">, propõe o conceito de</w:t>
      </w:r>
      <w:r>
        <w:t xml:space="preserve"> </w:t>
      </w:r>
      <w:r>
        <w:t xml:space="preserve">“abertura”</w:t>
      </w:r>
      <w:r>
        <w:t xml:space="preserve"> </w:t>
      </w:r>
      <w:r>
        <w:t xml:space="preserve">da obra — a capacidade de um signo admitir múltiplas interpretações sem que nenhuma delas contradiga as demais.</w:t>
      </w:r>
    </w:p>
    <w:p>
      <w:pPr>
        <w:pStyle w:val="BodyText"/>
      </w:pPr>
      <w:r>
        <w:t xml:space="preserve">No caso da marca do curso, as quatro leituras não são aleatórias: formam uma sequência narrativa com direção e sentido.</w:t>
      </w:r>
    </w:p>
    <w:p>
      <w:pPr>
        <w:pStyle w:val="BlockText"/>
      </w:pPr>
      <w:r>
        <w:rPr>
          <w:b/>
          <w:bCs/>
        </w:rPr>
        <w:t xml:space="preserve">Matéria (cubo) → Conhecimento (livro) → Formação (capelo) → Expansão (portal)</w:t>
      </w:r>
    </w:p>
    <w:p>
      <w:pPr>
        <w:pStyle w:val="FirstParagraph"/>
      </w:pPr>
      <w:r>
        <w:t xml:space="preserve">Essa sequência é isomórfica à jornada do estudante no curso:</w:t>
      </w:r>
    </w:p>
    <w:p>
      <w:pPr>
        <w:pStyle w:val="Compact"/>
        <w:numPr>
          <w:ilvl w:val="0"/>
          <w:numId w:val="1010"/>
        </w:numPr>
      </w:pPr>
      <w:r>
        <w:t xml:space="preserve">O ingressante chega com potencial bruto, como matéria a ser conformada.</w:t>
      </w:r>
    </w:p>
    <w:p>
      <w:pPr>
        <w:pStyle w:val="Compact"/>
        <w:numPr>
          <w:ilvl w:val="0"/>
          <w:numId w:val="1010"/>
        </w:numPr>
      </w:pPr>
      <w:r>
        <w:t xml:space="preserve">Adquire conhecimento por meio do estudo, da pesquisa, da teoria.</w:t>
      </w:r>
    </w:p>
    <w:p>
      <w:pPr>
        <w:pStyle w:val="Compact"/>
        <w:numPr>
          <w:ilvl w:val="0"/>
          <w:numId w:val="1010"/>
        </w:numPr>
      </w:pPr>
      <w:r>
        <w:t xml:space="preserve">Conclui a formação, recebe o grau de tecnólogo.</w:t>
      </w:r>
    </w:p>
    <w:p>
      <w:pPr>
        <w:pStyle w:val="Compact"/>
        <w:numPr>
          <w:ilvl w:val="0"/>
          <w:numId w:val="1010"/>
        </w:numPr>
      </w:pPr>
      <w:r>
        <w:t xml:space="preserve">Cruza o limiar e se projeta no campo profissional.</w:t>
      </w:r>
    </w:p>
    <w:p>
      <w:pPr>
        <w:pStyle w:val="FirstParagraph"/>
      </w:pPr>
      <w:r>
        <w:t xml:space="preserve">Cada leitura contém a anterior e anuncia a seguinte: o cubo se abre em livro, o livro se coroa em capelo, o capelo se abre em portal. Não há contradição entre as leituras porque todas compartilham o mesmo eixo semântico: a transformação orientada por projeto — que é, afinal, a definição mesma do design.</w:t>
      </w:r>
    </w:p>
    <w:p>
      <w:pPr>
        <w:pStyle w:val="BodyText"/>
      </w:pPr>
      <w:r>
        <w:t xml:space="preserve">[IMAGEM: Diagrama visual da sequência narrativa — quatro versões do símbolo dispostas horizontalmente, cada uma com o destaque da leitura correspondente, conectadas por setas que indicam a progressão Matéria → Conhecimento → Formação → Expansão. Legenda:</w:t>
      </w:r>
      <w:r>
        <w:t xml:space="preserve"> </w:t>
      </w:r>
      <w:r>
        <w:t xml:space="preserve">“Figura 11 — Sequência narrativa multiconceitual”</w:t>
      </w:r>
      <w:r>
        <w:t xml:space="preserve">]</w:t>
      </w:r>
    </w:p>
    <w:bookmarkEnd w:id="31"/>
    <w:bookmarkEnd w:id="32"/>
    <w:bookmarkStart w:id="37" w:name="sistema-visual"/>
    <w:p>
      <w:pPr>
        <w:pStyle w:val="Heading1"/>
      </w:pPr>
      <w:r>
        <w:t xml:space="preserve">7. Sistema Visual</w:t>
      </w:r>
    </w:p>
    <w:bookmarkStart w:id="33" w:name="tipografia"/>
    <w:p>
      <w:pPr>
        <w:pStyle w:val="Heading2"/>
      </w:pPr>
      <w:r>
        <w:t xml:space="preserve">7.1 Tipografia</w:t>
      </w:r>
    </w:p>
    <w:p>
      <w:pPr>
        <w:pStyle w:val="FirstParagraph"/>
      </w:pPr>
      <w:r>
        <w:t xml:space="preserve">A assinatura da marca utiliza uma fonte sem-serifa geométrica como tipografia principal. A escolha por uma sem-serifa geométrica é coerente com três critérios: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Parentesco institucional.</w:t>
      </w:r>
      <w:r>
        <w:t xml:space="preserve"> </w:t>
      </w:r>
      <w:r>
        <w:t xml:space="preserve">A marca do IFB utiliza tipografia sem-serifa; a marca do curso mantém essa família tipográfica.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Coerência conceitual.</w:t>
      </w:r>
      <w:r>
        <w:t xml:space="preserve"> </w:t>
      </w:r>
      <w:r>
        <w:t xml:space="preserve">Fontes geométricas são construídas a partir de formas elementares — círculos, quadrados, triângulos —, o mesmo vocabulário formal do símbolo. Ellen Lupton (2006), em</w:t>
      </w:r>
      <w:r>
        <w:t xml:space="preserve"> </w:t>
      </w:r>
      <w:r>
        <w:rPr>
          <w:i/>
          <w:iCs/>
        </w:rPr>
        <w:t xml:space="preserve">Pensar com Tipos</w:t>
      </w:r>
      <w:r>
        <w:t xml:space="preserve">, argumenta que a tipografia geométrica expressa racionalidade construtiva, clareza e modernidade.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Legibilidade técnica.</w:t>
      </w:r>
      <w:r>
        <w:t xml:space="preserve"> </w:t>
      </w:r>
      <w:r>
        <w:t xml:space="preserve">Robert Bringhurst (2005), em</w:t>
      </w:r>
      <w:r>
        <w:t xml:space="preserve"> </w:t>
      </w:r>
      <w:r>
        <w:rPr>
          <w:i/>
          <w:iCs/>
        </w:rPr>
        <w:t xml:space="preserve">Elementos do Estilo Tipográfico</w:t>
      </w:r>
      <w:r>
        <w:t xml:space="preserve">, observa que fontes sem-serifa com proporções abertas e contraformas generosas mantêm legibilidade em reduções acentuadas — condição necessária para uma marca que precisará funcionar em etiquetas de protótipos, crachás e favicons.</w:t>
      </w:r>
    </w:p>
    <w:p>
      <w:pPr>
        <w:pStyle w:val="FirstParagraph"/>
      </w:pPr>
      <w:r>
        <w:t xml:space="preserve">A composição tipográfica da assinatura organiza o nome do curso em hierarquia de peso e tamanho, com</w:t>
      </w:r>
      <w:r>
        <w:t xml:space="preserve"> </w:t>
      </w:r>
      <w:r>
        <w:t xml:space="preserve">“Design de Produto”</w:t>
      </w:r>
      <w:r>
        <w:t xml:space="preserve"> </w:t>
      </w:r>
      <w:r>
        <w:t xml:space="preserve">em destaque e</w:t>
      </w:r>
      <w:r>
        <w:t xml:space="preserve"> </w:t>
      </w:r>
      <w:r>
        <w:t xml:space="preserve">“Tecnologia em”</w:t>
      </w:r>
      <w:r>
        <w:t xml:space="preserve"> </w:t>
      </w:r>
      <w:r>
        <w:t xml:space="preserve">e</w:t>
      </w:r>
      <w:r>
        <w:t xml:space="preserve"> </w:t>
      </w:r>
      <w:r>
        <w:t xml:space="preserve">“IFB Campus Samambaia”</w:t>
      </w:r>
      <w:r>
        <w:t xml:space="preserve"> </w:t>
      </w:r>
      <w:r>
        <w:t xml:space="preserve">em pesos menores.</w:t>
      </w:r>
    </w:p>
    <w:p>
      <w:pPr>
        <w:pStyle w:val="BodyText"/>
      </w:pPr>
      <w:r>
        <w:t xml:space="preserve">[IMAGEM: Assinatura tipográfica completa da marca — símbolo à esquerda, bloco tipográfico à direita, com indicação da fonte utilizada, pesos, tamanhos e espaçamentos. Legenda:</w:t>
      </w:r>
      <w:r>
        <w:t xml:space="preserve"> </w:t>
      </w:r>
      <w:r>
        <w:t xml:space="preserve">“Figura 12 — Assinatura tipográfica”</w:t>
      </w:r>
      <w:r>
        <w:t xml:space="preserve">]</w:t>
      </w:r>
    </w:p>
    <w:bookmarkEnd w:id="33"/>
    <w:bookmarkStart w:id="34" w:name="paleta-cromática"/>
    <w:p>
      <w:pPr>
        <w:pStyle w:val="Heading2"/>
      </w:pPr>
      <w:r>
        <w:t xml:space="preserve">7.2 Paleta Cromática</w:t>
      </w:r>
    </w:p>
    <w:p>
      <w:pPr>
        <w:pStyle w:val="FirstParagraph"/>
      </w:pPr>
      <w:r>
        <w:t xml:space="preserve">A paleta cromática da marca do curso foi definida para dialogar com a identidade do IFB (que utiliza verde e vermelho) sem replicá-la. A diferenciação cromática sinaliza autonomia e identidade própria do curso dentro da família institucional.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1131"/>
        <w:gridCol w:w="942"/>
        <w:gridCol w:w="942"/>
        <w:gridCol w:w="3017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Pantone (ref.)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primária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Símbolo e elementos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 secundária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[A definir]</w:t>
            </w:r>
          </w:p>
        </w:tc>
        <w:tc>
          <w:tcPr/>
          <w:p>
            <w:pPr>
              <w:pStyle w:val="Compact"/>
            </w:pPr>
            <w:r>
              <w:t xml:space="preserve">Tipografia e elementos de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 institucional</w:t>
            </w:r>
          </w:p>
        </w:tc>
        <w:tc>
          <w:tcPr/>
          <w:p>
            <w:pPr>
              <w:pStyle w:val="Compact"/>
            </w:pPr>
            <w:r>
              <w:t xml:space="preserve">C0 M0 Y0 K100</w:t>
            </w:r>
          </w:p>
        </w:tc>
        <w:tc>
          <w:tcPr/>
          <w:p>
            <w:pPr>
              <w:pStyle w:val="Compact"/>
            </w:pPr>
            <w:r>
              <w:t xml:space="preserve">R0 G0 B0</w:t>
            </w:r>
          </w:p>
        </w:tc>
        <w:tc>
          <w:tcPr/>
          <w:p>
            <w:pPr>
              <w:pStyle w:val="Compact"/>
            </w:pPr>
            <w: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Black C</w:t>
            </w:r>
          </w:p>
        </w:tc>
        <w:tc>
          <w:tcPr/>
          <w:p>
            <w:pPr>
              <w:pStyle w:val="Compact"/>
            </w:pPr>
            <w:r>
              <w:t xml:space="preserve">Versão monocromática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C0 M0 Y0 K0</w:t>
            </w:r>
          </w:p>
        </w:tc>
        <w:tc>
          <w:tcPr/>
          <w:p>
            <w:pPr>
              <w:pStyle w:val="Compact"/>
            </w:pPr>
            <w:r>
              <w:t xml:space="preserve">R255 G255 B255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Versão negativa</w:t>
            </w:r>
          </w:p>
        </w:tc>
      </w:tr>
    </w:tbl>
    <w:p>
      <w:pPr>
        <w:pStyle w:val="BodyText"/>
      </w:pPr>
      <w:r>
        <w:t xml:space="preserve">Versões cromáticas previstas: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Versão positiva (cores):</w:t>
      </w:r>
      <w:r>
        <w:t xml:space="preserve"> </w:t>
      </w:r>
      <w:r>
        <w:t xml:space="preserve">aplicação principal, para fundos claros.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Versão negativa (cores sobre fundo escuro):</w:t>
      </w:r>
      <w:r>
        <w:t xml:space="preserve"> </w:t>
      </w:r>
      <w:r>
        <w:t xml:space="preserve">para fundos escuros ou fotografias.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Versão monocromática positiva:</w:t>
      </w:r>
      <w:r>
        <w:t xml:space="preserve"> </w:t>
      </w:r>
      <w:r>
        <w:t xml:space="preserve">preto sobre branco — para documentos oficiais, carimbos, gravação em materiais.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Versão monocromática negativa:</w:t>
      </w:r>
      <w:r>
        <w:t xml:space="preserve"> </w:t>
      </w:r>
      <w:r>
        <w:t xml:space="preserve">branco sobre preto — para situações de fundo escuro sem possibilidade de cor.</w:t>
      </w:r>
    </w:p>
    <w:p>
      <w:pPr>
        <w:pStyle w:val="FirstParagraph"/>
      </w:pPr>
      <w:r>
        <w:t xml:space="preserve">[IMAGEM: Painel da paleta cromática — amostras de cor com códigos técnicos (CMYK, RGB, Hex, Pantone), demonstrando as quatro versões cromáticas da marca lado a lado. Legenda:</w:t>
      </w:r>
      <w:r>
        <w:t xml:space="preserve"> </w:t>
      </w:r>
      <w:r>
        <w:t xml:space="preserve">“Figura 13 — Paleta cromática com códigos técnicos”</w:t>
      </w:r>
      <w:r>
        <w:t xml:space="preserve">]</w:t>
      </w:r>
    </w:p>
    <w:bookmarkEnd w:id="34"/>
    <w:bookmarkStart w:id="35" w:name="malha-construtiva"/>
    <w:p>
      <w:pPr>
        <w:pStyle w:val="Heading2"/>
      </w:pPr>
      <w:r>
        <w:t xml:space="preserve">7.3 Malha Construtiva</w:t>
      </w:r>
    </w:p>
    <w:p>
      <w:pPr>
        <w:pStyle w:val="FirstParagraph"/>
      </w:pPr>
      <w:r>
        <w:t xml:space="preserve">A malha construtiva define as proporções, os alinhamentos e as relações geométricas que governam a construção do símbolo. Ela permite a reprodução fiel da marca em qualquer escala e suporte, independentemente de quem a executa.</w:t>
      </w:r>
    </w:p>
    <w:p>
      <w:pPr>
        <w:pStyle w:val="BodyText"/>
      </w:pPr>
      <w:r>
        <w:t xml:space="preserve">Elementos da malha: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 base (X):</w:t>
      </w:r>
      <w:r>
        <w:t xml:space="preserve"> </w:t>
      </w:r>
      <w:r>
        <w:t xml:space="preserve">unidade de medida proporcional a partir da qual todas as dimensões são derivadas.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Proporções do símbolo:</w:t>
      </w:r>
      <w:r>
        <w:t xml:space="preserve"> </w:t>
      </w:r>
      <w:r>
        <w:t xml:space="preserve">relação entre largura e altura, ângulos do cubo isométrico (30°/60°), raio do arco.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Área de proteção:</w:t>
      </w:r>
      <w:r>
        <w:t xml:space="preserve"> </w:t>
      </w:r>
      <w:r>
        <w:t xml:space="preserve">espaço mínimo ao redor da marca onde nenhum outro elemento gráfico pode ser posicionado. A área de proteção é definida como [X] módulos em todas as direções.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Redução mínima:</w:t>
      </w:r>
      <w:r>
        <w:t xml:space="preserve"> </w:t>
      </w:r>
      <w:r>
        <w:t xml:space="preserve">menor dimensão na qual a marca pode ser reproduzida sem perda de legibilidade. Para impressão: [X] mm de largura. Para tela: [X] px de largura.</w:t>
      </w:r>
    </w:p>
    <w:p>
      <w:pPr>
        <w:pStyle w:val="FirstParagraph"/>
      </w:pPr>
      <w:r>
        <w:t xml:space="preserve">[IMAGEM: Malha construtiva do símbolo — grid modular com indicação de módulo base, proporções, ângulos, raio do arco, área de proteção (representada por zona hachurada) e redução mínima. Legenda:</w:t>
      </w:r>
      <w:r>
        <w:t xml:space="preserve"> </w:t>
      </w:r>
      <w:r>
        <w:t xml:space="preserve">“Figura 14 — Malha construtiva, proporções e área de proteção”</w:t>
      </w:r>
      <w:r>
        <w:t xml:space="preserve">]</w:t>
      </w:r>
    </w:p>
    <w:bookmarkEnd w:id="35"/>
    <w:bookmarkStart w:id="36" w:name="versões-da-marca"/>
    <w:p>
      <w:pPr>
        <w:pStyle w:val="Heading2"/>
      </w:pPr>
      <w:r>
        <w:t xml:space="preserve">7.4 Versões da Marca</w:t>
      </w:r>
    </w:p>
    <w:p>
      <w:pPr>
        <w:pStyle w:val="FirstParagraph"/>
      </w:pPr>
      <w:r>
        <w:t xml:space="preserve">O sistema prevê as seguintes versões: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Marca principal (horizontal):</w:t>
      </w:r>
      <w:r>
        <w:t xml:space="preserve"> </w:t>
      </w:r>
      <w:r>
        <w:t xml:space="preserve">símbolo + assinatura tipográfica, disposição horizontal. Uso preferencial.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Marca vertical:</w:t>
      </w:r>
      <w:r>
        <w:t xml:space="preserve"> </w:t>
      </w:r>
      <w:r>
        <w:t xml:space="preserve">símbolo acima, tipografia abaixo. Para espaços estreitos ou quadrados.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Símbolo isolado:</w:t>
      </w:r>
      <w:r>
        <w:t xml:space="preserve"> </w:t>
      </w:r>
      <w:r>
        <w:t xml:space="preserve">apenas o símbolo gráfico, sem tipografia. Para aplicações em tamanho reduzido (favicons, avatares, carimbos) onde o contexto já identifica o curso.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Versão monocromática positiva:</w:t>
      </w:r>
      <w:r>
        <w:t xml:space="preserve"> </w:t>
      </w:r>
      <w:r>
        <w:t xml:space="preserve">preto sobre branco.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Versão monocromática negativa:</w:t>
      </w:r>
      <w:r>
        <w:t xml:space="preserve"> </w:t>
      </w:r>
      <w:r>
        <w:t xml:space="preserve">branco sobre fundo escuro.</w:t>
      </w:r>
    </w:p>
    <w:p>
      <w:pPr>
        <w:pStyle w:val="FirstParagraph"/>
      </w:pPr>
      <w:r>
        <w:t xml:space="preserve">[IMAGEM: Grid com as cinco versões da marca dispostas lado a lado — horizontal, vertical, símbolo isolado, mono positiva, mono negativa. Legenda:</w:t>
      </w:r>
      <w:r>
        <w:t xml:space="preserve"> </w:t>
      </w:r>
      <w:r>
        <w:t xml:space="preserve">“Figura 15 — Versões da marca”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Usos incorretos</w:t>
      </w:r>
      <w:r>
        <w:t xml:space="preserve"> </w:t>
      </w:r>
      <w:r>
        <w:t xml:space="preserve">— a marca não deve ser:</w:t>
      </w:r>
    </w:p>
    <w:p>
      <w:pPr>
        <w:pStyle w:val="Compact"/>
        <w:numPr>
          <w:ilvl w:val="0"/>
          <w:numId w:val="1015"/>
        </w:numPr>
      </w:pPr>
      <w:r>
        <w:t xml:space="preserve">Distorcida (esticada, comprimida ou rotacionada).</w:t>
      </w:r>
    </w:p>
    <w:p>
      <w:pPr>
        <w:pStyle w:val="Compact"/>
        <w:numPr>
          <w:ilvl w:val="0"/>
          <w:numId w:val="1015"/>
        </w:numPr>
      </w:pPr>
      <w:r>
        <w:t xml:space="preserve">Aplicada sobre fundos que comprometam a legibilidade.</w:t>
      </w:r>
    </w:p>
    <w:p>
      <w:pPr>
        <w:pStyle w:val="Compact"/>
        <w:numPr>
          <w:ilvl w:val="0"/>
          <w:numId w:val="1015"/>
        </w:numPr>
      </w:pPr>
      <w:r>
        <w:t xml:space="preserve">Alterada em suas cores fora da paleta definida.</w:t>
      </w:r>
    </w:p>
    <w:p>
      <w:pPr>
        <w:pStyle w:val="Compact"/>
        <w:numPr>
          <w:ilvl w:val="0"/>
          <w:numId w:val="1015"/>
        </w:numPr>
      </w:pPr>
      <w:r>
        <w:t xml:space="preserve">Fragmentada (usar partes do símbolo isoladamente).</w:t>
      </w:r>
    </w:p>
    <w:p>
      <w:pPr>
        <w:pStyle w:val="Compact"/>
        <w:numPr>
          <w:ilvl w:val="0"/>
          <w:numId w:val="1015"/>
        </w:numPr>
      </w:pPr>
      <w:r>
        <w:t xml:space="preserve">Redesenhada ou reconstruída fora da malha construtiva.</w:t>
      </w:r>
    </w:p>
    <w:p>
      <w:pPr>
        <w:pStyle w:val="Compact"/>
        <w:numPr>
          <w:ilvl w:val="0"/>
          <w:numId w:val="1015"/>
        </w:numPr>
      </w:pPr>
      <w:r>
        <w:t xml:space="preserve">Acompanhada de contornos, sombras, gradientes ou efeitos.</w:t>
      </w:r>
    </w:p>
    <w:p>
      <w:pPr>
        <w:pStyle w:val="FirstParagraph"/>
      </w:pPr>
      <w:r>
        <w:t xml:space="preserve">[IMAGEM: Grid de usos incorretos — 6 exemplos com o símbolo</w:t>
      </w:r>
      <w:r>
        <w:t xml:space="preserve"> </w:t>
      </w:r>
      <w:r>
        <w:t xml:space="preserve">“X”</w:t>
      </w:r>
      <w:r>
        <w:t xml:space="preserve"> </w:t>
      </w:r>
      <w:r>
        <w:t xml:space="preserve">vermelho sobre cada um, mostrando: distorção, fundo inadequado, cores erradas, fragmentação, redesenho e efeitos aplicados. Legenda:</w:t>
      </w:r>
      <w:r>
        <w:t xml:space="preserve"> </w:t>
      </w:r>
      <w:r>
        <w:t xml:space="preserve">“Figura 16 — Usos incorretos da marca”</w:t>
      </w:r>
      <w:r>
        <w:t xml:space="preserve">]</w:t>
      </w:r>
    </w:p>
    <w:bookmarkEnd w:id="36"/>
    <w:bookmarkEnd w:id="37"/>
    <w:bookmarkStart w:id="41" w:name="aplicações"/>
    <w:p>
      <w:pPr>
        <w:pStyle w:val="Heading1"/>
      </w:pPr>
      <w:r>
        <w:t xml:space="preserve">8. Aplicações</w:t>
      </w:r>
    </w:p>
    <w:bookmarkStart w:id="38" w:name="aplicações-institucionais"/>
    <w:p>
      <w:pPr>
        <w:pStyle w:val="Heading2"/>
      </w:pPr>
      <w:r>
        <w:t xml:space="preserve">8.1 Aplicações Institucionais</w:t>
      </w:r>
    </w:p>
    <w:p>
      <w:pPr>
        <w:pStyle w:val="FirstParagraph"/>
      </w:pPr>
      <w:r>
        <w:t xml:space="preserve">A marca foi projetada para funcionar nos seguintes suportes institucionais: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Papel timbrado:</w:t>
      </w:r>
      <w:r>
        <w:t xml:space="preserve"> </w:t>
      </w:r>
      <w:r>
        <w:t xml:space="preserve">marca no cabeçalho, dados de contato no rodapé, área útil para texto.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Apresentações (slides):</w:t>
      </w:r>
      <w:r>
        <w:t xml:space="preserve"> </w:t>
      </w:r>
      <w:r>
        <w:t xml:space="preserve">marca na capa e no rodapé de slides internos, paleta cromática aplicada aos elementos de layout.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Banner acadêmico (roll-up):</w:t>
      </w:r>
      <w:r>
        <w:t xml:space="preserve"> </w:t>
      </w:r>
      <w:r>
        <w:t xml:space="preserve">marca em destaque no topo, área para conteúdo variável.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Redes sociais:</w:t>
      </w:r>
      <w:r>
        <w:t xml:space="preserve"> </w:t>
      </w:r>
      <w:r>
        <w:t xml:space="preserve">avatar (símbolo isolado), capa de perfil (marca horizontal), templates de postagem.</w:t>
      </w:r>
    </w:p>
    <w:p>
      <w:pPr>
        <w:pStyle w:val="FirstParagraph"/>
      </w:pPr>
      <w:r>
        <w:t xml:space="preserve">[IMAGEM: Mockups das aplicações institucionais — quatro simulações lado a lado: papel timbrado A4, slide de apresentação, banner roll-up e perfil de rede social. Legenda:</w:t>
      </w:r>
      <w:r>
        <w:t xml:space="preserve"> </w:t>
      </w:r>
      <w:r>
        <w:t xml:space="preserve">“Figura 17 — Aplicações institucionais”</w:t>
      </w:r>
      <w:r>
        <w:t xml:space="preserve">]</w:t>
      </w:r>
    </w:p>
    <w:bookmarkEnd w:id="38"/>
    <w:bookmarkStart w:id="39" w:name="produtos-do-curso"/>
    <w:p>
      <w:pPr>
        <w:pStyle w:val="Heading2"/>
      </w:pPr>
      <w:r>
        <w:t xml:space="preserve">8.2 Produtos do Curso</w:t>
      </w:r>
    </w:p>
    <w:p>
      <w:pPr>
        <w:pStyle w:val="FirstParagraph"/>
      </w:pPr>
      <w:r>
        <w:t xml:space="preserve">O curso de Design de Produto produz artefatos físicos como parte de seu processo formativo. A marca precisa funcionar também nesses suportes: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Camiseta do curso:</w:t>
      </w:r>
      <w:r>
        <w:t xml:space="preserve"> </w:t>
      </w:r>
      <w:r>
        <w:t xml:space="preserve">símbolo estampado no peito esquerdo, assinatura completa nas costas.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Etiqueta de protótipos:</w:t>
      </w:r>
      <w:r>
        <w:t xml:space="preserve"> </w:t>
      </w:r>
      <w:r>
        <w:t xml:space="preserve">marca em tamanho reduzido, aplicada em etiquetas adesivas ou tags coladas aos produtos desenvolvidos pelos alunos em disciplinas práticas.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Sinalização de laboratórios:</w:t>
      </w:r>
      <w:r>
        <w:t xml:space="preserve"> </w:t>
      </w:r>
      <w:r>
        <w:t xml:space="preserve">placa de identificação dos laboratórios de prototipagem, marcenaria e modelagem do Campus Samambaia.</w:t>
      </w:r>
    </w:p>
    <w:p>
      <w:pPr>
        <w:pStyle w:val="FirstParagraph"/>
      </w:pPr>
      <w:r>
        <w:t xml:space="preserve">[IMAGEM: Mockups dos produtos do curso — três simulações: camiseta com marca estampada, etiqueta adesiva em protótipo de produto, placa de sinalização de laboratório. Legenda:</w:t>
      </w:r>
      <w:r>
        <w:t xml:space="preserve"> </w:t>
      </w:r>
      <w:r>
        <w:t xml:space="preserve">“Figura 18 — Aplicações em produtos do curso”</w:t>
      </w:r>
      <w:r>
        <w:t xml:space="preserve">]</w:t>
      </w:r>
    </w:p>
    <w:bookmarkEnd w:id="39"/>
    <w:bookmarkStart w:id="40" w:name="coexistência-com-a-marca-ifb"/>
    <w:p>
      <w:pPr>
        <w:pStyle w:val="Heading2"/>
      </w:pPr>
      <w:r>
        <w:t xml:space="preserve">8.3 Coexistência com a Marca IFB</w:t>
      </w:r>
    </w:p>
    <w:p>
      <w:pPr>
        <w:pStyle w:val="FirstParagraph"/>
      </w:pPr>
      <w:r>
        <w:t xml:space="preserve">A marca do curso foi projetada para coexistir com a marca institucional do IFB em um sistema de lockup (composição combinada). A hierarquia segue o princípio de subordinação institucional: a marca do IFB é sempre posicionada à esquerda ou acima, indicando a relação de pertencimento; a marca do curso é posicionada à direita ou abaixo, indicando a especificidade.</w:t>
      </w:r>
    </w:p>
    <w:p>
      <w:pPr>
        <w:pStyle w:val="BodyText"/>
      </w:pPr>
      <w:r>
        <w:t xml:space="preserve">O espaçamento entre as duas marcas é definido pelo módulo base da malha construtiva, garantindo separação visual sem desconexão. Uma barra vertical ou espaço em branco pode ser utilizado como elemento de separação, conforme o suporte.</w:t>
      </w:r>
    </w:p>
    <w:p>
      <w:pPr>
        <w:pStyle w:val="BodyText"/>
      </w:pPr>
      <w:r>
        <w:t xml:space="preserve">[IMAGEM: Lockup de coexistência — marca do IFB à esquerda, separador, marca do curso à direita, com cotas indicando espaçamento proporcional. Versão horizontal e versão empilhada (vertical). Legenda:</w:t>
      </w:r>
      <w:r>
        <w:t xml:space="preserve"> </w:t>
      </w:r>
      <w:r>
        <w:t xml:space="preserve">“Figura 19 — Lockup de coexistência com a marca IFB”</w:t>
      </w:r>
      <w:r>
        <w:t xml:space="preserve">]</w:t>
      </w:r>
    </w:p>
    <w:bookmarkEnd w:id="40"/>
    <w:bookmarkEnd w:id="41"/>
    <w:bookmarkStart w:id="42" w:name="especificações-técnicas"/>
    <w:p>
      <w:pPr>
        <w:pStyle w:val="Heading1"/>
      </w:pPr>
      <w:r>
        <w:t xml:space="preserve">9. Especificações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Especificação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de arquivo</w:t>
            </w:r>
          </w:p>
        </w:tc>
        <w:tc>
          <w:tcPr/>
          <w:p>
            <w:pPr>
              <w:pStyle w:val="Compact"/>
            </w:pPr>
            <w:r>
              <w:t xml:space="preserve">AI (editável), PDF (vetorial), SVG, PNG (com transparência), 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 — impressão</w:t>
            </w:r>
          </w:p>
        </w:tc>
        <w:tc>
          <w:tcPr/>
          <w:p>
            <w:pPr>
              <w:pStyle w:val="Compact"/>
            </w:pPr>
            <w:r>
              <w:t xml:space="preserve">CMYK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 de cor — tela</w:t>
            </w:r>
          </w:p>
        </w:tc>
        <w:tc>
          <w:tcPr/>
          <w:p>
            <w:pPr>
              <w:pStyle w:val="Compact"/>
            </w:pPr>
            <w:r>
              <w:t xml:space="preserve">sRGB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Tipografia da assinatura</w:t>
            </w:r>
          </w:p>
        </w:tc>
        <w:tc>
          <w:tcPr/>
          <w:p>
            <w:pPr>
              <w:pStyle w:val="Compact"/>
            </w:pPr>
            <w:r>
              <w:t xml:space="preserve">[Nome da fonte] — [Peso(s)]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impressão</w:t>
            </w:r>
          </w:p>
        </w:tc>
        <w:tc>
          <w:tcPr/>
          <w:p>
            <w:pPr>
              <w:pStyle w:val="Compact"/>
            </w:pPr>
            <w:r>
              <w:t xml:space="preserve">[X] mm de largura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Redução mínima — tela</w:t>
            </w:r>
          </w:p>
        </w:tc>
        <w:tc>
          <w:tcPr/>
          <w:p>
            <w:pPr>
              <w:pStyle w:val="Compact"/>
            </w:pPr>
            <w:r>
              <w:t xml:space="preserve">[X] px de largura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de proteção</w:t>
            </w:r>
          </w:p>
        </w:tc>
        <w:tc>
          <w:tcPr/>
          <w:p>
            <w:pPr>
              <w:pStyle w:val="Compact"/>
            </w:pPr>
            <w:r>
              <w:t xml:space="preserve">[X] módulos em todas as direções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 entregues</w:t>
            </w:r>
          </w:p>
        </w:tc>
        <w:tc>
          <w:tcPr/>
          <w:p>
            <w:pPr>
              <w:pStyle w:val="Compact"/>
            </w:pPr>
            <w:r>
              <w:t xml:space="preserve">Principal (horizontal), vertical, símbolo isolado, mono positiva, mono negativa</w:t>
            </w:r>
          </w:p>
        </w:tc>
      </w:tr>
    </w:tbl>
    <w:bookmarkEnd w:id="42"/>
    <w:bookmarkStart w:id="43" w:name="considerações-sobre-o-concurso"/>
    <w:p>
      <w:pPr>
        <w:pStyle w:val="Heading1"/>
      </w:pPr>
      <w:r>
        <w:t xml:space="preserve">10. Considerações sobre o Concurso</w:t>
      </w:r>
    </w:p>
    <w:p>
      <w:pPr>
        <w:pStyle w:val="FirstParagraph"/>
      </w:pPr>
      <w:r>
        <w:t xml:space="preserve">A presente proposta foi desenvolvida para submissão ao concurso de seleção de marca do Curso Superior de Tecnologia em Design de Produto do IFB Campus Samambaia. As seguintes condições são registradas: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Autoria.</w:t>
      </w:r>
      <w:r>
        <w:t xml:space="preserve"> </w:t>
      </w:r>
      <w:r>
        <w:t xml:space="preserve">A marca é de autoria de Victor Costa, estudante do curso.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Formato de entrega.</w:t>
      </w:r>
      <w:r>
        <w:t xml:space="preserve"> </w:t>
      </w:r>
      <w:r>
        <w:t xml:space="preserve">Arquivos em formato vetorial (AI, SVG, PDF), acompanhados deste memorial descritivo em formato digital (.md e .docx).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Cessão de uso.</w:t>
      </w:r>
      <w:r>
        <w:t xml:space="preserve"> </w:t>
      </w:r>
      <w:r>
        <w:t xml:space="preserve">Em caso de seleção, o autor cede ao IFB o direito de uso da marca para fins institucionais, conforme os termos definidos no edital do concurso.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Originalidade.</w:t>
      </w:r>
      <w:r>
        <w:t xml:space="preserve"> </w:t>
      </w:r>
      <w:r>
        <w:t xml:space="preserve">A proposta é original e foi desenvolvida especificamente para este curso. Não reproduz, total ou parcialmente, marcas registradas por terceiros.</w:t>
      </w:r>
    </w:p>
    <w:bookmarkEnd w:id="43"/>
    <w:bookmarkStart w:id="44" w:name="considerações-finais"/>
    <w:p>
      <w:pPr>
        <w:pStyle w:val="Heading1"/>
      </w:pPr>
      <w:r>
        <w:t xml:space="preserve">11. Considerações Finais</w:t>
      </w:r>
    </w:p>
    <w:p>
      <w:pPr>
        <w:pStyle w:val="FirstParagraph"/>
      </w:pPr>
      <w:r>
        <w:t xml:space="preserve">A marca proposta para o Curso Superior de Tecnologia em Design de Produto do IFB Campus Samambaia foi construída com rigor construtivo e fundamentação teórica. Cada decisão projetual — das formas geométricas à paleta cromática, da polissemia conceitual à derivação formal da identidade do IFB — responde a critérios documentados e justificados.</w:t>
      </w:r>
    </w:p>
    <w:p>
      <w:pPr>
        <w:pStyle w:val="BodyText"/>
      </w:pPr>
      <w:r>
        <w:t xml:space="preserve">O símbolo condensa, em uma única forma geométrica, quatro leituras que narram a jornada do estudante: da matéria bruta ao conhecimento, do conhecimento à formação, da formação à expansão profissional. Essa narrativa de transformação está alinhada com a missão declarada do IFB —</w:t>
      </w:r>
      <w:r>
        <w:t xml:space="preserve"> </w:t>
      </w:r>
      <w:r>
        <w:t xml:space="preserve">“transformar vidas por meio da Educação Profissional e Tecnológica”</w:t>
      </w:r>
      <w:r>
        <w:t xml:space="preserve"> </w:t>
      </w:r>
      <w:r>
        <w:t xml:space="preserve">— e com a vocação específica do Design de Produto, disciplina que, por definição, transforma matéria em artefato pelo ato de projetar.</w:t>
      </w:r>
    </w:p>
    <w:p>
      <w:pPr>
        <w:pStyle w:val="BodyText"/>
      </w:pPr>
      <w:r>
        <w:t xml:space="preserve">A marca foi derivada construtivamente da identidade visual do IFB, garantindo pertencimento à família institucional. Ao mesmo tempo, a recomposição formal e a diferenciação cromática conferem ao curso uma identidade visual própria, capaz de representá-lo em contextos acadêmicos, profissionais e sociais.</w:t>
      </w:r>
    </w:p>
    <w:p>
      <w:pPr>
        <w:pStyle w:val="BodyText"/>
      </w:pPr>
      <w:r>
        <w:t xml:space="preserve">O sistema visual completo — com suas versões, malha construtiva, paleta, tipografia e normas de aplicação — garante a coerência e a reprodutibilidade da marca em qualquer suporte, escala ou contexto.</w:t>
      </w:r>
    </w:p>
    <w:bookmarkEnd w:id="44"/>
    <w:bookmarkStart w:id="45" w:name="referências-bibliográficas"/>
    <w:p>
      <w:pPr>
        <w:pStyle w:val="Heading1"/>
      </w:pPr>
      <w:r>
        <w:t xml:space="preserve">12. Referências Bibliográficas</w:t>
      </w:r>
    </w:p>
    <w:p>
      <w:pPr>
        <w:pStyle w:val="FirstParagraph"/>
      </w:pPr>
      <w:r>
        <w:t xml:space="preserve">ARNHEIM, Rudolf.</w:t>
      </w:r>
      <w:r>
        <w:t xml:space="preserve"> </w:t>
      </w:r>
      <w:r>
        <w:rPr>
          <w:b/>
          <w:bCs/>
        </w:rPr>
        <w:t xml:space="preserve">Arte e percepção visual</w:t>
      </w:r>
      <w:r>
        <w:t xml:space="preserve">: uma psicologia da visão criadora. São Paulo: Cengage Learning, 1974.</w:t>
      </w:r>
    </w:p>
    <w:p>
      <w:pPr>
        <w:pStyle w:val="BodyText"/>
      </w:pPr>
      <w:r>
        <w:t xml:space="preserve">BOMFIM, Gustavo Amarante.</w:t>
      </w:r>
      <w:r>
        <w:t xml:space="preserve"> </w:t>
      </w:r>
      <w:r>
        <w:rPr>
          <w:b/>
          <w:bCs/>
        </w:rPr>
        <w:t xml:space="preserve">Metodologia para desenvolvimento de projetos</w:t>
      </w:r>
      <w:r>
        <w:t xml:space="preserve">. João Pessoa: Editora Universitária UFPB, 1995.</w:t>
      </w:r>
    </w:p>
    <w:p>
      <w:pPr>
        <w:pStyle w:val="BodyText"/>
      </w:pPr>
      <w:r>
        <w:t xml:space="preserve">BONSIEPE, Gui.</w:t>
      </w:r>
      <w:r>
        <w:t xml:space="preserve"> </w:t>
      </w:r>
      <w:r>
        <w:rPr>
          <w:b/>
          <w:bCs/>
        </w:rPr>
        <w:t xml:space="preserve">Design: do material ao digital</w:t>
      </w:r>
      <w:r>
        <w:t xml:space="preserve">. Florianópolis: FIESC/IEL, 1997.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11.892, de 29 de dezembro de 2008</w:t>
      </w:r>
      <w:r>
        <w:t xml:space="preserve">. Institui a Rede Federal de Educação Profissional, Científica e Tecnológica, cria os Institutos Federais de Educação, Ciência e Tecnologia. Brasília: Diário Oficial da União, 2008.</w:t>
      </w:r>
    </w:p>
    <w:p>
      <w:pPr>
        <w:pStyle w:val="BodyText"/>
      </w:pPr>
      <w:r>
        <w:t xml:space="preserve">BRINGHURST, Robert.</w:t>
      </w:r>
      <w:r>
        <w:t xml:space="preserve"> </w:t>
      </w:r>
      <w:r>
        <w:rPr>
          <w:b/>
          <w:bCs/>
        </w:rPr>
        <w:t xml:space="preserve">Elementos do estilo tipográfico</w:t>
      </w:r>
      <w:r>
        <w:t xml:space="preserve">. São Paulo: Cosac Naify, 2005.</w:t>
      </w:r>
    </w:p>
    <w:p>
      <w:pPr>
        <w:pStyle w:val="BodyText"/>
      </w:pPr>
      <w:r>
        <w:t xml:space="preserve">BÜRDEK, Bernhard E.</w:t>
      </w:r>
      <w:r>
        <w:t xml:space="preserve"> </w:t>
      </w:r>
      <w:r>
        <w:rPr>
          <w:b/>
          <w:bCs/>
        </w:rPr>
        <w:t xml:space="preserve">Design</w:t>
      </w:r>
      <w:r>
        <w:t xml:space="preserve">: história, teoria e prática do design de produto. São Paulo: Edgard Blücher, 2006.</w:t>
      </w:r>
    </w:p>
    <w:p>
      <w:pPr>
        <w:pStyle w:val="BodyText"/>
      </w:pPr>
      <w:r>
        <w:t xml:space="preserve">CARDOSO, Rafael.</w:t>
      </w:r>
      <w:r>
        <w:t xml:space="preserve"> </w:t>
      </w:r>
      <w:r>
        <w:rPr>
          <w:b/>
          <w:bCs/>
        </w:rPr>
        <w:t xml:space="preserve">Uma introdução à história do design</w:t>
      </w:r>
      <w:r>
        <w:t xml:space="preserve">. São Paulo: Edgard Blücher, 2008.</w:t>
      </w:r>
    </w:p>
    <w:p>
      <w:pPr>
        <w:pStyle w:val="BodyText"/>
      </w:pPr>
      <w:r>
        <w:t xml:space="preserve">COSTA, Joan.</w:t>
      </w:r>
      <w:r>
        <w:t xml:space="preserve"> </w:t>
      </w:r>
      <w:r>
        <w:rPr>
          <w:b/>
          <w:bCs/>
        </w:rPr>
        <w:t xml:space="preserve">Design para os olhos</w:t>
      </w:r>
      <w:r>
        <w:t xml:space="preserve">: marca, cor, identidade, sinalética. Lisboa: Dinalivro, 2011.</w:t>
      </w:r>
    </w:p>
    <w:p>
      <w:pPr>
        <w:pStyle w:val="BodyText"/>
      </w:pPr>
      <w:r>
        <w:t xml:space="preserve">DONDIS, Donis A.</w:t>
      </w:r>
      <w:r>
        <w:t xml:space="preserve"> </w:t>
      </w:r>
      <w:r>
        <w:rPr>
          <w:b/>
          <w:bCs/>
        </w:rPr>
        <w:t xml:space="preserve">Sintaxe da linguagem visual</w:t>
      </w:r>
      <w:r>
        <w:t xml:space="preserve">. São Paulo: Martins Fontes, 1991.</w:t>
      </w:r>
    </w:p>
    <w:p>
      <w:pPr>
        <w:pStyle w:val="BodyText"/>
      </w:pPr>
      <w:r>
        <w:t xml:space="preserve">ECO, Umberto.</w:t>
      </w:r>
      <w:r>
        <w:t xml:space="preserve"> </w:t>
      </w:r>
      <w:r>
        <w:rPr>
          <w:b/>
          <w:bCs/>
        </w:rPr>
        <w:t xml:space="preserve">Tratado geral de semiótica</w:t>
      </w:r>
      <w:r>
        <w:t xml:space="preserve">. São Paulo: Perspectiva, 2014.</w:t>
      </w:r>
    </w:p>
    <w:p>
      <w:pPr>
        <w:pStyle w:val="BodyText"/>
      </w:pPr>
      <w:r>
        <w:t xml:space="preserve">FLUSSER, Vilém.</w:t>
      </w:r>
      <w:r>
        <w:t xml:space="preserve"> </w:t>
      </w:r>
      <w:r>
        <w:rPr>
          <w:b/>
          <w:bCs/>
        </w:rPr>
        <w:t xml:space="preserve">O mundo codificado</w:t>
      </w:r>
      <w:r>
        <w:t xml:space="preserve">: por uma filosofia do design e da comunicação. São Paulo: Cosac Naify, 2007.</w:t>
      </w:r>
    </w:p>
    <w:p>
      <w:pPr>
        <w:pStyle w:val="BodyText"/>
      </w:pPr>
      <w:r>
        <w:t xml:space="preserve">FRASER, Tom; BANKS, Adam.</w:t>
      </w:r>
      <w:r>
        <w:t xml:space="preserve"> </w:t>
      </w:r>
      <w:r>
        <w:rPr>
          <w:b/>
          <w:bCs/>
        </w:rPr>
        <w:t xml:space="preserve">O essencial da cor no design</w:t>
      </w:r>
      <w:r>
        <w:t xml:space="preserve">. São Paulo: Editora Senac São Paulo, 2007.</w:t>
      </w:r>
    </w:p>
    <w:p>
      <w:pPr>
        <w:pStyle w:val="BodyText"/>
      </w:pPr>
      <w:r>
        <w:t xml:space="preserve">HELLER, Steven.</w:t>
      </w:r>
      <w:r>
        <w:t xml:space="preserve"> </w:t>
      </w:r>
      <w:r>
        <w:rPr>
          <w:b/>
          <w:bCs/>
        </w:rPr>
        <w:t xml:space="preserve">The education of a graphic designer</w:t>
      </w:r>
      <w:r>
        <w:t xml:space="preserve">. New York: Allworth Press, 2005.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Projeto Pedagógico do Curso Superior de Tecnologia em Design de Produto</w:t>
      </w:r>
      <w:r>
        <w:t xml:space="preserve"> </w:t>
      </w:r>
      <w:r>
        <w:t xml:space="preserve">(Reestruturação do projeto pedagógico implementado em 2020/1). Samambaia-DF: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Plano de Desenvolvimento Institucional 2024–2030</w:t>
      </w:r>
      <w:r>
        <w:t xml:space="preserve">. Brasília: IFB, 2024.</w:t>
      </w:r>
    </w:p>
    <w:p>
      <w:pPr>
        <w:pStyle w:val="BodyText"/>
      </w:pPr>
      <w:r>
        <w:t xml:space="preserve">INSTITUTO FEDERAL DE BRASÍLIA.</w:t>
      </w:r>
      <w:r>
        <w:t xml:space="preserve"> </w:t>
      </w:r>
      <w:r>
        <w:rPr>
          <w:b/>
          <w:bCs/>
        </w:rPr>
        <w:t xml:space="preserve">Manual de Identidade Visual do IFB</w:t>
      </w:r>
      <w:r>
        <w:t xml:space="preserve">. Brasília: IFB, [s.d.].</w:t>
      </w:r>
    </w:p>
    <w:p>
      <w:pPr>
        <w:pStyle w:val="BodyText"/>
      </w:pPr>
      <w:r>
        <w:t xml:space="preserve">JOLY, Martine.</w:t>
      </w:r>
      <w:r>
        <w:t xml:space="preserve"> </w:t>
      </w:r>
      <w:r>
        <w:rPr>
          <w:b/>
          <w:bCs/>
        </w:rPr>
        <w:t xml:space="preserve">Introdução à análise da imagem</w:t>
      </w:r>
      <w:r>
        <w:t xml:space="preserve">. Campinas: Papirus, 2007.</w:t>
      </w:r>
    </w:p>
    <w:p>
      <w:pPr>
        <w:pStyle w:val="BodyText"/>
      </w:pPr>
      <w:r>
        <w:t xml:space="preserve">LÖBACH, Bernd.</w:t>
      </w:r>
      <w:r>
        <w:t xml:space="preserve"> </w:t>
      </w:r>
      <w:r>
        <w:rPr>
          <w:b/>
          <w:bCs/>
        </w:rPr>
        <w:t xml:space="preserve">Design industrial</w:t>
      </w:r>
      <w:r>
        <w:t xml:space="preserve">: bases para a configuração dos produtos industriais. São Paulo: Edgard Blücher, 2001.</w:t>
      </w:r>
    </w:p>
    <w:p>
      <w:pPr>
        <w:pStyle w:val="BodyText"/>
      </w:pPr>
      <w:r>
        <w:t xml:space="preserve">LUPTON, Ellen.</w:t>
      </w:r>
      <w:r>
        <w:t xml:space="preserve"> </w:t>
      </w:r>
      <w:r>
        <w:rPr>
          <w:b/>
          <w:bCs/>
        </w:rPr>
        <w:t xml:space="preserve">Pensar com tipos</w:t>
      </w:r>
      <w:r>
        <w:t xml:space="preserve">: guia para designers, escritores, editores e estudantes. São Paulo: Cosac Naify, 2006.</w:t>
      </w:r>
    </w:p>
    <w:p>
      <w:pPr>
        <w:pStyle w:val="BodyText"/>
      </w:pPr>
      <w:r>
        <w:t xml:space="preserve">MUNARI, Bruno.</w:t>
      </w:r>
      <w:r>
        <w:t xml:space="preserve"> </w:t>
      </w:r>
      <w:r>
        <w:rPr>
          <w:b/>
          <w:bCs/>
        </w:rPr>
        <w:t xml:space="preserve">Design e comunicação visual</w:t>
      </w:r>
      <w:r>
        <w:t xml:space="preserve">: contribuição para uma metodologia didática. São Paulo: Martins Fontes, 1997.</w:t>
      </w:r>
    </w:p>
    <w:p>
      <w:pPr>
        <w:pStyle w:val="BodyText"/>
      </w:pPr>
      <w:r>
        <w:t xml:space="preserve">NEUMEIER, Marty.</w:t>
      </w:r>
      <w:r>
        <w:t xml:space="preserve"> </w:t>
      </w:r>
      <w:r>
        <w:rPr>
          <w:b/>
          <w:bCs/>
        </w:rPr>
        <w:t xml:space="preserve">The brand gap</w:t>
      </w:r>
      <w:r>
        <w:t xml:space="preserve">: o abismo da marca. Porto Alegre: Bookman, 2006.</w:t>
      </w:r>
    </w:p>
    <w:p>
      <w:pPr>
        <w:pStyle w:val="BodyText"/>
      </w:pPr>
      <w:r>
        <w:t xml:space="preserve">PEIRCE, Charles Sanders.</w:t>
      </w:r>
      <w:r>
        <w:t xml:space="preserve"> </w:t>
      </w:r>
      <w:r>
        <w:rPr>
          <w:b/>
          <w:bCs/>
        </w:rPr>
        <w:t xml:space="preserve">Semiótica</w:t>
      </w:r>
      <w:r>
        <w:t xml:space="preserve">. São Paulo: Perspectiva, 2005.</w:t>
      </w:r>
    </w:p>
    <w:p>
      <w:pPr>
        <w:pStyle w:val="BodyText"/>
      </w:pPr>
      <w:r>
        <w:t xml:space="preserve">PEÓN, Maria Luísa.</w:t>
      </w:r>
      <w:r>
        <w:t xml:space="preserve"> </w:t>
      </w:r>
      <w:r>
        <w:rPr>
          <w:b/>
          <w:bCs/>
        </w:rPr>
        <w:t xml:space="preserve">Sistemas de identidade visual</w:t>
      </w:r>
      <w:r>
        <w:t xml:space="preserve">. 4. ed. Rio de Janeiro: 2AB, 2009.</w:t>
      </w:r>
    </w:p>
    <w:p>
      <w:pPr>
        <w:pStyle w:val="BodyText"/>
      </w:pPr>
      <w:r>
        <w:t xml:space="preserve">SANTAELLA, Lucia.</w:t>
      </w:r>
      <w:r>
        <w:t xml:space="preserve"> </w:t>
      </w:r>
      <w:r>
        <w:rPr>
          <w:b/>
          <w:bCs/>
        </w:rPr>
        <w:t xml:space="preserve">Semiótica aplicada</w:t>
      </w:r>
      <w:r>
        <w:t xml:space="preserve">. São Paulo: Cengage Learning, 2002.</w:t>
      </w:r>
    </w:p>
    <w:p>
      <w:pPr>
        <w:pStyle w:val="BodyText"/>
      </w:pPr>
      <w:r>
        <w:t xml:space="preserve">STRUNCK, Gilberto.</w:t>
      </w:r>
      <w:r>
        <w:t xml:space="preserve"> </w:t>
      </w:r>
      <w:r>
        <w:rPr>
          <w:b/>
          <w:bCs/>
        </w:rPr>
        <w:t xml:space="preserve">Como criar identidades visuais para marcas de sucesso</w:t>
      </w:r>
      <w:r>
        <w:t xml:space="preserve">. 4. ed. Rio de Janeiro: Rio Books, 2012.</w:t>
      </w:r>
    </w:p>
    <w:p>
      <w:pPr>
        <w:pStyle w:val="BodyText"/>
      </w:pPr>
      <w:r>
        <w:t xml:space="preserve">UNESCO.</w:t>
      </w:r>
      <w:r>
        <w:t xml:space="preserve"> </w:t>
      </w:r>
      <w:r>
        <w:rPr>
          <w:b/>
          <w:bCs/>
        </w:rPr>
        <w:t xml:space="preserve">Brasília — Creative City of Design</w:t>
      </w:r>
      <w:r>
        <w:t xml:space="preserve">. Disponível em: https://en.unesco.org/creative-cities/brasilia. Acesso em: 10 fev. 2026.</w:t>
      </w:r>
    </w:p>
    <w:p>
      <w:pPr>
        <w:pStyle w:val="BodyText"/>
      </w:pPr>
      <w:r>
        <w:t xml:space="preserve">WHEELER, Alina.</w:t>
      </w:r>
      <w:r>
        <w:t xml:space="preserve"> </w:t>
      </w:r>
      <w:r>
        <w:rPr>
          <w:b/>
          <w:bCs/>
        </w:rPr>
        <w:t xml:space="preserve">Design de identidade de marca</w:t>
      </w:r>
      <w:r>
        <w:t xml:space="preserve">: guia essencial para toda a equipe de gestão de marcas. 5. ed. Porto Alegre: Bookman, 2019.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— Proposta de Marca para o Curso Superior de Tecnologia em Design de Produto</dc:title>
  <dc:creator>Victor Costa</dc:creator>
  <dc:language>pt-BR</dc:language>
  <cp:keywords/>
  <dcterms:created xsi:type="dcterms:W3CDTF">2026-03-05T04:16:40Z</dcterms:created>
  <dcterms:modified xsi:type="dcterms:W3CDTF">2026-03-05T04:16:40Z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Instituto Federal de Brasília — Campus Samambaia</vt:lpwstr>
  </property>
</Properties>
</file>