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Memorial Descritivo — Marca do Curso Superior de Tecnologia em Design de Produto</w:t>
      </w:r>
    </w:p>
    <w:p>
      <w:pPr>
        <w:pStyle w:val="Subtitle"/>
      </w:pPr>
      <w:r>
        <w:t xml:space="preserve">IFB Campus Samambaia</w:t>
      </w:r>
    </w:p>
    <w:p>
      <w:pPr>
        <w:pStyle w:val="Author"/>
      </w:pPr>
      <w:r>
        <w:t xml:space="preserve">Victor Costa</w:t>
      </w:r>
    </w:p>
    <w:p>
      <w:pPr>
        <w:pStyle w:val="Date"/>
      </w:pPr>
      <w:r>
        <w:t xml:space="preserve">2026</w:t>
      </w:r>
    </w:p>
    <w:bookmarkStart w:id="10" w:name="memorial-descritivo"/>
    <w:p>
      <w:pPr>
        <w:pStyle w:val="Heading1"/>
      </w:pPr>
      <w:r>
        <w:t xml:space="preserve">Memorial Descritivo</w:t>
      </w:r>
    </w:p>
    <w:bookmarkStart w:id="9" w:name="X46ed0996524aead67ec2106fded1bf188f8aad0"/>
    <w:p>
      <w:pPr>
        <w:pStyle w:val="Heading2"/>
      </w:pPr>
      <w:r>
        <w:t xml:space="preserve">Marca do Curso Superior de Tecnologia em Design de Produto</w:t>
      </w:r>
    </w:p>
    <w:p>
      <w:pPr>
        <w:pStyle w:val="FirstParagraph"/>
      </w:pPr>
      <w:r>
        <w:rPr>
          <w:b/>
          <w:bCs/>
        </w:rPr>
        <w:t xml:space="preserve">Instituto Federal de Brasília — Campus Samambaia</w:t>
      </w:r>
    </w:p>
    <w:p>
      <w:pPr>
        <w:pStyle w:val="BodyText"/>
      </w:pPr>
      <w:r>
        <w:rPr>
          <w:b/>
          <w:bCs/>
        </w:rPr>
        <w:t xml:space="preserve">Victor Costa — 2026</w:t>
      </w:r>
    </w:p>
    <w:p>
      <w:pPr>
        <w:pStyle w:val="BodyText"/>
      </w:pPr>
      <w:r>
        <w:t xml:space="preserve">[IMAGEM: Marca final — versão principal em cores, centralizada, fundo branco]</w:t>
      </w:r>
    </w:p>
    <w:bookmarkEnd w:id="9"/>
    <w:bookmarkEnd w:id="10"/>
    <w:bookmarkStart w:id="11" w:name="sumário"/>
    <w:p>
      <w:pPr>
        <w:pStyle w:val="Heading1"/>
      </w:pPr>
      <w:r>
        <w:t xml:space="preserve">Sumário</w:t>
      </w:r>
    </w:p>
    <w:p>
      <w:pPr>
        <w:pStyle w:val="Compact"/>
        <w:numPr>
          <w:ilvl w:val="0"/>
          <w:numId w:val="1001"/>
        </w:numPr>
      </w:pPr>
      <w:hyperlink w:anchor="X5d1c8fbbaffb3a448848cba96be6037adab6f5c">
        <w:r>
          <w:rPr>
            <w:rStyle w:val="Hyperlink"/>
          </w:rPr>
          <w:t xml:space="preserve">Briefing</w:t>
        </w:r>
      </w:hyperlink>
    </w:p>
    <w:p>
      <w:pPr>
        <w:pStyle w:val="Compact"/>
        <w:numPr>
          <w:ilvl w:val="0"/>
          <w:numId w:val="1001"/>
        </w:numPr>
      </w:pPr>
      <w:hyperlink w:anchor="X5ea0a06b43c229d2b835902e8d70295dc47fd74">
        <w:r>
          <w:rPr>
            <w:rStyle w:val="Hyperlink"/>
          </w:rPr>
          <w:t xml:space="preserve">Contexto</w:t>
        </w:r>
      </w:hyperlink>
    </w:p>
    <w:p>
      <w:pPr>
        <w:pStyle w:val="Compact"/>
        <w:numPr>
          <w:ilvl w:val="0"/>
          <w:numId w:val="1001"/>
        </w:numPr>
      </w:pPr>
      <w:hyperlink w:anchor="X0d873ad459c2450ae098321c83155ffb0dc191a">
        <w:r>
          <w:rPr>
            <w:rStyle w:val="Hyperlink"/>
          </w:rPr>
          <w:t xml:space="preserve">Conceito</w:t>
        </w:r>
      </w:hyperlink>
    </w:p>
    <w:p>
      <w:pPr>
        <w:pStyle w:val="Compact"/>
        <w:numPr>
          <w:ilvl w:val="0"/>
          <w:numId w:val="1001"/>
        </w:numPr>
      </w:pPr>
      <w:hyperlink w:anchor="X72dd9a09f5f5090ed0cbd33b2ffda9f403534cf">
        <w:r>
          <w:rPr>
            <w:rStyle w:val="Hyperlink"/>
          </w:rPr>
          <w:t xml:space="preserve">Processo</w:t>
        </w:r>
      </w:hyperlink>
    </w:p>
    <w:p>
      <w:pPr>
        <w:pStyle w:val="Compact"/>
        <w:numPr>
          <w:ilvl w:val="0"/>
          <w:numId w:val="1001"/>
        </w:numPr>
      </w:pPr>
      <w:hyperlink w:anchor="X62fc31e9f63f3769d45a9b51a97ea12bc12d883">
        <w:r>
          <w:rPr>
            <w:rStyle w:val="Hyperlink"/>
          </w:rPr>
          <w:t xml:space="preserve">Sistema Visual</w:t>
        </w:r>
      </w:hyperlink>
    </w:p>
    <w:p>
      <w:pPr>
        <w:pStyle w:val="Compact"/>
        <w:numPr>
          <w:ilvl w:val="0"/>
          <w:numId w:val="1001"/>
        </w:numPr>
      </w:pPr>
      <w:hyperlink w:anchor="Xcaf9f6e50bfb49fb683e2d04fca08795eedfb8f">
        <w:r>
          <w:rPr>
            <w:rStyle w:val="Hyperlink"/>
          </w:rPr>
          <w:t xml:space="preserve">Aplicações</w:t>
        </w:r>
      </w:hyperlink>
    </w:p>
    <w:p>
      <w:pPr>
        <w:pStyle w:val="Compact"/>
        <w:numPr>
          <w:ilvl w:val="0"/>
          <w:numId w:val="1001"/>
        </w:numPr>
      </w:pPr>
      <w:hyperlink w:anchor="X5b7b578aa533d66fbd6c8163b0638f364c3e6c1">
        <w:r>
          <w:rPr>
            <w:rStyle w:val="Hyperlink"/>
          </w:rPr>
          <w:t xml:space="preserve">Especificações Técnicas</w:t>
        </w:r>
      </w:hyperlink>
    </w:p>
    <w:p>
      <w:pPr>
        <w:pStyle w:val="Compact"/>
        <w:numPr>
          <w:ilvl w:val="0"/>
          <w:numId w:val="1001"/>
        </w:numPr>
      </w:pPr>
      <w:hyperlink w:anchor="Xc73be679e518e499a01e1bdd61b7c56a1fba186">
        <w:r>
          <w:rPr>
            <w:rStyle w:val="Hyperlink"/>
          </w:rPr>
          <w:t xml:space="preserve">Referências</w:t>
        </w:r>
      </w:hyperlink>
    </w:p>
    <w:bookmarkEnd w:id="11"/>
    <w:bookmarkStart w:id="12" w:name="briefing"/>
    <w:p>
      <w:pPr>
        <w:pStyle w:val="Heading1"/>
      </w:pPr>
      <w:r>
        <w:t xml:space="preserve">1. Briefing</w:t>
      </w:r>
    </w:p>
    <w:p>
      <w:pPr>
        <w:pStyle w:val="FirstParagraph"/>
      </w:pPr>
      <w:r>
        <w:t xml:space="preserve">O Curso Superior de Tecnologia em Design de Produto do IFB Campus Samambaia existe desde 2019. Forma tecnólogos em quatro semestres. É o único curso público de tecnologia nessa área no Distrito Federal.</w:t>
      </w:r>
    </w:p>
    <w:p>
      <w:pPr>
        <w:pStyle w:val="BodyText"/>
      </w:pPr>
      <w:r>
        <w:t xml:space="preserve">Não tem marca.</w:t>
      </w:r>
    </w:p>
    <w:p>
      <w:pPr>
        <w:pStyle w:val="BodyText"/>
      </w:pPr>
      <w:r>
        <w:t xml:space="preserve">Toda a comunicação do curso depende da identidade institucional do IFB — a mesma usada por dezenas de outros cursos em dez campi. O resultado: o curso é invisível. Não se diferencia na comunicação interna, nos eventos acadêmicos, nas redes sociais nem no mercado.</w:t>
      </w:r>
    </w:p>
    <w:p>
      <w:pPr>
        <w:pStyle w:val="BodyText"/>
      </w:pPr>
      <w:r>
        <w:rPr>
          <w:b/>
          <w:bCs/>
        </w:rPr>
        <w:t xml:space="preserve">O problema:</w:t>
      </w:r>
      <w:r>
        <w:t xml:space="preserve"> </w:t>
      </w:r>
      <w:r>
        <w:t xml:space="preserve">criar uma marca para o curso que funcione como unidade autônoma e como parte do sistema visual do IFB. Autonomia sem ruptura. Identidade própria sem insubordinação institucional.</w:t>
      </w:r>
    </w:p>
    <w:p>
      <w:pPr>
        <w:pStyle w:val="BodyText"/>
      </w:pPr>
      <w:r>
        <w:rPr>
          <w:b/>
          <w:bCs/>
        </w:rPr>
        <w:t xml:space="preserve">Escopo da entrega:</w:t>
      </w:r>
    </w:p>
    <w:p>
      <w:pPr>
        <w:pStyle w:val="Compact"/>
        <w:numPr>
          <w:ilvl w:val="0"/>
          <w:numId w:val="1002"/>
        </w:numPr>
      </w:pPr>
      <w:r>
        <w:t xml:space="preserve">Símbolo</w:t>
      </w:r>
    </w:p>
    <w:p>
      <w:pPr>
        <w:pStyle w:val="Compact"/>
        <w:numPr>
          <w:ilvl w:val="0"/>
          <w:numId w:val="1002"/>
        </w:numPr>
      </w:pPr>
      <w:r>
        <w:t xml:space="preserve">Assinatura tipográfica</w:t>
      </w:r>
    </w:p>
    <w:p>
      <w:pPr>
        <w:pStyle w:val="Compact"/>
        <w:numPr>
          <w:ilvl w:val="0"/>
          <w:numId w:val="1002"/>
        </w:numPr>
      </w:pPr>
      <w:r>
        <w:t xml:space="preserve">Paleta cromática</w:t>
      </w:r>
    </w:p>
    <w:p>
      <w:pPr>
        <w:pStyle w:val="Compact"/>
        <w:numPr>
          <w:ilvl w:val="0"/>
          <w:numId w:val="1002"/>
        </w:numPr>
      </w:pPr>
      <w:r>
        <w:t xml:space="preserve">Malha construtiva</w:t>
      </w:r>
    </w:p>
    <w:p>
      <w:pPr>
        <w:pStyle w:val="Compact"/>
        <w:numPr>
          <w:ilvl w:val="0"/>
          <w:numId w:val="1002"/>
        </w:numPr>
      </w:pPr>
      <w:r>
        <w:t xml:space="preserve">Versões (horizontal, vertical, símbolo isolado, monocromáticas)</w:t>
      </w:r>
    </w:p>
    <w:p>
      <w:pPr>
        <w:pStyle w:val="Compact"/>
        <w:numPr>
          <w:ilvl w:val="0"/>
          <w:numId w:val="1002"/>
        </w:numPr>
      </w:pPr>
      <w:r>
        <w:t xml:space="preserve">Normas de uso e aplicações</w:t>
      </w:r>
    </w:p>
    <w:p>
      <w:pPr>
        <w:pStyle w:val="Compact"/>
        <w:numPr>
          <w:ilvl w:val="0"/>
          <w:numId w:val="1002"/>
        </w:numPr>
      </w:pPr>
      <w:r>
        <w:t xml:space="preserve">Este memorial</w:t>
      </w:r>
    </w:p>
    <w:p>
      <w:pPr>
        <w:pStyle w:val="FirstParagraph"/>
      </w:pPr>
      <w:r>
        <w:rPr>
          <w:b/>
          <w:bCs/>
        </w:rPr>
        <w:t xml:space="preserve">Restrição fundamental:</w:t>
      </w:r>
      <w:r>
        <w:t xml:space="preserve"> </w:t>
      </w:r>
      <w:r>
        <w:t xml:space="preserve">a marca precisa ser derivada da identidade visual vigente do IFB. Não é um redesign institucional — é a criação de uma sub-marca que pertence à família sem ser cópia.</w:t>
      </w:r>
    </w:p>
    <w:bookmarkEnd w:id="12"/>
    <w:bookmarkStart w:id="20" w:name="contexto"/>
    <w:p>
      <w:pPr>
        <w:pStyle w:val="Heading1"/>
      </w:pPr>
      <w:r>
        <w:t xml:space="preserve">2. Contexto</w:t>
      </w:r>
    </w:p>
    <w:bookmarkStart w:id="15" w:name="o-ifb"/>
    <w:p>
      <w:pPr>
        <w:pStyle w:val="Heading2"/>
      </w:pPr>
      <w:r>
        <w:t xml:space="preserve">O IFB</w:t>
      </w:r>
    </w:p>
    <w:p>
      <w:pPr>
        <w:pStyle w:val="FirstParagraph"/>
      </w:pPr>
      <w:r>
        <w:t xml:space="preserve">Instituição pública federal de ensino, criada pela Lei 11.892/2008. Missão declarada:</w:t>
      </w:r>
      <w:r>
        <w:t xml:space="preserve"> </w:t>
      </w:r>
      <w:r>
        <w:t xml:space="preserve">“transformar vidas por meio da Educação Profissional e Tecnológica, gratuita e de qualidade”</w:t>
      </w:r>
      <w:r>
        <w:t xml:space="preserve">.</w:t>
      </w:r>
      <w:r>
        <w:rPr>
          <w:rStyle w:val="FootnoteReference"/>
        </w:rPr>
        <w:footnoteReference w:id="13"/>
      </w:r>
    </w:p>
    <w:p>
      <w:pPr>
        <w:pStyle w:val="BodyText"/>
      </w:pPr>
      <w:r>
        <w:t xml:space="preserve">O Campus Samambaia foi a primeira instituição pública de ensino profissional da região. Opera no eixo de Produção Cultural e Design com dois cursos articulados: o Técnico em Design de Móveis (integrado ao Ensino Médio) e o Superior de Tecnologia em Design de Produto. Essa articulação é a verticalização prevista em lei — o estudante pode entrar pelo técnico e seguir até o superior, no mesmo campus, no mesmo eixo.</w:t>
      </w:r>
      <w:r>
        <w:rPr>
          <w:rStyle w:val="FootnoteReference"/>
        </w:rPr>
        <w:footnoteReference w:id="14"/>
      </w:r>
    </w:p>
    <w:bookmarkEnd w:id="15"/>
    <w:bookmarkStart w:id="17" w:name="o-curso"/>
    <w:p>
      <w:pPr>
        <w:pStyle w:val="Heading2"/>
      </w:pPr>
      <w:r>
        <w:t xml:space="preserve">O curso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Dado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Denominação</w:t>
            </w:r>
          </w:p>
        </w:tc>
        <w:tc>
          <w:tcPr/>
          <w:p>
            <w:pPr>
              <w:pStyle w:val="Compact"/>
            </w:pPr>
            <w:r>
              <w:t xml:space="preserve">Curso Superior de Tecnologia em Design de Produto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Eixo Tecnológico</w:t>
            </w:r>
          </w:p>
        </w:tc>
        <w:tc>
          <w:tcPr/>
          <w:p>
            <w:pPr>
              <w:pStyle w:val="Compact"/>
            </w:pPr>
            <w:r>
              <w:t xml:space="preserve">Produção Cultural e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Titulação</w:t>
            </w:r>
          </w:p>
        </w:tc>
        <w:tc>
          <w:tcPr/>
          <w:p>
            <w:pPr>
              <w:pStyle w:val="Compact"/>
            </w:pPr>
            <w:r>
              <w:t xml:space="preserve">Tecnólogo em Design de Produto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CBO</w:t>
            </w:r>
          </w:p>
        </w:tc>
        <w:tc>
          <w:tcPr/>
          <w:p>
            <w:pPr>
              <w:pStyle w:val="Compact"/>
            </w:pPr>
            <w:r>
              <w:t xml:space="preserve">262420 — Desenhista Industrial de Produto (Designer de Produto)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 horária</w:t>
            </w:r>
          </w:p>
        </w:tc>
        <w:tc>
          <w:tcPr/>
          <w:p>
            <w:pPr>
              <w:pStyle w:val="Compact"/>
            </w:pPr>
            <w:r>
              <w:t xml:space="preserve">1.654,90 h-relógio / 1.985,88 h-aula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4 semestres (mín.) / 8 semestres (máx.)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Vagas</w:t>
            </w:r>
          </w:p>
        </w:tc>
        <w:tc>
          <w:tcPr/>
          <w:p>
            <w:pPr>
              <w:pStyle w:val="Compact"/>
            </w:pPr>
            <w:r>
              <w:t xml:space="preserve">35 por processo seletivo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</w:t>
            </w:r>
          </w:p>
        </w:tc>
        <w:tc>
          <w:tcPr/>
          <w:p>
            <w:pPr>
              <w:pStyle w:val="Compact"/>
            </w:pPr>
            <w:r>
              <w:t xml:space="preserve">Vespertino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Modalidade</w:t>
            </w:r>
          </w:p>
        </w:tc>
        <w:tc>
          <w:tcPr/>
          <w:p>
            <w:pPr>
              <w:pStyle w:val="Compact"/>
            </w:pPr>
            <w:r>
              <w:t xml:space="preserve">Presencial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Ingresso</w:t>
            </w:r>
          </w:p>
        </w:tc>
        <w:tc>
          <w:tcPr/>
          <w:p>
            <w:pPr>
              <w:pStyle w:val="Compact"/>
            </w:pPr>
            <w:r>
              <w:t xml:space="preserve">SISU, portador de diploma, transferências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Autorização</w:t>
            </w:r>
          </w:p>
        </w:tc>
        <w:tc>
          <w:tcPr/>
          <w:p>
            <w:pPr>
              <w:pStyle w:val="Compact"/>
            </w:pPr>
            <w:r>
              <w:t xml:space="preserve">Resolução 38/2019-RIFB/IFB</w:t>
            </w:r>
          </w:p>
        </w:tc>
      </w:tr>
    </w:tbl>
    <w:p>
      <w:pPr>
        <w:pStyle w:val="BodyText"/>
      </w:pPr>
      <w:r>
        <w:t xml:space="preserve">O perfil do egresso: um tecnólogo competente para projetar objetos considerando necessidades humanas, relações com o ambiente, processos industriais e materiais. Pensamento criativo e analítico, domínio de linguagens visuais e culturais, foco no desenvolvimento econômico regional.</w:t>
      </w:r>
      <w:r>
        <w:rPr>
          <w:rStyle w:val="FootnoteReference"/>
        </w:rPr>
        <w:footnoteReference w:id="16"/>
      </w:r>
    </w:p>
    <w:p>
      <w:pPr>
        <w:pStyle w:val="BodyText"/>
      </w:pPr>
      <w:r>
        <w:t xml:space="preserve">Diferencial de posicionamento: o único curso equivalente no DF é o Bacharelado em Desenho Industrial da UnB — oito a dez semestres. O tecnólogo do IFB faz o mesmo percurso em quatro, voltado à inserção profissional rápida.</w:t>
      </w:r>
    </w:p>
    <w:bookmarkEnd w:id="17"/>
    <w:bookmarkStart w:id="19" w:name="brasília-cidade-criativa-do-design"/>
    <w:p>
      <w:pPr>
        <w:pStyle w:val="Heading2"/>
      </w:pPr>
      <w:r>
        <w:t xml:space="preserve">Brasília, Cidade Criativa do Design</w:t>
      </w:r>
    </w:p>
    <w:p>
      <w:pPr>
        <w:pStyle w:val="FirstParagraph"/>
      </w:pPr>
      <w:r>
        <w:t xml:space="preserve">Designação UNESCO desde 2017. Economia criativa representa 3,7% do PIB local. A cidade foi fundada como projeto — sua concepção é, em si, um ato de design em escala territorial.</w:t>
      </w:r>
      <w:r>
        <w:rPr>
          <w:rStyle w:val="FootnoteReference"/>
        </w:rPr>
        <w:footnoteReference w:id="18"/>
      </w:r>
    </w:p>
    <w:p>
      <w:pPr>
        <w:pStyle w:val="BodyText"/>
      </w:pPr>
      <w:r>
        <w:t xml:space="preserve">O vocabulário formal da marca — geometria rigorosa, formas primárias, contenção — dialoga diretamente com a tradição construtiva e racionalista que define Brasília.</w:t>
      </w:r>
    </w:p>
    <w:bookmarkEnd w:id="19"/>
    <w:bookmarkEnd w:id="20"/>
    <w:bookmarkStart w:id="33" w:name="conceito"/>
    <w:p>
      <w:pPr>
        <w:pStyle w:val="Heading1"/>
      </w:pPr>
      <w:r>
        <w:t xml:space="preserve">3. Conceito</w:t>
      </w:r>
    </w:p>
    <w:bookmarkStart w:id="24" w:name="premissas"/>
    <w:p>
      <w:pPr>
        <w:pStyle w:val="Heading2"/>
      </w:pPr>
      <w:r>
        <w:t xml:space="preserve">Premissas</w:t>
      </w:r>
    </w:p>
    <w:p>
      <w:pPr>
        <w:pStyle w:val="FirstParagraph"/>
      </w:pPr>
      <w:r>
        <w:t xml:space="preserve">O projeto opera sobre três bases teóricas, tratadas aqui como premissas e não como exposição didática: (a) identidade visual como sistema — a marca é o elemento central de um sistema de signos que funciona por coerência e repetição;</w:t>
      </w:r>
      <w:r>
        <w:rPr>
          <w:rStyle w:val="FootnoteReference"/>
        </w:rPr>
        <w:footnoteReference w:id="21"/>
      </w:r>
      <w:r>
        <w:t xml:space="preserve"> </w:t>
      </w:r>
      <w:r>
        <w:t xml:space="preserve">(b) signos visuais são polissêmicos — uma mesma forma pode acumular camadas de significação sem que uma anule a outra;</w:t>
      </w:r>
      <w:r>
        <w:rPr>
          <w:rStyle w:val="FootnoteReference"/>
        </w:rPr>
        <w:footnoteReference w:id="22"/>
      </w:r>
      <w:r>
        <w:t xml:space="preserve"> </w:t>
      </w:r>
      <w:r>
        <w:t xml:space="preserve">(c) design de produto é transformação de matéria em artefato por meio de projeto — o ato de dar forma à matéria, de traduzir intenção em objeto.</w:t>
      </w:r>
      <w:r>
        <w:rPr>
          <w:rStyle w:val="FootnoteReference"/>
        </w:rPr>
        <w:footnoteReference w:id="23"/>
      </w:r>
    </w:p>
    <w:bookmarkEnd w:id="24"/>
    <w:bookmarkStart w:id="30" w:name="o-cubo"/>
    <w:p>
      <w:pPr>
        <w:pStyle w:val="Heading2"/>
      </w:pPr>
      <w:r>
        <w:t xml:space="preserve">O cubo</w:t>
      </w:r>
    </w:p>
    <w:p>
      <w:pPr>
        <w:pStyle w:val="FirstParagraph"/>
      </w:pPr>
      <w:r>
        <w:t xml:space="preserve">A marca é um símbolo geométrico. Sua forma base é um cubo.</w:t>
      </w:r>
    </w:p>
    <w:p>
      <w:pPr>
        <w:pStyle w:val="BodyText"/>
      </w:pPr>
      <w:r>
        <w:t xml:space="preserve">O cubo não foi escolhido como decoração. Ele opera em quatro registros simultâneos — quatro leituras que formam uma sequência narrativa. E opera, ainda, como premissa projetual: o cubo é a restrição. Todo o desenho da marca acontece dentro dos limites de um cubo. O produto nasce dentro de limitações — como em qualquer projeto real.</w:t>
      </w:r>
    </w:p>
    <w:bookmarkStart w:id="25" w:name="leitura-1-matéria-bruta"/>
    <w:p>
      <w:pPr>
        <w:pStyle w:val="Heading3"/>
      </w:pPr>
      <w:r>
        <w:t xml:space="preserve">Leitura 1 — Matéria bruta</w:t>
      </w:r>
    </w:p>
    <w:p>
      <w:pPr>
        <w:pStyle w:val="FirstParagraph"/>
      </w:pPr>
      <w:r>
        <w:t xml:space="preserve">O cubo fechado. Bloco de material antes de ser conformado. A peça bruta que aguarda o projeto. O ponto zero da transformação.</w:t>
      </w:r>
    </w:p>
    <w:p>
      <w:pPr>
        <w:pStyle w:val="BodyText"/>
      </w:pPr>
      <w:r>
        <w:t xml:space="preserve">[IMAGEM: Símbolo com destaque na leitura de cubo — volumetria isométrica evidenciada. Legenda:</w:t>
      </w:r>
      <w:r>
        <w:t xml:space="preserve"> </w:t>
      </w:r>
      <w:r>
        <w:t xml:space="preserve">“Leitura 1: Matéria bruta”</w:t>
      </w:r>
      <w:r>
        <w:t xml:space="preserve">]</w:t>
      </w:r>
    </w:p>
    <w:bookmarkEnd w:id="25"/>
    <w:bookmarkStart w:id="26" w:name="leitura-2-conhecimento"/>
    <w:p>
      <w:pPr>
        <w:pStyle w:val="Heading3"/>
      </w:pPr>
      <w:r>
        <w:t xml:space="preserve">Leitura 2 — Conhecimento</w:t>
      </w:r>
    </w:p>
    <w:p>
      <w:pPr>
        <w:pStyle w:val="FirstParagraph"/>
      </w:pPr>
      <w:r>
        <w:t xml:space="preserve">Os mesmos planos se reorganizam como livro aberto. O arco que coroa o cubo funciona como lombada. Essa leitura é o saber que incide sobre a matéria — a teoria, a pesquisa, os fundamentos.</w:t>
      </w:r>
    </w:p>
    <w:p>
      <w:pPr>
        <w:pStyle w:val="BodyText"/>
      </w:pPr>
      <w:r>
        <w:t xml:space="preserve">[IMAGEM: Símbolo com destaque na leitura de livro aberto — planos como páginas, arco como lombada. Legenda:</w:t>
      </w:r>
      <w:r>
        <w:t xml:space="preserve"> </w:t>
      </w:r>
      <w:r>
        <w:t xml:space="preserve">“Leitura 2: Conhecimento”</w:t>
      </w:r>
      <w:r>
        <w:t xml:space="preserve">]</w:t>
      </w:r>
    </w:p>
    <w:bookmarkEnd w:id="26"/>
    <w:bookmarkStart w:id="27" w:name="leitura-3-formação"/>
    <w:p>
      <w:pPr>
        <w:pStyle w:val="Heading3"/>
      </w:pPr>
      <w:r>
        <w:t xml:space="preserve">Leitura 3 — Formação</w:t>
      </w:r>
    </w:p>
    <w:p>
      <w:pPr>
        <w:pStyle w:val="FirstParagraph"/>
      </w:pPr>
      <w:r>
        <w:t xml:space="preserve">O plano superior do cubo vira a aba quadrada do capelo acadêmico. O arco vira a borla. Essa camada é institucional: a conclusão do curso, a titulação, a passagem de aluno a tecnólogo.</w:t>
      </w:r>
    </w:p>
    <w:p>
      <w:pPr>
        <w:pStyle w:val="BodyText"/>
      </w:pPr>
      <w:r>
        <w:t xml:space="preserve">[IMAGEM: Símbolo com destaque na leitura de capelo — aba horizontal, arco como borla. Legenda:</w:t>
      </w:r>
      <w:r>
        <w:t xml:space="preserve"> </w:t>
      </w:r>
      <w:r>
        <w:t xml:space="preserve">“Leitura 3: Formação”</w:t>
      </w:r>
      <w:r>
        <w:t xml:space="preserve">]</w:t>
      </w:r>
    </w:p>
    <w:bookmarkEnd w:id="27"/>
    <w:bookmarkStart w:id="28" w:name="leitura-4-produto"/>
    <w:p>
      <w:pPr>
        <w:pStyle w:val="Heading3"/>
      </w:pPr>
      <w:r>
        <w:t xml:space="preserve">Leitura 4 — Produto</w:t>
      </w:r>
    </w:p>
    <w:p>
      <w:pPr>
        <w:pStyle w:val="FirstParagraph"/>
      </w:pPr>
      <w:r>
        <w:t xml:space="preserve">Uma esfera em negativo, inscrita dentro do cubo. O volume esférico escavado no bloco cúbico é o produto que emerge dentro das restrições do projeto. O cubo contém; a esfera nasce dentro dele.</w:t>
      </w:r>
    </w:p>
    <w:p>
      <w:pPr>
        <w:pStyle w:val="BodyText"/>
      </w:pPr>
      <w:r>
        <w:t xml:space="preserve">Essa esfera é também uma citação direta: o círculo da marca do IFB. O parentesco visual com a marca-mãe se fecha aqui — não por cópia de elementos, mas por alusão geométrica. O cubo do curso carrega, no seu interior, a forma que define a instituição.</w:t>
      </w:r>
    </w:p>
    <w:p>
      <w:pPr>
        <w:pStyle w:val="BodyText"/>
      </w:pPr>
      <w:r>
        <w:t xml:space="preserve">E o cubo, nesta leitura, acumula quatro papéis simultâneos: é matéria pura, é o material explorado, é o agente de transformação e é o próprio objeto transformado. O produto se consolida dentro da limitação cúbica — exatamente como qualquer projeto real se consolida dentro de restrições de custo, material, fabricação e uso.</w:t>
      </w:r>
    </w:p>
    <w:p>
      <w:pPr>
        <w:pStyle w:val="BodyText"/>
      </w:pPr>
      <w:r>
        <w:t xml:space="preserve">[IMAGEM: Símbolo com destaque na esfera em negativo inscrita no cubo — volume escavado visível, relação com o círculo da marca IFB indicada. Legenda:</w:t>
      </w:r>
      <w:r>
        <w:t xml:space="preserve"> </w:t>
      </w:r>
      <w:r>
        <w:t xml:space="preserve">“Leitura 4: Produto”</w:t>
      </w:r>
      <w:r>
        <w:t xml:space="preserve">]</w:t>
      </w:r>
    </w:p>
    <w:bookmarkEnd w:id="28"/>
    <w:bookmarkStart w:id="29" w:name="a-sequência"/>
    <w:p>
      <w:pPr>
        <w:pStyle w:val="Heading3"/>
      </w:pPr>
      <w:r>
        <w:t xml:space="preserve">A sequência</w:t>
      </w:r>
    </w:p>
    <w:p>
      <w:pPr>
        <w:pStyle w:val="BlockText"/>
      </w:pPr>
      <w:r>
        <w:rPr>
          <w:b/>
          <w:bCs/>
        </w:rPr>
        <w:t xml:space="preserve">Matéria → Conhecimento → Formação → Produto</w:t>
      </w:r>
    </w:p>
    <w:p>
      <w:pPr>
        <w:pStyle w:val="FirstParagraph"/>
      </w:pPr>
      <w:r>
        <w:t xml:space="preserve">O estudante chega como potencial bruto. Adquire conhecimento. Se forma. Entrega produto. A mesma lógica vale para o material: bloco bruto, submetido a saber técnico, conformado por processo, transformado em artefato.</w:t>
      </w:r>
    </w:p>
    <w:p>
      <w:pPr>
        <w:pStyle w:val="BodyText"/>
      </w:pPr>
      <w:r>
        <w:t xml:space="preserve">As quatro leituras não competem entre si. Compartilham o mesmo eixo: transformação orientada por projeto. Que é, no fundo, a definição de design.</w:t>
      </w:r>
    </w:p>
    <w:p>
      <w:pPr>
        <w:pStyle w:val="BodyText"/>
      </w:pPr>
      <w:r>
        <w:t xml:space="preserve">[IMAGEM: Diagrama — quatro versões do símbolo em sequência, cada uma com destaque da leitura correspondente, conectadas por setas. Legenda:</w:t>
      </w:r>
      <w:r>
        <w:t xml:space="preserve"> </w:t>
      </w:r>
      <w:r>
        <w:t xml:space="preserve">“Sequência narrativa”</w:t>
      </w:r>
      <w:r>
        <w:t xml:space="preserve">]</w:t>
      </w:r>
    </w:p>
    <w:bookmarkEnd w:id="29"/>
    <w:bookmarkEnd w:id="30"/>
    <w:bookmarkStart w:id="32" w:name="conexão-com-a-marca-ifb"/>
    <w:p>
      <w:pPr>
        <w:pStyle w:val="Heading2"/>
      </w:pPr>
      <w:r>
        <w:t xml:space="preserve">Conexão com a marca IFB</w:t>
      </w:r>
    </w:p>
    <w:p>
      <w:pPr>
        <w:pStyle w:val="FirstParagraph"/>
      </w:pPr>
      <w:r>
        <w:t xml:space="preserve">A marca do curso foi derivada construtivamente da identidade visual do IFB. Os elementos geométricos — cubo em perspectiva, arco, planos — foram extraídos da análise formal da marca institucional, reconfigurados numa composição nova.</w:t>
      </w:r>
    </w:p>
    <w:p>
      <w:pPr>
        <w:pStyle w:val="BodyText"/>
      </w:pPr>
      <w:r>
        <w:t xml:space="preserve">Dois mecanismos de diferenciação: recomposição formal (os mesmos elementos em configuração diferente) e diferenciação cromática (paleta própria, distinta do verde e vermelho institucionais). O parentesco é estrutural, não superficial.</w:t>
      </w:r>
      <w:r>
        <w:rPr>
          <w:rStyle w:val="FootnoteReference"/>
        </w:rPr>
        <w:footnoteReference w:id="31"/>
      </w:r>
    </w:p>
    <w:bookmarkEnd w:id="32"/>
    <w:bookmarkEnd w:id="33"/>
    <w:bookmarkStart w:id="40" w:name="processo"/>
    <w:p>
      <w:pPr>
        <w:pStyle w:val="Heading1"/>
      </w:pPr>
      <w:r>
        <w:t xml:space="preserve">4. Processo</w:t>
      </w:r>
    </w:p>
    <w:bookmarkStart w:id="35" w:name="etapa-1-análise-da-marca-ifb"/>
    <w:p>
      <w:pPr>
        <w:pStyle w:val="Heading2"/>
      </w:pPr>
      <w:r>
        <w:t xml:space="preserve">Etapa 1 — Análise da marca IFB</w:t>
      </w:r>
    </w:p>
    <w:p>
      <w:pPr>
        <w:pStyle w:val="FirstParagraph"/>
      </w:pPr>
      <w:r>
        <w:t xml:space="preserve">Desmontagem da marca institucional. Identificação do vocabulário formal: trapézios, triângulos, arcos, malha modular.</w:t>
      </w:r>
      <w:r>
        <w:rPr>
          <w:rStyle w:val="FootnoteReference"/>
        </w:rPr>
        <w:footnoteReference w:id="34"/>
      </w:r>
      <w:r>
        <w:t xml:space="preserve"> </w:t>
      </w:r>
      <w:r>
        <w:t xml:space="preserve">O objetivo não era copiar formas, mas mapear o idioma visual da instituição.</w:t>
      </w:r>
    </w:p>
    <w:p>
      <w:pPr>
        <w:pStyle w:val="BodyText"/>
      </w:pPr>
      <w:r>
        <w:t xml:space="preserve">[IMAGEM: Marca do IFB com grid analítico sobreposto — formas geométricas, módulos, eixos. Legenda:</w:t>
      </w:r>
      <w:r>
        <w:t xml:space="preserve"> </w:t>
      </w:r>
      <w:r>
        <w:t xml:space="preserve">“Análise da marca IFB”</w:t>
      </w:r>
      <w:r>
        <w:t xml:space="preserve">]</w:t>
      </w:r>
    </w:p>
    <w:bookmarkEnd w:id="35"/>
    <w:bookmarkStart w:id="36" w:name="etapa-2-extração-e-abstração"/>
    <w:p>
      <w:pPr>
        <w:pStyle w:val="Heading2"/>
      </w:pPr>
      <w:r>
        <w:t xml:space="preserve">Etapa 2 — Extração e abstração</w:t>
      </w:r>
    </w:p>
    <w:p>
      <w:pPr>
        <w:pStyle w:val="FirstParagraph"/>
      </w:pPr>
      <w:r>
        <w:t xml:space="preserve">Elementos geométricos essenciais isolados: planos trapezoidais, formas triangulares, arcos. Monocromatizados — sem cor, sem textura, só forma pura. Uma marca que depende da cor para ser reconhecida é frágil. A estrutura precisa funcionar sozinha.</w:t>
      </w:r>
    </w:p>
    <w:p>
      <w:pPr>
        <w:pStyle w:val="BodyText"/>
      </w:pPr>
      <w:r>
        <w:t xml:space="preserve">[IMAGEM: Sequência — marca original &gt; elementos isolados &gt; elementos monocromatizados. Legenda:</w:t>
      </w:r>
      <w:r>
        <w:t xml:space="preserve"> </w:t>
      </w:r>
      <w:r>
        <w:t xml:space="preserve">“Extração e abstração”</w:t>
      </w:r>
      <w:r>
        <w:t xml:space="preserve">]</w:t>
      </w:r>
    </w:p>
    <w:bookmarkEnd w:id="36"/>
    <w:bookmarkStart w:id="38" w:name="etapa-3-exploração-formal"/>
    <w:p>
      <w:pPr>
        <w:pStyle w:val="Heading2"/>
      </w:pPr>
      <w:r>
        <w:t xml:space="preserve">Etapa 3 — Exploração formal</w:t>
      </w:r>
    </w:p>
    <w:p>
      <w:pPr>
        <w:pStyle w:val="FirstParagraph"/>
      </w:pPr>
      <w:r>
        <w:t xml:space="preserve">Combinações de cubo isométrico, arco e planos em diferentes proporções e relações de figura-fundo. Critério de seleção: pregnância (simples e memorável), polissemia (múltiplas leituras) e parentesco com o IFB (mesma família visual).</w:t>
      </w:r>
      <w:r>
        <w:rPr>
          <w:rStyle w:val="FootnoteReference"/>
        </w:rPr>
        <w:footnoteReference w:id="37"/>
      </w:r>
    </w:p>
    <w:p>
      <w:pPr>
        <w:pStyle w:val="BodyText"/>
      </w:pPr>
      <w:r>
        <w:t xml:space="preserve">[IMAGEM: Painel com variações compositivas em grid — anotações de seleção. Legenda:</w:t>
      </w:r>
      <w:r>
        <w:t xml:space="preserve"> </w:t>
      </w:r>
      <w:r>
        <w:t xml:space="preserve">“Exploração formal”</w:t>
      </w:r>
      <w:r>
        <w:t xml:space="preserve">]</w:t>
      </w:r>
    </w:p>
    <w:bookmarkEnd w:id="38"/>
    <w:bookmarkStart w:id="39" w:name="etapa-4-solução-final"/>
    <w:p>
      <w:pPr>
        <w:pStyle w:val="Heading2"/>
      </w:pPr>
      <w:r>
        <w:t xml:space="preserve">Etapa 4 — Solução final</w:t>
      </w:r>
    </w:p>
    <w:p>
      <w:pPr>
        <w:pStyle w:val="FirstParagraph"/>
      </w:pPr>
      <w:r>
        <w:t xml:space="preserve">A composição que melhor atende aos três critérios. Cubo geométrico em perspectiva isométrica, coroado por arco, com esfera em negativo inscrita. Linhas retas e um único arco. Sem ornamentos, gradientes ou efeitos.</w:t>
      </w:r>
    </w:p>
    <w:p>
      <w:pPr>
        <w:pStyle w:val="BodyText"/>
      </w:pPr>
      <w:r>
        <w:t xml:space="preserve">[IMAGEM: Símbolo final ampliado — preto sobre branco, relações geométricas indicadas. Legenda:</w:t>
      </w:r>
      <w:r>
        <w:t xml:space="preserve"> </w:t>
      </w:r>
      <w:r>
        <w:t xml:space="preserve">“Solução final”</w:t>
      </w:r>
      <w:r>
        <w:t xml:space="preserve">]</w:t>
      </w:r>
    </w:p>
    <w:bookmarkEnd w:id="39"/>
    <w:bookmarkEnd w:id="40"/>
    <w:bookmarkStart w:id="48" w:name="sistema-visual"/>
    <w:p>
      <w:pPr>
        <w:pStyle w:val="Heading1"/>
      </w:pPr>
      <w:r>
        <w:t xml:space="preserve">5. Sistema Visual</w:t>
      </w:r>
    </w:p>
    <w:bookmarkStart w:id="43" w:name="tipografia"/>
    <w:p>
      <w:pPr>
        <w:pStyle w:val="Heading2"/>
      </w:pPr>
      <w:r>
        <w:t xml:space="preserve">Tipografia</w:t>
      </w:r>
    </w:p>
    <w:p>
      <w:pPr>
        <w:pStyle w:val="FirstParagraph"/>
      </w:pPr>
      <w:r>
        <w:t xml:space="preserve">Fonte sem-serifa geométrica. Três razões: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Parentesco:</w:t>
      </w:r>
      <w:r>
        <w:t xml:space="preserve"> </w:t>
      </w:r>
      <w:r>
        <w:t xml:space="preserve">a marca do IFB usa sem-serifa. O curso mantém a família.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Coerência:</w:t>
      </w:r>
      <w:r>
        <w:t xml:space="preserve"> </w:t>
      </w:r>
      <w:r>
        <w:t xml:space="preserve">fontes geométricas são construídas com círculos, quadrados e triângulos — o mesmo vocabulário do símbolo.</w:t>
      </w:r>
      <w:r>
        <w:rPr>
          <w:rStyle w:val="FootnoteReference"/>
        </w:rPr>
        <w:footnoteReference w:id="41"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Legibilidade:</w:t>
      </w:r>
      <w:r>
        <w:t xml:space="preserve"> </w:t>
      </w:r>
      <w:r>
        <w:t xml:space="preserve">contraformas abertas mantêm leitura em reduções extremas — etiquetas de protótipos, crachás, favicons.</w:t>
      </w:r>
      <w:r>
        <w:rPr>
          <w:rStyle w:val="FootnoteReference"/>
        </w:rPr>
        <w:footnoteReference w:id="42"/>
      </w:r>
    </w:p>
    <w:p>
      <w:pPr>
        <w:pStyle w:val="FirstParagraph"/>
      </w:pPr>
      <w:r>
        <w:t xml:space="preserve">Composição da assinatura:</w:t>
      </w:r>
      <w:r>
        <w:t xml:space="preserve"> </w:t>
      </w:r>
      <w:r>
        <w:t xml:space="preserve">“Design de Produto”</w:t>
      </w:r>
      <w:r>
        <w:t xml:space="preserve"> </w:t>
      </w:r>
      <w:r>
        <w:t xml:space="preserve">em destaque;</w:t>
      </w:r>
      <w:r>
        <w:t xml:space="preserve"> </w:t>
      </w:r>
      <w:r>
        <w:t xml:space="preserve">“Tecnologia em”</w:t>
      </w:r>
      <w:r>
        <w:t xml:space="preserve"> </w:t>
      </w:r>
      <w:r>
        <w:t xml:space="preserve">e</w:t>
      </w:r>
      <w:r>
        <w:t xml:space="preserve"> </w:t>
      </w:r>
      <w:r>
        <w:t xml:space="preserve">“IFB Campus Samambaia”</w:t>
      </w:r>
      <w:r>
        <w:t xml:space="preserve"> </w:t>
      </w:r>
      <w:r>
        <w:t xml:space="preserve">em pesos menores.</w:t>
      </w:r>
    </w:p>
    <w:p>
      <w:pPr>
        <w:pStyle w:val="BodyText"/>
      </w:pPr>
      <w:r>
        <w:t xml:space="preserve">[IMAGEM: Assinatura tipográfica — símbolo + bloco tipográfico, fonte, pesos, espaçamentos. Legenda:</w:t>
      </w:r>
      <w:r>
        <w:t xml:space="preserve"> </w:t>
      </w:r>
      <w:r>
        <w:t xml:space="preserve">“Assinatura tipográfica”</w:t>
      </w:r>
      <w:r>
        <w:t xml:space="preserve">]</w:t>
      </w:r>
    </w:p>
    <w:bookmarkEnd w:id="43"/>
    <w:bookmarkStart w:id="44" w:name="paleta-cromática"/>
    <w:p>
      <w:pPr>
        <w:pStyle w:val="Heading2"/>
      </w:pPr>
      <w:r>
        <w:t xml:space="preserve">Paleta cromática</w:t>
      </w:r>
    </w:p>
    <w:p>
      <w:pPr>
        <w:pStyle w:val="FirstParagraph"/>
      </w:pPr>
      <w:r>
        <w:t xml:space="preserve">Paleta própria, distinta do verde e vermelho institucionais. A diferenciação cromática sinaliza autonomia dentro da família.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2"/>
        <w:gridCol w:w="1131"/>
        <w:gridCol w:w="942"/>
        <w:gridCol w:w="942"/>
        <w:gridCol w:w="3017"/>
        <w:gridCol w:w="9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Cor</w:t>
            </w:r>
          </w:p>
        </w:tc>
        <w:tc>
          <w:tcPr/>
          <w:p>
            <w:pPr>
              <w:pStyle w:val="Compact"/>
            </w:pPr>
            <w:r>
              <w:t xml:space="preserve">CMYK</w:t>
            </w:r>
          </w:p>
        </w:tc>
        <w:tc>
          <w:tcPr/>
          <w:p>
            <w:pPr>
              <w:pStyle w:val="Compact"/>
            </w:pPr>
            <w:r>
              <w:t xml:space="preserve">RGB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Pantone (ref.)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Primária</w:t>
            </w:r>
          </w:p>
        </w:tc>
        <w:tc>
          <w:tcPr/>
          <w:p>
            <w:pPr>
              <w:pStyle w:val="Compact"/>
            </w:pPr>
            <w:r>
              <w:t xml:space="preserve">[A definir]</w:t>
            </w:r>
          </w:p>
        </w:tc>
        <w:tc>
          <w:tcPr/>
          <w:p>
            <w:pPr>
              <w:pStyle w:val="Compact"/>
            </w:pPr>
            <w:r>
              <w:t xml:space="preserve">[A definir]</w:t>
            </w:r>
          </w:p>
        </w:tc>
        <w:tc>
          <w:tcPr/>
          <w:p>
            <w:pPr>
              <w:pStyle w:val="Compact"/>
            </w:pPr>
            <w:r>
              <w:t xml:space="preserve">[A definir]</w:t>
            </w:r>
          </w:p>
        </w:tc>
        <w:tc>
          <w:tcPr/>
          <w:p>
            <w:pPr>
              <w:pStyle w:val="Compact"/>
            </w:pPr>
            <w:r>
              <w:t xml:space="preserve">[A definir]</w:t>
            </w:r>
          </w:p>
        </w:tc>
        <w:tc>
          <w:tcPr/>
          <w:p>
            <w:pPr>
              <w:pStyle w:val="Compact"/>
            </w:pPr>
            <w:r>
              <w:t xml:space="preserve">Símbolo e elementos principais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Secundária</w:t>
            </w:r>
          </w:p>
        </w:tc>
        <w:tc>
          <w:tcPr/>
          <w:p>
            <w:pPr>
              <w:pStyle w:val="Compact"/>
            </w:pPr>
            <w:r>
              <w:t xml:space="preserve">[A definir]</w:t>
            </w:r>
          </w:p>
        </w:tc>
        <w:tc>
          <w:tcPr/>
          <w:p>
            <w:pPr>
              <w:pStyle w:val="Compact"/>
            </w:pPr>
            <w:r>
              <w:t xml:space="preserve">[A definir]</w:t>
            </w:r>
          </w:p>
        </w:tc>
        <w:tc>
          <w:tcPr/>
          <w:p>
            <w:pPr>
              <w:pStyle w:val="Compact"/>
            </w:pPr>
            <w:r>
              <w:t xml:space="preserve">[A definir]</w:t>
            </w:r>
          </w:p>
        </w:tc>
        <w:tc>
          <w:tcPr/>
          <w:p>
            <w:pPr>
              <w:pStyle w:val="Compact"/>
            </w:pPr>
            <w:r>
              <w:t xml:space="preserve">[A definir]</w:t>
            </w:r>
          </w:p>
        </w:tc>
        <w:tc>
          <w:tcPr/>
          <w:p>
            <w:pPr>
              <w:pStyle w:val="Compact"/>
            </w:pPr>
            <w:r>
              <w:t xml:space="preserve">Tipografia e apoio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Preto</w:t>
            </w:r>
          </w:p>
        </w:tc>
        <w:tc>
          <w:tcPr/>
          <w:p>
            <w:pPr>
              <w:pStyle w:val="Compact"/>
            </w:pPr>
            <w:r>
              <w:t xml:space="preserve">C0 M0 Y0 K100</w:t>
            </w:r>
          </w:p>
        </w:tc>
        <w:tc>
          <w:tcPr/>
          <w:p>
            <w:pPr>
              <w:pStyle w:val="Compact"/>
            </w:pPr>
            <w:r>
              <w:t xml:space="preserve">0, 0, 0</w:t>
            </w:r>
          </w:p>
        </w:tc>
        <w:tc>
          <w:tcPr/>
          <w:p>
            <w:pPr>
              <w:pStyle w:val="Compact"/>
            </w:pPr>
            <w:r>
              <w:t xml:space="preserve">#000000</w:t>
            </w:r>
          </w:p>
        </w:tc>
        <w:tc>
          <w:tcPr/>
          <w:p>
            <w:pPr>
              <w:pStyle w:val="Compact"/>
            </w:pPr>
            <w:r>
              <w:t xml:space="preserve">Black C</w:t>
            </w:r>
          </w:p>
        </w:tc>
        <w:tc>
          <w:tcPr/>
          <w:p>
            <w:pPr>
              <w:pStyle w:val="Compact"/>
            </w:pPr>
            <w:r>
              <w:t xml:space="preserve">Versão monocromática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Branco</w:t>
            </w:r>
          </w:p>
        </w:tc>
        <w:tc>
          <w:tcPr/>
          <w:p>
            <w:pPr>
              <w:pStyle w:val="Compact"/>
            </w:pPr>
            <w:r>
              <w:t xml:space="preserve">C0 M0 Y0 K0</w:t>
            </w:r>
          </w:p>
        </w:tc>
        <w:tc>
          <w:tcPr/>
          <w:p>
            <w:pPr>
              <w:pStyle w:val="Compact"/>
            </w:pPr>
            <w:r>
              <w:t xml:space="preserve">255, 255, 255</w:t>
            </w:r>
          </w:p>
        </w:tc>
        <w:tc>
          <w:tcPr/>
          <w:p>
            <w:pPr>
              <w:pStyle w:val="Compact"/>
            </w:pPr>
            <w: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Versão negativa</w:t>
            </w:r>
          </w:p>
        </w:tc>
      </w:tr>
    </w:tbl>
    <w:p>
      <w:pPr>
        <w:pStyle w:val="BodyText"/>
      </w:pPr>
      <w:r>
        <w:t xml:space="preserve">Versões cromáticas: positiva (cores, fundo claro), negativa (cores, fundo escuro), monocromática positiva (preto/branco), monocromática negativa (branco/escuro).</w:t>
      </w:r>
    </w:p>
    <w:p>
      <w:pPr>
        <w:pStyle w:val="BodyText"/>
      </w:pPr>
      <w:r>
        <w:t xml:space="preserve">[IMAGEM: Paleta — amostras de cor com códigos técnicos, quatro versões lado a lado. Legenda:</w:t>
      </w:r>
      <w:r>
        <w:t xml:space="preserve"> </w:t>
      </w:r>
      <w:r>
        <w:t xml:space="preserve">“Paleta cromática”</w:t>
      </w:r>
      <w:r>
        <w:t xml:space="preserve">]</w:t>
      </w:r>
    </w:p>
    <w:bookmarkEnd w:id="44"/>
    <w:bookmarkStart w:id="45" w:name="malha-construtiva"/>
    <w:p>
      <w:pPr>
        <w:pStyle w:val="Heading2"/>
      </w:pPr>
      <w:r>
        <w:t xml:space="preserve">Malha construtiva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Módulo base (X)</w:t>
            </w:r>
          </w:p>
        </w:tc>
        <w:tc>
          <w:tcPr/>
          <w:p>
            <w:pPr>
              <w:pStyle w:val="Compact"/>
            </w:pPr>
            <w:r>
              <w:t xml:space="preserve">Unidade proporcional de referência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Proporções</w:t>
            </w:r>
          </w:p>
        </w:tc>
        <w:tc>
          <w:tcPr/>
          <w:p>
            <w:pPr>
              <w:pStyle w:val="Compact"/>
            </w:pPr>
            <w:r>
              <w:t xml:space="preserve">Relação largura/altura, ângulos isométricos (30°/60°), raio do arco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Área de proteção</w:t>
            </w:r>
          </w:p>
        </w:tc>
        <w:tc>
          <w:tcPr/>
          <w:p>
            <w:pPr>
              <w:pStyle w:val="Compact"/>
            </w:pPr>
            <w:r>
              <w:t xml:space="preserve">[X] módulos em todas as direções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Redução mínima — impressão</w:t>
            </w:r>
          </w:p>
        </w:tc>
        <w:tc>
          <w:tcPr/>
          <w:p>
            <w:pPr>
              <w:pStyle w:val="Compact"/>
            </w:pPr>
            <w:r>
              <w:t xml:space="preserve">[X] mm de largura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Redução mínima — tela</w:t>
            </w:r>
          </w:p>
        </w:tc>
        <w:tc>
          <w:tcPr/>
          <w:p>
            <w:pPr>
              <w:pStyle w:val="Compact"/>
            </w:pPr>
            <w:r>
              <w:t xml:space="preserve">[X] px de largura</w:t>
            </w:r>
          </w:p>
        </w:tc>
      </w:tr>
    </w:tbl>
    <w:p>
      <w:pPr>
        <w:pStyle w:val="BodyText"/>
      </w:pPr>
      <w:r>
        <w:t xml:space="preserve">[IMAGEM: Malha construtiva — grid modular, módulo base, ângulos, raio, área de proteção, redução mínima. Legenda:</w:t>
      </w:r>
      <w:r>
        <w:t xml:space="preserve"> </w:t>
      </w:r>
      <w:r>
        <w:t xml:space="preserve">“Malha construtiva”</w:t>
      </w:r>
      <w:r>
        <w:t xml:space="preserve">]</w:t>
      </w:r>
    </w:p>
    <w:bookmarkEnd w:id="45"/>
    <w:bookmarkStart w:id="46" w:name="versões"/>
    <w:p>
      <w:pPr>
        <w:pStyle w:val="Heading2"/>
      </w:pPr>
      <w:r>
        <w:t xml:space="preserve">Versões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354"/>
        <w:gridCol w:w="38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Uso preferencial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Principal (horizontal)</w:t>
            </w:r>
          </w:p>
        </w:tc>
        <w:tc>
          <w:tcPr/>
          <w:p>
            <w:pPr>
              <w:pStyle w:val="Compact"/>
            </w:pPr>
            <w:r>
              <w:t xml:space="preserve">Símbolo + assinatura tipográfica</w:t>
            </w:r>
          </w:p>
        </w:tc>
        <w:tc>
          <w:tcPr/>
          <w:p>
            <w:pPr>
              <w:pStyle w:val="Compact"/>
            </w:pPr>
            <w:r>
              <w:t xml:space="preserve">Uso padrão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</w:t>
            </w:r>
          </w:p>
        </w:tc>
        <w:tc>
          <w:tcPr/>
          <w:p>
            <w:pPr>
              <w:pStyle w:val="Compact"/>
            </w:pPr>
            <w:r>
              <w:t xml:space="preserve">Símbolo acima, tipografia abaixo</w:t>
            </w:r>
          </w:p>
        </w:tc>
        <w:tc>
          <w:tcPr/>
          <w:p>
            <w:pPr>
              <w:pStyle w:val="Compact"/>
            </w:pPr>
            <w:r>
              <w:t xml:space="preserve">Espaços estreitos ou quadrados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Símbolo isolado</w:t>
            </w:r>
          </w:p>
        </w:tc>
        <w:tc>
          <w:tcPr/>
          <w:p>
            <w:pPr>
              <w:pStyle w:val="Compact"/>
            </w:pPr>
            <w:r>
              <w:t xml:space="preserve">Só o símbolo</w:t>
            </w:r>
          </w:p>
        </w:tc>
        <w:tc>
          <w:tcPr/>
          <w:p>
            <w:pPr>
              <w:pStyle w:val="Compact"/>
            </w:pPr>
            <w:r>
              <w:t xml:space="preserve">Favicons, avatares, carimbos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Monocromática positiva</w:t>
            </w:r>
          </w:p>
        </w:tc>
        <w:tc>
          <w:tcPr/>
          <w:p>
            <w:pPr>
              <w:pStyle w:val="Compact"/>
            </w:pPr>
            <w:r>
              <w:t xml:space="preserve">Preto sobre branco</w:t>
            </w:r>
          </w:p>
        </w:tc>
        <w:tc>
          <w:tcPr/>
          <w:p>
            <w:pPr>
              <w:pStyle w:val="Compact"/>
            </w:pPr>
            <w:r>
              <w:t xml:space="preserve">Documentos oficiais, gravação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Monocromática negativa</w:t>
            </w:r>
          </w:p>
        </w:tc>
        <w:tc>
          <w:tcPr/>
          <w:p>
            <w:pPr>
              <w:pStyle w:val="Compact"/>
            </w:pPr>
            <w:r>
              <w:t xml:space="preserve">Branco sobre escuro</w:t>
            </w:r>
          </w:p>
        </w:tc>
        <w:tc>
          <w:tcPr/>
          <w:p>
            <w:pPr>
              <w:pStyle w:val="Compact"/>
            </w:pPr>
            <w:r>
              <w:t xml:space="preserve">Fundos escuros sem cor</w:t>
            </w:r>
          </w:p>
        </w:tc>
      </w:tr>
    </w:tbl>
    <w:p>
      <w:pPr>
        <w:pStyle w:val="BodyText"/>
      </w:pPr>
      <w:r>
        <w:t xml:space="preserve">[IMAGEM: Cinco versões dispostas em grid. Legenda:</w:t>
      </w:r>
      <w:r>
        <w:t xml:space="preserve"> </w:t>
      </w:r>
      <w:r>
        <w:t xml:space="preserve">“Versões da marca”</w:t>
      </w:r>
      <w:r>
        <w:t xml:space="preserve">]</w:t>
      </w:r>
    </w:p>
    <w:bookmarkEnd w:id="46"/>
    <w:bookmarkStart w:id="47" w:name="usos-incorretos"/>
    <w:p>
      <w:pPr>
        <w:pStyle w:val="Heading2"/>
      </w:pPr>
      <w:r>
        <w:t xml:space="preserve">Usos incorretos</w:t>
      </w:r>
    </w:p>
    <w:p>
      <w:pPr>
        <w:pStyle w:val="FirstParagraph"/>
      </w:pPr>
      <w:r>
        <w:t xml:space="preserve">A marca não deve ser: distorcida, aplicada sobre fundos que comprometam legibilidade, alterada fora da paleta, fragmentada, redesenhada fora da malha, acompanhada de contornos, sombras, gradientes ou efeitos.</w:t>
      </w:r>
    </w:p>
    <w:p>
      <w:pPr>
        <w:pStyle w:val="BodyText"/>
      </w:pPr>
      <w:r>
        <w:t xml:space="preserve">[IMAGEM: Grid de usos incorretos — 6 exemplos com indicador de proibição. Legenda:</w:t>
      </w:r>
      <w:r>
        <w:t xml:space="preserve"> </w:t>
      </w:r>
      <w:r>
        <w:t xml:space="preserve">“Usos incorretos”</w:t>
      </w:r>
      <w:r>
        <w:t xml:space="preserve">]</w:t>
      </w:r>
    </w:p>
    <w:bookmarkEnd w:id="47"/>
    <w:bookmarkEnd w:id="48"/>
    <w:bookmarkStart w:id="52" w:name="aplicações"/>
    <w:p>
      <w:pPr>
        <w:pStyle w:val="Heading1"/>
      </w:pPr>
      <w:r>
        <w:t xml:space="preserve">6. Aplicações</w:t>
      </w:r>
    </w:p>
    <w:bookmarkStart w:id="49" w:name="institucionais"/>
    <w:p>
      <w:pPr>
        <w:pStyle w:val="Heading2"/>
      </w:pPr>
      <w:r>
        <w:t xml:space="preserve">Institucionais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Papel timbrado:</w:t>
      </w:r>
      <w:r>
        <w:t xml:space="preserve"> </w:t>
      </w:r>
      <w:r>
        <w:t xml:space="preserve">marca no cabeçalho, dados de contato no rodapé.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Slides:</w:t>
      </w:r>
      <w:r>
        <w:t xml:space="preserve"> </w:t>
      </w:r>
      <w:r>
        <w:t xml:space="preserve">marca na capa e rodapé, paleta aplicada ao layout.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Banner roll-up:</w:t>
      </w:r>
      <w:r>
        <w:t xml:space="preserve"> </w:t>
      </w:r>
      <w:r>
        <w:t xml:space="preserve">marca no topo, área para conteúdo variável.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Redes sociais:</w:t>
      </w:r>
      <w:r>
        <w:t xml:space="preserve"> </w:t>
      </w:r>
      <w:r>
        <w:t xml:space="preserve">avatar (símbolo isolado), capa (marca horizontal), templates de postagem.</w:t>
      </w:r>
    </w:p>
    <w:p>
      <w:pPr>
        <w:pStyle w:val="FirstParagraph"/>
      </w:pPr>
      <w:r>
        <w:t xml:space="preserve">[IMAGEM: Mockups — papel timbrado, slide, banner, perfil de rede social. Legenda:</w:t>
      </w:r>
      <w:r>
        <w:t xml:space="preserve"> </w:t>
      </w:r>
      <w:r>
        <w:t xml:space="preserve">“Aplicações institucionais”</w:t>
      </w:r>
      <w:r>
        <w:t xml:space="preserve">]</w:t>
      </w:r>
    </w:p>
    <w:bookmarkEnd w:id="49"/>
    <w:bookmarkStart w:id="50" w:name="produtos-do-curso"/>
    <w:p>
      <w:pPr>
        <w:pStyle w:val="Heading2"/>
      </w:pPr>
      <w:r>
        <w:t xml:space="preserve">Produtos do curso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Camiseta:</w:t>
      </w:r>
      <w:r>
        <w:t xml:space="preserve"> </w:t>
      </w:r>
      <w:r>
        <w:t xml:space="preserve">símbolo no peito esquerdo, assinatura completa nas costas.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Etiqueta de protótipos:</w:t>
      </w:r>
      <w:r>
        <w:t xml:space="preserve"> </w:t>
      </w:r>
      <w:r>
        <w:t xml:space="preserve">marca em tamanho reduzido, adesiva ou tag, colada nos produtos de disciplinas práticas.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Sinalização de laboratórios:</w:t>
      </w:r>
      <w:r>
        <w:t xml:space="preserve"> </w:t>
      </w:r>
      <w:r>
        <w:t xml:space="preserve">placas de identificação dos laboratórios de prototipagem, marcenaria e modelagem.</w:t>
      </w:r>
    </w:p>
    <w:p>
      <w:pPr>
        <w:pStyle w:val="FirstParagraph"/>
      </w:pPr>
      <w:r>
        <w:t xml:space="preserve">[IMAGEM: Mockups — camiseta, etiqueta em protótipo, placa de laboratório. Legenda:</w:t>
      </w:r>
      <w:r>
        <w:t xml:space="preserve"> </w:t>
      </w:r>
      <w:r>
        <w:t xml:space="preserve">“Aplicações em produtos”</w:t>
      </w:r>
      <w:r>
        <w:t xml:space="preserve">]</w:t>
      </w:r>
    </w:p>
    <w:bookmarkEnd w:id="50"/>
    <w:bookmarkStart w:id="51" w:name="coexistência-com-a-marca-ifb"/>
    <w:p>
      <w:pPr>
        <w:pStyle w:val="Heading2"/>
      </w:pPr>
      <w:r>
        <w:t xml:space="preserve">Coexistência com a marca IFB</w:t>
      </w:r>
    </w:p>
    <w:p>
      <w:pPr>
        <w:pStyle w:val="FirstParagraph"/>
      </w:pPr>
      <w:r>
        <w:t xml:space="preserve">Lockup: marca do IFB à esquerda ou acima (hierarquia institucional), marca do curso à direita ou abaixo (especificidade). Espaçamento definido pelo módulo base da malha construtiva.</w:t>
      </w:r>
    </w:p>
    <w:p>
      <w:pPr>
        <w:pStyle w:val="BodyText"/>
      </w:pPr>
      <w:r>
        <w:t xml:space="preserve">[IMAGEM: Lockup horizontal e empilhado — cotas de espaçamento. Legenda:</w:t>
      </w:r>
      <w:r>
        <w:t xml:space="preserve"> </w:t>
      </w:r>
      <w:r>
        <w:t xml:space="preserve">“Coexistência com a marca IFB”</w:t>
      </w:r>
      <w:r>
        <w:t xml:space="preserve">]</w:t>
      </w:r>
    </w:p>
    <w:bookmarkEnd w:id="51"/>
    <w:bookmarkEnd w:id="52"/>
    <w:bookmarkStart w:id="53" w:name="especificações-técnicas"/>
    <w:p>
      <w:pPr>
        <w:pStyle w:val="Heading1"/>
      </w:pPr>
      <w:r>
        <w:t xml:space="preserve">7. Especificações Técnicas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Especificação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Formatos de arquivo</w:t>
            </w:r>
          </w:p>
        </w:tc>
        <w:tc>
          <w:tcPr/>
          <w:p>
            <w:pPr>
              <w:pStyle w:val="Compact"/>
            </w:pPr>
            <w:r>
              <w:t xml:space="preserve">AI, PDF (vetorial), SVG, PNG (transparência), 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Espaço de cor — impressão</w:t>
            </w:r>
          </w:p>
        </w:tc>
        <w:tc>
          <w:tcPr/>
          <w:p>
            <w:pPr>
              <w:pStyle w:val="Compact"/>
            </w:pPr>
            <w:r>
              <w:t xml:space="preserve">CMYK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Espaço de cor — tela</w:t>
            </w:r>
          </w:p>
        </w:tc>
        <w:tc>
          <w:tcPr/>
          <w:p>
            <w:pPr>
              <w:pStyle w:val="Compact"/>
            </w:pPr>
            <w:r>
              <w:t xml:space="preserve">sRGB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Tipografia</w:t>
            </w:r>
          </w:p>
        </w:tc>
        <w:tc>
          <w:tcPr/>
          <w:p>
            <w:pPr>
              <w:pStyle w:val="Compact"/>
            </w:pPr>
            <w:r>
              <w:t xml:space="preserve">[Nome da fonte] — [Peso(s)]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Redução mínima — impressão</w:t>
            </w:r>
          </w:p>
        </w:tc>
        <w:tc>
          <w:tcPr/>
          <w:p>
            <w:pPr>
              <w:pStyle w:val="Compact"/>
            </w:pPr>
            <w:r>
              <w:t xml:space="preserve">[X]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Redução mínima — tela</w:t>
            </w:r>
          </w:p>
        </w:tc>
        <w:tc>
          <w:tcPr/>
          <w:p>
            <w:pPr>
              <w:pStyle w:val="Compact"/>
            </w:pPr>
            <w:r>
              <w:t xml:space="preserve">[X] 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Área de proteção</w:t>
            </w:r>
          </w:p>
        </w:tc>
        <w:tc>
          <w:tcPr/>
          <w:p>
            <w:pPr>
              <w:pStyle w:val="Compact"/>
            </w:pPr>
            <w:r>
              <w:t xml:space="preserve">[X] módulos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Versões entregues</w:t>
            </w:r>
          </w:p>
        </w:tc>
        <w:tc>
          <w:tcPr/>
          <w:p>
            <w:pPr>
              <w:pStyle w:val="Compact"/>
            </w:pPr>
            <w:r>
              <w:t xml:space="preserve">Principal, vertical, símbolo isolado, mono positiva, mono negativa</w:t>
            </w:r>
          </w:p>
        </w:tc>
      </w:tr>
    </w:tbl>
    <w:bookmarkEnd w:id="53"/>
    <w:bookmarkStart w:id="54" w:name="referências"/>
    <w:p>
      <w:pPr>
        <w:pStyle w:val="Heading1"/>
      </w:pPr>
      <w:r>
        <w:t xml:space="preserve">8. Referências</w:t>
      </w:r>
    </w:p>
    <w:p>
      <w:pPr>
        <w:pStyle w:val="FirstParagraph"/>
      </w:pPr>
      <w:r>
        <w:t xml:space="preserve">ARNHEIM, Rudolf.</w:t>
      </w:r>
      <w:r>
        <w:t xml:space="preserve"> </w:t>
      </w:r>
      <w:r>
        <w:rPr>
          <w:b/>
          <w:bCs/>
        </w:rPr>
        <w:t xml:space="preserve">Arte e percepção visual</w:t>
      </w:r>
      <w:r>
        <w:t xml:space="preserve">: uma psicologia da visão criadora. São Paulo: Cengage Learning, 1974.</w:t>
      </w:r>
    </w:p>
    <w:p>
      <w:pPr>
        <w:pStyle w:val="BodyText"/>
      </w:pPr>
      <w:r>
        <w:t xml:space="preserve">BONSIEPE, Gui.</w:t>
      </w:r>
      <w:r>
        <w:t xml:space="preserve"> </w:t>
      </w:r>
      <w:r>
        <w:rPr>
          <w:b/>
          <w:bCs/>
        </w:rPr>
        <w:t xml:space="preserve">Design: do material ao digital</w:t>
      </w:r>
      <w:r>
        <w:t xml:space="preserve">. Florianópolis: FIESC/IEL, 1997.</w:t>
      </w:r>
    </w:p>
    <w:p>
      <w:pPr>
        <w:pStyle w:val="BodyText"/>
      </w:pPr>
      <w:r>
        <w:t xml:space="preserve">BRASIL.</w:t>
      </w:r>
      <w:r>
        <w:t xml:space="preserve"> </w:t>
      </w:r>
      <w:r>
        <w:rPr>
          <w:b/>
          <w:bCs/>
        </w:rPr>
        <w:t xml:space="preserve">Lei nº 11.892, de 29 de dezembro de 2008</w:t>
      </w:r>
      <w:r>
        <w:t xml:space="preserve">. Institui a Rede Federal de Educação Profissional, Científica e Tecnológica.</w:t>
      </w:r>
    </w:p>
    <w:p>
      <w:pPr>
        <w:pStyle w:val="BodyText"/>
      </w:pPr>
      <w:r>
        <w:t xml:space="preserve">BRINGHURST, Robert.</w:t>
      </w:r>
      <w:r>
        <w:t xml:space="preserve"> </w:t>
      </w:r>
      <w:r>
        <w:rPr>
          <w:b/>
          <w:bCs/>
        </w:rPr>
        <w:t xml:space="preserve">Elementos do estilo tipográfico</w:t>
      </w:r>
      <w:r>
        <w:t xml:space="preserve">. São Paulo: Cosac Naify, 2005.</w:t>
      </w:r>
    </w:p>
    <w:p>
      <w:pPr>
        <w:pStyle w:val="BodyText"/>
      </w:pPr>
      <w:r>
        <w:t xml:space="preserve">BÜRDEK, Bernhard E.</w:t>
      </w:r>
      <w:r>
        <w:t xml:space="preserve"> </w:t>
      </w:r>
      <w:r>
        <w:rPr>
          <w:b/>
          <w:bCs/>
        </w:rPr>
        <w:t xml:space="preserve">Design</w:t>
      </w:r>
      <w:r>
        <w:t xml:space="preserve">: história, teoria e prática do design de produto. São Paulo: Edgard Blücher, 2006.</w:t>
      </w:r>
    </w:p>
    <w:p>
      <w:pPr>
        <w:pStyle w:val="BodyText"/>
      </w:pPr>
      <w:r>
        <w:t xml:space="preserve">COSTA, Joan.</w:t>
      </w:r>
      <w:r>
        <w:t xml:space="preserve"> </w:t>
      </w:r>
      <w:r>
        <w:rPr>
          <w:b/>
          <w:bCs/>
        </w:rPr>
        <w:t xml:space="preserve">Design para os olhos</w:t>
      </w:r>
      <w:r>
        <w:t xml:space="preserve">: marca, cor, identidade, sinalética. Lisboa: Dinalivro, 2011.</w:t>
      </w:r>
    </w:p>
    <w:p>
      <w:pPr>
        <w:pStyle w:val="BodyText"/>
      </w:pPr>
      <w:r>
        <w:t xml:space="preserve">DONDIS, Donis A.</w:t>
      </w:r>
      <w:r>
        <w:t xml:space="preserve"> </w:t>
      </w:r>
      <w:r>
        <w:rPr>
          <w:b/>
          <w:bCs/>
        </w:rPr>
        <w:t xml:space="preserve">Sintaxe da linguagem visual</w:t>
      </w:r>
      <w:r>
        <w:t xml:space="preserve">. São Paulo: Martins Fontes, 1991.</w:t>
      </w:r>
    </w:p>
    <w:p>
      <w:pPr>
        <w:pStyle w:val="BodyText"/>
      </w:pPr>
      <w:r>
        <w:t xml:space="preserve">ECO, Umberto.</w:t>
      </w:r>
      <w:r>
        <w:t xml:space="preserve"> </w:t>
      </w:r>
      <w:r>
        <w:rPr>
          <w:b/>
          <w:bCs/>
        </w:rPr>
        <w:t xml:space="preserve">Tratado geral de semiótica</w:t>
      </w:r>
      <w:r>
        <w:t xml:space="preserve">. São Paulo: Perspectiva, 2014.</w:t>
      </w:r>
    </w:p>
    <w:p>
      <w:pPr>
        <w:pStyle w:val="BodyText"/>
      </w:pPr>
      <w:r>
        <w:t xml:space="preserve">FLUSSER, Vilém.</w:t>
      </w:r>
      <w:r>
        <w:t xml:space="preserve"> </w:t>
      </w:r>
      <w:r>
        <w:rPr>
          <w:b/>
          <w:bCs/>
        </w:rPr>
        <w:t xml:space="preserve">O mundo codificado</w:t>
      </w:r>
      <w:r>
        <w:t xml:space="preserve">: por uma filosofia do design e da comunicação. São Paulo: Cosac Naify, 2007.</w:t>
      </w:r>
    </w:p>
    <w:p>
      <w:pPr>
        <w:pStyle w:val="BodyText"/>
      </w:pPr>
      <w:r>
        <w:t xml:space="preserve">INSTITUTO FEDERAL DE BRASÍLIA.</w:t>
      </w:r>
      <w:r>
        <w:t xml:space="preserve"> </w:t>
      </w:r>
      <w:r>
        <w:rPr>
          <w:b/>
          <w:bCs/>
        </w:rPr>
        <w:t xml:space="preserve">Projeto Pedagógico do Curso Superior de Tecnologia em Design de Produto</w:t>
      </w:r>
      <w:r>
        <w:t xml:space="preserve">. Samambaia-DF: IFB, 2024.</w:t>
      </w:r>
    </w:p>
    <w:p>
      <w:pPr>
        <w:pStyle w:val="BodyText"/>
      </w:pPr>
      <w:r>
        <w:t xml:space="preserve">INSTITUTO FEDERAL DE BRASÍLIA.</w:t>
      </w:r>
      <w:r>
        <w:t xml:space="preserve"> </w:t>
      </w:r>
      <w:r>
        <w:rPr>
          <w:b/>
          <w:bCs/>
        </w:rPr>
        <w:t xml:space="preserve">Plano de Desenvolvimento Institucional 2024–2030</w:t>
      </w:r>
      <w:r>
        <w:t xml:space="preserve">. Brasília: IFB, 2024.</w:t>
      </w:r>
    </w:p>
    <w:p>
      <w:pPr>
        <w:pStyle w:val="BodyText"/>
      </w:pPr>
      <w:r>
        <w:t xml:space="preserve">INSTITUTO FEDERAL DE BRASÍLIA.</w:t>
      </w:r>
      <w:r>
        <w:t xml:space="preserve"> </w:t>
      </w:r>
      <w:r>
        <w:rPr>
          <w:b/>
          <w:bCs/>
        </w:rPr>
        <w:t xml:space="preserve">Manual de Identidade Visual do IFB</w:t>
      </w:r>
      <w:r>
        <w:t xml:space="preserve">. Brasília: IFB, [s.d.].</w:t>
      </w:r>
    </w:p>
    <w:p>
      <w:pPr>
        <w:pStyle w:val="BodyText"/>
      </w:pPr>
      <w:r>
        <w:t xml:space="preserve">LÖBACH, Bernd.</w:t>
      </w:r>
      <w:r>
        <w:t xml:space="preserve"> </w:t>
      </w:r>
      <w:r>
        <w:rPr>
          <w:b/>
          <w:bCs/>
        </w:rPr>
        <w:t xml:space="preserve">Design industrial</w:t>
      </w:r>
      <w:r>
        <w:t xml:space="preserve">: bases para a configuração dos produtos industriais. São Paulo: Edgard Blücher, 2001.</w:t>
      </w:r>
    </w:p>
    <w:p>
      <w:pPr>
        <w:pStyle w:val="BodyText"/>
      </w:pPr>
      <w:r>
        <w:t xml:space="preserve">LUPTON, Ellen.</w:t>
      </w:r>
      <w:r>
        <w:t xml:space="preserve"> </w:t>
      </w:r>
      <w:r>
        <w:rPr>
          <w:b/>
          <w:bCs/>
        </w:rPr>
        <w:t xml:space="preserve">Pensar com tipos</w:t>
      </w:r>
      <w:r>
        <w:t xml:space="preserve">: guia para designers, escritores, editores e estudantes. São Paulo: Cosac Naify, 2006.</w:t>
      </w:r>
    </w:p>
    <w:p>
      <w:pPr>
        <w:pStyle w:val="BodyText"/>
      </w:pPr>
      <w:r>
        <w:t xml:space="preserve">NEUMEIER, Marty.</w:t>
      </w:r>
      <w:r>
        <w:t xml:space="preserve"> </w:t>
      </w:r>
      <w:r>
        <w:rPr>
          <w:b/>
          <w:bCs/>
        </w:rPr>
        <w:t xml:space="preserve">The brand gap</w:t>
      </w:r>
      <w:r>
        <w:t xml:space="preserve">: o abismo da marca. Porto Alegre: Bookman, 2006.</w:t>
      </w:r>
    </w:p>
    <w:p>
      <w:pPr>
        <w:pStyle w:val="BodyText"/>
      </w:pPr>
      <w:r>
        <w:t xml:space="preserve">PEIRCE, Charles Sanders.</w:t>
      </w:r>
      <w:r>
        <w:t xml:space="preserve"> </w:t>
      </w:r>
      <w:r>
        <w:rPr>
          <w:b/>
          <w:bCs/>
        </w:rPr>
        <w:t xml:space="preserve">Semiótica</w:t>
      </w:r>
      <w:r>
        <w:t xml:space="preserve">. São Paulo: Perspectiva, 2005.</w:t>
      </w:r>
    </w:p>
    <w:p>
      <w:pPr>
        <w:pStyle w:val="BodyText"/>
      </w:pPr>
      <w:r>
        <w:t xml:space="preserve">PEÓN, Maria Luísa.</w:t>
      </w:r>
      <w:r>
        <w:t xml:space="preserve"> </w:t>
      </w:r>
      <w:r>
        <w:rPr>
          <w:b/>
          <w:bCs/>
        </w:rPr>
        <w:t xml:space="preserve">Sistemas de identidade visual</w:t>
      </w:r>
      <w:r>
        <w:t xml:space="preserve">. 4. ed. Rio de Janeiro: 2AB, 2009.</w:t>
      </w:r>
    </w:p>
    <w:p>
      <w:pPr>
        <w:pStyle w:val="BodyText"/>
      </w:pPr>
      <w:r>
        <w:t xml:space="preserve">SANTAELLA, Lucia.</w:t>
      </w:r>
      <w:r>
        <w:t xml:space="preserve"> </w:t>
      </w:r>
      <w:r>
        <w:rPr>
          <w:b/>
          <w:bCs/>
        </w:rPr>
        <w:t xml:space="preserve">Semiótica aplicada</w:t>
      </w:r>
      <w:r>
        <w:t xml:space="preserve">. São Paulo: Cengage Learning, 2002.</w:t>
      </w:r>
    </w:p>
    <w:p>
      <w:pPr>
        <w:pStyle w:val="BodyText"/>
      </w:pPr>
      <w:r>
        <w:t xml:space="preserve">STRUNCK, Gilberto.</w:t>
      </w:r>
      <w:r>
        <w:t xml:space="preserve"> </w:t>
      </w:r>
      <w:r>
        <w:rPr>
          <w:b/>
          <w:bCs/>
        </w:rPr>
        <w:t xml:space="preserve">Como criar identidades visuais para marcas de sucesso</w:t>
      </w:r>
      <w:r>
        <w:t xml:space="preserve">. 4. ed. Rio de Janeiro: Rio Books, 2012.</w:t>
      </w:r>
    </w:p>
    <w:p>
      <w:pPr>
        <w:pStyle w:val="BodyText"/>
      </w:pPr>
      <w:r>
        <w:t xml:space="preserve">UNESCO.</w:t>
      </w:r>
      <w:r>
        <w:t xml:space="preserve"> </w:t>
      </w:r>
      <w:r>
        <w:rPr>
          <w:b/>
          <w:bCs/>
        </w:rPr>
        <w:t xml:space="preserve">Brasília — Creative City of Design</w:t>
      </w:r>
      <w:r>
        <w:t xml:space="preserve">. Disponível em: https://en.unesco.org/creative-cities/brasilia. Acesso em: 10 fev. 2026.</w:t>
      </w:r>
    </w:p>
    <w:p>
      <w:pPr>
        <w:pStyle w:val="BodyText"/>
      </w:pPr>
      <w:r>
        <w:t xml:space="preserve">WHEELER, Alina.</w:t>
      </w:r>
      <w:r>
        <w:t xml:space="preserve"> </w:t>
      </w:r>
      <w:r>
        <w:rPr>
          <w:b/>
          <w:bCs/>
        </w:rPr>
        <w:t xml:space="preserve">Design de identidade de marca</w:t>
      </w:r>
      <w:r>
        <w:t xml:space="preserve">: guia essencial para toda a equipe de gestão de marcas. 5. ed. Porto Alegre: Bookman, 2019.</w:t>
      </w:r>
    </w:p>
    <w:p>
      <w:r>
        <w:pict>
          <v:rect style="width:0;height:1.5pt" o:hralign="center" o:hrstd="t" o:hr="t"/>
        </w:pic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IFB, Plano de Desenvolvimento Institucional 2024–2030.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Lei 11.892/2008, art. 6º, inciso III.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PPC do Curso Superior de Tecnologia em Design de Produto, IFB, 2024.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UNESCO, Rede de Cidades Criativas, 2017.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Wheeler (2019); Strunck (2012); Peón (2009); Costa (2011).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Peirce (2005); Santaella (2002); Eco (2014).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Flusser (2007); Bonsiepe (1997); Bürdek (2006); Löbach (2001).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Neumeier (2006).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IFB, Manual de Identidade Visual.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Arnheim (1974); Dondis (1991).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Lupton (2006).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Bringhurst (2005).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Descritivo — Marca do Curso Superior de Tecnologia em Design de Produto</dc:title>
  <dc:creator>Victor Costa</dc:creator>
  <dc:language>pt-BR</dc:language>
  <cp:keywords/>
  <dcterms:created xsi:type="dcterms:W3CDTF">2026-03-05T04:36:02Z</dcterms:created>
  <dcterms:modified xsi:type="dcterms:W3CDTF">2026-03-05T04:36:02Z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IFB Campus Samambaia</vt:lpwstr>
  </property>
</Properties>
</file>