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Narrativa de Construção da Marca</w:t>
      </w:r>
    </w:p>
    <w:p>
      <w:pPr>
        <w:pStyle w:val="Subtitle"/>
      </w:pPr>
      <w:r>
        <w:t xml:space="preserve">Tecnologia em Design de Produto — Instituto Federal de Brasília</w:t>
      </w:r>
    </w:p>
    <w:p>
      <w:pPr>
        <w:pStyle w:val="Author"/>
      </w:pPr>
      <w:r>
        <w:t xml:space="preserve">Victor Costa</w:t>
      </w:r>
    </w:p>
    <w:p>
      <w:pPr>
        <w:pStyle w:val="Date"/>
      </w:pPr>
      <w:r>
        <w:t xml:space="preserve">2026</w:t>
      </w:r>
    </w:p>
    <w:bookmarkStart w:id="9" w:name="narrativa-de-construção-da-marca"/>
    <w:p>
      <w:pPr>
        <w:pStyle w:val="Heading1"/>
      </w:pPr>
      <w:r>
        <w:t xml:space="preserve">Narrativa de Construção da Marca</w:t>
      </w:r>
    </w:p>
    <w:p>
      <w:pPr>
        <w:pStyle w:val="FirstParagraph"/>
      </w:pPr>
      <w:r>
        <w:t xml:space="preserve">Tecnologia em</w:t>
      </w:r>
      <w:r>
        <w:t xml:space="preserve"> </w:t>
      </w:r>
      <w:r>
        <w:rPr>
          <w:b/>
          <w:bCs/>
        </w:rPr>
        <w:t xml:space="preserve">Design de Produto</w:t>
      </w:r>
    </w:p>
    <w:p>
      <w:pPr>
        <w:pStyle w:val="BodyText"/>
      </w:pPr>
      <w:r>
        <w:t xml:space="preserve">Instituto Federal de Brasília</w:t>
      </w:r>
    </w:p>
    <w:p>
      <w:pPr>
        <w:pStyle w:val="BodyText"/>
      </w:pPr>
      <w:r>
        <w:t xml:space="preserve">Memorial Descritivo e Fundamentação Conceitual</w:t>
      </w:r>
      <w:r>
        <w:t xml:space="preserve"> </w:t>
      </w:r>
      <w:r>
        <w:t xml:space="preserve">Proposta para o Concurso de Identidade Visual do Curso</w:t>
      </w:r>
    </w:p>
    <w:p>
      <w:pPr>
        <w:pStyle w:val="BodyText"/>
      </w:pPr>
      <w:r>
        <w:t xml:space="preserve">[IMAGEM: Marca final, versão principal em cores, centralizada, fundo branco]</w:t>
      </w:r>
    </w:p>
    <w:bookmarkEnd w:id="9"/>
    <w:bookmarkStart w:id="10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Este memorial apresenta a fundamentação conceitual, simbólica e estratégica da proposta de identidade visual para o curso de Tecnologia em Design de Produto do Instituto Federal de Brasília (IFB). O documento detalha cada camada de significado que compõe a marca, da matriz construtiva às decisões formais finais.</w:t>
      </w:r>
    </w:p>
    <w:p>
      <w:pPr>
        <w:pStyle w:val="BodyText"/>
      </w:pPr>
      <w:r>
        <w:t xml:space="preserve">Construir uma marca para um curso é montar um sistema de comunicação visual que precisa funcionar em pelo menos três registros ao mesmo tempo: o institucional, o acadêmico e o profissional. A marca tem que dar conta do rigor técnico da formação, da vocação criativa da área e do pertencimento ao ecossistema do IFB. Se falhar em qualquer um desses registros, falha como um todo.</w:t>
      </w:r>
    </w:p>
    <w:p>
      <w:pPr>
        <w:pStyle w:val="BodyText"/>
      </w:pPr>
      <w:r>
        <w:t xml:space="preserve">Eu poderia ter partido de um briefing genérico de branding educacional. Mas o Design de Produto tem uma particularidade que mudou o rumo do projeto: é a disciplina que transforma matéria em artefato. Essa definição virou o motor conceitual de tudo o que vem a seguir.</w:t>
      </w:r>
    </w:p>
    <w:bookmarkEnd w:id="10"/>
    <w:bookmarkStart w:id="19" w:name="contexto-institucional"/>
    <w:p>
      <w:pPr>
        <w:pStyle w:val="Heading1"/>
      </w:pPr>
      <w:r>
        <w:t xml:space="preserve">2. Contexto Institucional</w:t>
      </w:r>
    </w:p>
    <w:bookmarkStart w:id="14" w:name="o-ifb-e-sua-identidade"/>
    <w:p>
      <w:pPr>
        <w:pStyle w:val="Heading2"/>
      </w:pPr>
      <w:r>
        <w:t xml:space="preserve">2.1 O IFB e sua identidade</w:t>
      </w:r>
    </w:p>
    <w:p>
      <w:pPr>
        <w:pStyle w:val="FirstParagraph"/>
      </w:pPr>
      <w:r>
        <w:t xml:space="preserve">O Instituto Federal de Brasília integra a Rede Federal de Educação Profissional, Científica e Tecnológica, criada pela Lei 11.892/2008. A missão declarada:</w:t>
      </w:r>
      <w:r>
        <w:t xml:space="preserve"> </w:t>
      </w:r>
      <w:r>
        <w:t xml:space="preserve">“transformar vidas por meio da Educação Profissional e Tecnológica, gratuita e de qualidade”</w:t>
      </w:r>
      <w:r>
        <w:t xml:space="preserve">.</w:t>
      </w:r>
      <w:r>
        <w:rPr>
          <w:rStyle w:val="FootnoteReference"/>
        </w:rPr>
        <w:footnoteReference w:id="11"/>
      </w:r>
    </w:p>
    <w:p>
      <w:pPr>
        <w:pStyle w:val="BodyText"/>
      </w:pPr>
      <w:r>
        <w:t xml:space="preserve">A marca do IFB trabalha com composição modular a partir de formas geométricas (quadrados e círculos) organizadas numa grade que remete a construção, sistema e diversidade. Verde e vermelho são as cores institucionais.</w:t>
      </w:r>
      <w:r>
        <w:rPr>
          <w:rStyle w:val="FootnoteReference"/>
        </w:rPr>
        <w:footnoteReference w:id="12"/>
      </w:r>
    </w:p>
    <w:p>
      <w:pPr>
        <w:pStyle w:val="BodyText"/>
      </w:pPr>
      <w:r>
        <w:t xml:space="preserve">O Campus Samambaia foi a primeira instituição pública de ensino profissional da região. Opera no eixo de Produção Cultural e Design com dois cursos articulados: o Técnico em Design de Móveis, integrado ao Ensino Médio, e o Superior de Tecnologia em Design de Produto. O estudante pode entrar pelo técnico e seguir até o superior no mesmo campus, no mesmo eixo. É a verticalização prevista em lei.</w:t>
      </w:r>
      <w:r>
        <w:rPr>
          <w:rStyle w:val="FootnoteReference"/>
        </w:rPr>
        <w:footnoteReference w:id="13"/>
      </w:r>
    </w:p>
    <w:bookmarkEnd w:id="14"/>
    <w:bookmarkStart w:id="16" w:name="o-curso"/>
    <w:p>
      <w:pPr>
        <w:pStyle w:val="Heading2"/>
      </w:pPr>
      <w:r>
        <w:t xml:space="preserve">2.2 O curso</w:t>
      </w:r>
    </w:p>
    <w:p>
      <w:pPr>
        <w:pStyle w:val="FirstParagraph"/>
      </w:pPr>
      <w:r>
        <w:t xml:space="preserve">O curso de Tecnologia em Design de Produto forma profissionais para atuar no desenvolvimento de produtos físicos e digitais, com domínio de processos projetuais, materialidade, prototipagem e inovação centrada no usuário. A formação junta pensamento analítico, sensibilidade estética e competência técnica, que nem sempre anda junto.</w:t>
      </w:r>
      <w:r>
        <w:rPr>
          <w:rStyle w:val="FootnoteReference"/>
        </w:rPr>
        <w:footnoteReference w:id="15"/>
      </w:r>
    </w:p>
    <w:p>
      <w:pPr>
        <w:pStyle w:val="BodyText"/>
      </w:pPr>
      <w:r>
        <w:t xml:space="preserve">O que diferencia esse curso de tantos outros é o espaço que ele ocupa. Não é puramente teórico nem exclusivamente prático. É onde ideia vira matéria, onde conceito ganha forma tangível. Esse caráter transformador foi o que orientou todas as decisões da marca.</w:t>
      </w:r>
    </w:p>
    <w:p>
      <w:pPr>
        <w:pStyle w:val="BodyText"/>
      </w:pPr>
      <w:r>
        <w:t xml:space="preserve">O único curso equivalente no DF é o Bacharelado em Desenho Industrial da UnB, que leva de oito a dez semestres. O tecnólogo do IFB faz o percurso em quatro, voltado à inserção profissional rápida. É o único curso público de tecnologia nessa área no Distrito Federal.</w:t>
      </w:r>
    </w:p>
    <w:bookmarkEnd w:id="16"/>
    <w:bookmarkStart w:id="18" w:name="brasília-cidade-criativa-do-design"/>
    <w:p>
      <w:pPr>
        <w:pStyle w:val="Heading2"/>
      </w:pPr>
      <w:r>
        <w:t xml:space="preserve">2.3 Brasília, Cidade Criativa do Design</w:t>
      </w:r>
    </w:p>
    <w:p>
      <w:pPr>
        <w:pStyle w:val="FirstParagraph"/>
      </w:pPr>
      <w:r>
        <w:t xml:space="preserve">Designação UNESCO desde 2017. Economia criativa representa 3,7% do PIB local.</w:t>
      </w:r>
      <w:r>
        <w:rPr>
          <w:rStyle w:val="FootnoteReference"/>
        </w:rPr>
        <w:footnoteReference w:id="17"/>
      </w:r>
    </w:p>
    <w:p>
      <w:pPr>
        <w:pStyle w:val="BodyText"/>
      </w:pPr>
      <w:r>
        <w:t xml:space="preserve">Brasília foi fundada como projeto. Sua própria concepção é um ato de design em escala territorial. A herança de Lucio Costa e Oscar Niemeyer deixou na cidade um vocabulário visual marcado pela geometria rigorosa, pela clareza formal, pela aposta de que o projeto pode transformar a realidade. A marca proposta fala essa mesma língua: geometria, formas primárias, contenção. Não por homenagem, mas porque esse é o vocabulário que faz sentido aqui.</w:t>
      </w:r>
    </w:p>
    <w:bookmarkEnd w:id="18"/>
    <w:bookmarkEnd w:id="19"/>
    <w:bookmarkStart w:id="24" w:name="estratégia-de-marca"/>
    <w:p>
      <w:pPr>
        <w:pStyle w:val="Heading1"/>
      </w:pPr>
      <w:r>
        <w:t xml:space="preserve">3. Estratégia de Marca</w:t>
      </w:r>
    </w:p>
    <w:bookmarkStart w:id="22" w:name="posicionamento"/>
    <w:p>
      <w:pPr>
        <w:pStyle w:val="Heading2"/>
      </w:pPr>
      <w:r>
        <w:t xml:space="preserve">3.1 Posicionamento</w:t>
      </w:r>
    </w:p>
    <w:p>
      <w:pPr>
        <w:pStyle w:val="FirstParagraph"/>
      </w:pPr>
      <w:r>
        <w:t xml:space="preserve">A marca do curso precisa se equilibrar em três eixos: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Pertencimento institucional.</w:t>
      </w:r>
      <w:r>
        <w:t xml:space="preserve"> </w:t>
      </w:r>
      <w:r>
        <w:t xml:space="preserve">Ser imediatamente reconhecível como parte do sistema visual do IFB, respeitando a gramática construtiva da instituição. Mollerup chama isso de</w:t>
      </w:r>
      <w:r>
        <w:t xml:space="preserve"> </w:t>
      </w:r>
      <w:r>
        <w:t xml:space="preserve">“identidade dentro da identidade”</w:t>
      </w:r>
      <w:r>
        <w:t xml:space="preserve">: ser distinto sem ser dissidente.</w:t>
      </w:r>
      <w:r>
        <w:rPr>
          <w:rStyle w:val="FootnoteReference"/>
        </w:rPr>
        <w:footnoteReference w:id="20"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Identidade disciplinar.</w:t>
      </w:r>
      <w:r>
        <w:t xml:space="preserve"> </w:t>
      </w:r>
      <w:r>
        <w:t xml:space="preserve">Comunicar que se trata de Design de Produto, uma disciplina projetual, materialista e centrada na resolução de problemas reais.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Diferenciação.</w:t>
      </w:r>
      <w:r>
        <w:t xml:space="preserve"> </w:t>
      </w:r>
      <w:r>
        <w:t xml:space="preserve">Distinguir-se de outras instituições que oferecem cursos similares, comunicando o diferencial de formação pública, federal e tecnológica.</w:t>
      </w:r>
      <w:r>
        <w:rPr>
          <w:rStyle w:val="FootnoteReference"/>
        </w:rPr>
        <w:footnoteReference w:id="21"/>
      </w:r>
    </w:p>
    <w:p>
      <w:pPr>
        <w:pStyle w:val="FirstParagraph"/>
      </w:pPr>
      <w:r>
        <w:t xml:space="preserve">Esse equilíbrio é mais delicado do que parece na teoria. Uma marca de sub-unidade que se descola demais da matriz parece intrusa; uma que se cola demais desaparece. O desafio foi encontrar a distância exata.</w:t>
      </w:r>
    </w:p>
    <w:bookmarkEnd w:id="22"/>
    <w:bookmarkStart w:id="23" w:name="atributos-de-marca"/>
    <w:p>
      <w:pPr>
        <w:pStyle w:val="Heading2"/>
      </w:pPr>
      <w:r>
        <w:t xml:space="preserve">3.2 Atributos de marca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Rigor</w:t>
            </w:r>
          </w:p>
        </w:tc>
        <w:tc>
          <w:tcPr/>
          <w:p>
            <w:pPr>
              <w:pStyle w:val="Compact"/>
            </w:pPr>
            <w:r>
              <w:t xml:space="preserve">Precisão técnica, fundamentação metodológica, disciplina projetual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Converter ideias abstratas em soluções concretas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Materialidade</w:t>
            </w:r>
          </w:p>
        </w:tc>
        <w:tc>
          <w:tcPr/>
          <w:p>
            <w:pPr>
              <w:pStyle w:val="Compact"/>
            </w:pPr>
            <w:r>
              <w:t xml:space="preserve">Relação direta com matéria-prima, processos produtivos, fabricação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O projeto nasce dentro de limites. O cubo como contentor e condição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Pertencimento</w:t>
            </w:r>
          </w:p>
        </w:tc>
        <w:tc>
          <w:tcPr/>
          <w:p>
            <w:pPr>
              <w:pStyle w:val="Compact"/>
            </w:pPr>
            <w:r>
              <w:t xml:space="preserve">Vínculo orgânico com a identidade e os valores do IFB</w:t>
            </w:r>
          </w:p>
        </w:tc>
      </w:tr>
    </w:tbl>
    <w:bookmarkEnd w:id="23"/>
    <w:bookmarkEnd w:id="24"/>
    <w:bookmarkStart w:id="33" w:name="processo-construtivo-da-marca"/>
    <w:p>
      <w:pPr>
        <w:pStyle w:val="Heading1"/>
      </w:pPr>
      <w:r>
        <w:t xml:space="preserve">4. Processo Construtivo da Marca</w:t>
      </w:r>
    </w:p>
    <w:p>
      <w:pPr>
        <w:pStyle w:val="FirstParagraph"/>
      </w:pPr>
      <w:r>
        <w:t xml:space="preserve">A construção seguiu um processo de derivação formal: partiu dos elementos institucionais do IFB e chegou a uma síntese gráfica com múltiplas camadas de leitura.</w:t>
      </w:r>
    </w:p>
    <w:bookmarkStart w:id="26" w:name="Xcb0c58db2562ec474ccf4cd49f62ac31c0e0362"/>
    <w:p>
      <w:pPr>
        <w:pStyle w:val="Heading2"/>
      </w:pPr>
      <w:r>
        <w:t xml:space="preserve">4.1 Etapa 1: Extração dos elementos construtivos do IFB</w:t>
      </w:r>
    </w:p>
    <w:p>
      <w:pPr>
        <w:pStyle w:val="FirstParagraph"/>
      </w:pPr>
      <w:r>
        <w:t xml:space="preserve">O ponto de partida foi a própria marca do IFB. Isolei os elementos construtivos (círculos, quadrados, retângulos) e os analisei como gramática visual.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Essas formas representam a modularidade e a diversidade da Rede Federal.</w:t>
      </w:r>
    </w:p>
    <w:p>
      <w:pPr>
        <w:pStyle w:val="BodyText"/>
      </w:pPr>
      <w:r>
        <w:t xml:space="preserve">O objetivo dessa extração era mapear o idioma visual da instituição. A nova identidade precisava falar a mesma linguagem gráfica sem repetir o que já existia.</w:t>
      </w:r>
    </w:p>
    <w:p>
      <w:pPr>
        <w:pStyle w:val="BodyText"/>
      </w:pPr>
      <w:r>
        <w:t xml:space="preserve">[IMAGEM: Marca do IFB com grid analítico sobreposto, formas geométricas constituintes, módulos, eixos. Legenda:</w:t>
      </w:r>
      <w:r>
        <w:t xml:space="preserve"> </w:t>
      </w:r>
      <w:r>
        <w:t xml:space="preserve">“Extração dos elementos construtivos”</w:t>
      </w:r>
      <w:r>
        <w:t xml:space="preserve">]</w:t>
      </w:r>
    </w:p>
    <w:bookmarkEnd w:id="26"/>
    <w:bookmarkStart w:id="28" w:name="etapa-2-ifb-material"/>
    <w:p>
      <w:pPr>
        <w:pStyle w:val="Heading2"/>
      </w:pPr>
      <w:r>
        <w:t xml:space="preserve">4.2 Etapa 2: IFB + Material</w:t>
      </w:r>
    </w:p>
    <w:p>
      <w:pPr>
        <w:pStyle w:val="FirstParagraph"/>
      </w:pPr>
      <w:r>
        <w:t xml:space="preserve">Os elementos construtivos do IFB foram então combinados com a noção de materialidade, conceito central do Design de Produto. Essa combinação não tem função ornamental: ela posiciona o curso na interseção entre instituição e prática projetual com materiais reais.</w:t>
      </w:r>
    </w:p>
    <w:p>
      <w:pPr>
        <w:pStyle w:val="BodyText"/>
      </w:pPr>
      <w:r>
        <w:t xml:space="preserve">Na prática gráfica, isso significou sobrepor as formas geométricas do IFB com volumes que sugerem tridimensionalidade, profundidade, corpo. O sistema bidimensional da marca institucional começa a ganhar uma terceira dimensão, a do produto.</w:t>
      </w:r>
      <w:r>
        <w:rPr>
          <w:rStyle w:val="FootnoteReference"/>
        </w:rPr>
        <w:footnoteReference w:id="27"/>
      </w:r>
    </w:p>
    <w:p>
      <w:pPr>
        <w:pStyle w:val="BodyText"/>
      </w:pPr>
      <w:r>
        <w:t xml:space="preserve">[IMAGEM: Formas do IFB ganhando volume, transição do 2D para o 3D. Legenda:</w:t>
      </w:r>
      <w:r>
        <w:t xml:space="preserve"> </w:t>
      </w:r>
      <w:r>
        <w:t xml:space="preserve">“Fusão conceitual: instituição + materialidade”</w:t>
      </w:r>
      <w:r>
        <w:t xml:space="preserve">]</w:t>
      </w:r>
    </w:p>
    <w:bookmarkEnd w:id="28"/>
    <w:bookmarkStart w:id="29" w:name="etapa-3-potencial-do-material"/>
    <w:p>
      <w:pPr>
        <w:pStyle w:val="Heading2"/>
      </w:pPr>
      <w:r>
        <w:t xml:space="preserve">4.3 Etapa 3: Potencial do material</w:t>
      </w:r>
    </w:p>
    <w:p>
      <w:pPr>
        <w:pStyle w:val="FirstParagraph"/>
      </w:pPr>
      <w:r>
        <w:t xml:space="preserve">Matéria-prima carrega potencial latente: caminhos de expansão, planos de corte, possibilidades de transformação que o designer aprende a enxergar e ativar.</w:t>
      </w:r>
    </w:p>
    <w:p>
      <w:pPr>
        <w:pStyle w:val="BodyText"/>
      </w:pPr>
      <w:r>
        <w:t xml:space="preserve">A representação visual dessa etapa trabalha com formas que se abrem, se desdobram e revelam faces ocultas. A geometria passa a funcionar como planificação, um blueprint que sugere montagem e fabricação. Quem já viu a planificação de um cubo de papelão reconhece a lógica: o tridimensional embutido no plano.</w:t>
      </w:r>
    </w:p>
    <w:p>
      <w:pPr>
        <w:pStyle w:val="BodyText"/>
      </w:pPr>
      <w:r>
        <w:t xml:space="preserve">[IMAGEM: Formas em desdobramento, planos se abrindo, faces reveladas. Legenda:</w:t>
      </w:r>
      <w:r>
        <w:t xml:space="preserve"> </w:t>
      </w:r>
      <w:r>
        <w:t xml:space="preserve">“Potencial do material”</w:t>
      </w:r>
      <w:r>
        <w:t xml:space="preserve">]</w:t>
      </w:r>
    </w:p>
    <w:bookmarkEnd w:id="29"/>
    <w:bookmarkStart w:id="31" w:name="etapa-4-ideia-contida-na-matéria"/>
    <w:p>
      <w:pPr>
        <w:pStyle w:val="Heading2"/>
      </w:pPr>
      <w:r>
        <w:t xml:space="preserve">4.4 Etapa 4: Ideia contida na matéria</w:t>
      </w:r>
    </w:p>
    <w:p>
      <w:pPr>
        <w:pStyle w:val="FirstParagraph"/>
      </w:pPr>
      <w:r>
        <w:t xml:space="preserve">Aqui a narrativa visual avança para uma premissa que me interessa particularmente: o produto final já está contido na matéria-prima. O designer não inventa a partir do nada. Revela, esculpe, organiza.</w:t>
      </w:r>
      <w:r>
        <w:rPr>
          <w:rStyle w:val="FootnoteReference"/>
        </w:rPr>
        <w:footnoteReference w:id="30"/>
      </w:r>
    </w:p>
    <w:p>
      <w:pPr>
        <w:pStyle w:val="BodyText"/>
      </w:pPr>
      <w:r>
        <w:t xml:space="preserve">Os planos se articulam num volume reconhecível. Surge uma metáfora que, confesso, só percebi depois de já ter desenhado: assim como a matéria bruta contém o produto, o estudante que ingressa contém o profissional que vai se formar. O cubo aberto é o aluno em construção; o cubo consolidado é o tecnólogo, pronto pra atuar.</w:t>
      </w:r>
    </w:p>
    <w:p>
      <w:pPr>
        <w:pStyle w:val="BodyText"/>
      </w:pPr>
      <w:r>
        <w:t xml:space="preserve">[IMAGEM: Forma se consolidando, articulação dos planos em volume coeso. Legenda:</w:t>
      </w:r>
      <w:r>
        <w:t xml:space="preserve"> </w:t>
      </w:r>
      <w:r>
        <w:t xml:space="preserve">“Ideia contida na matéria”</w:t>
      </w:r>
      <w:r>
        <w:t xml:space="preserve">]</w:t>
      </w:r>
    </w:p>
    <w:bookmarkEnd w:id="31"/>
    <w:bookmarkStart w:id="32" w:name="etapa-5-o-cubo-e-suas-leituras"/>
    <w:p>
      <w:pPr>
        <w:pStyle w:val="Heading2"/>
      </w:pPr>
      <w:r>
        <w:t xml:space="preserve">4.5 Etapa 5: O cubo e suas leituras</w:t>
      </w:r>
    </w:p>
    <w:p>
      <w:pPr>
        <w:pStyle w:val="FirstParagraph"/>
      </w:pPr>
      <w:r>
        <w:t xml:space="preserve">A etapa final sintetiza tudo numa marca coesa. A forma base é um cubo, e o cubo funciona primeiro como restrição projetual: todo o desenho acontece dentro dos seus limites. O produto nasce dentro de limitações, como em qualquer projeto real.</w:t>
      </w:r>
    </w:p>
    <w:p>
      <w:pPr>
        <w:pStyle w:val="BodyText"/>
      </w:pPr>
      <w:r>
        <w:t xml:space="preserve">O cubo opera em quatro registros:</w:t>
      </w:r>
    </w:p>
    <w:p>
      <w:pPr>
        <w:pStyle w:val="BodyText"/>
      </w:pPr>
      <w:r>
        <w:rPr>
          <w:b/>
          <w:bCs/>
        </w:rPr>
        <w:t xml:space="preserve">Leitura 1, Matéria bruta.</w:t>
      </w:r>
      <w:r>
        <w:t xml:space="preserve"> </w:t>
      </w:r>
      <w:r>
        <w:t xml:space="preserve">Cubo fechado, bloco de material antes de qualquer intervenção. A peça que aguarda o projeto.</w:t>
      </w:r>
    </w:p>
    <w:p>
      <w:pPr>
        <w:pStyle w:val="BodyText"/>
      </w:pPr>
      <w:r>
        <w:t xml:space="preserve">[IMAGEM: Símbolo com destaque na leitura de cubo, volumetria isométrica. Legenda:</w:t>
      </w:r>
      <w:r>
        <w:t xml:space="preserve"> </w:t>
      </w:r>
      <w:r>
        <w:t xml:space="preserve">“Leitura 1: Matéria bruta”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Leitura 2, Conhecimento.</w:t>
      </w:r>
      <w:r>
        <w:t xml:space="preserve"> </w:t>
      </w:r>
      <w:r>
        <w:t xml:space="preserve">Os mesmos planos se reorganizam como livro aberto. O arco que coroa o cubo funciona como lombada. É o saber que incide sobre a matéria: teoria, pesquisa, fundamento.</w:t>
      </w:r>
    </w:p>
    <w:p>
      <w:pPr>
        <w:pStyle w:val="BodyText"/>
      </w:pPr>
      <w:r>
        <w:t xml:space="preserve">[IMAGEM: Símbolo com destaque na leitura de livro, planos como páginas, arco como lombada. Legenda:</w:t>
      </w:r>
      <w:r>
        <w:t xml:space="preserve"> </w:t>
      </w:r>
      <w:r>
        <w:t xml:space="preserve">“Leitura 2: Conhecimento”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Leitura 3, Formação.</w:t>
      </w:r>
      <w:r>
        <w:t xml:space="preserve"> </w:t>
      </w:r>
      <w:r>
        <w:t xml:space="preserve">O plano superior vira a aba quadrada do capelo acadêmico, o arco vira a borla. Conclusão do curso, titulação, passagem de aluno a tecnólogo.</w:t>
      </w:r>
    </w:p>
    <w:p>
      <w:pPr>
        <w:pStyle w:val="BodyText"/>
      </w:pPr>
      <w:r>
        <w:t xml:space="preserve">[IMAGEM: Símbolo com destaque na leitura de capelo, aba horizontal, arco como borla. Legenda:</w:t>
      </w:r>
      <w:r>
        <w:t xml:space="preserve"> </w:t>
      </w:r>
      <w:r>
        <w:t xml:space="preserve">“Leitura 3: Formação”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Leitura 4, Produto.</w:t>
      </w:r>
      <w:r>
        <w:t xml:space="preserve"> </w:t>
      </w:r>
      <w:r>
        <w:t xml:space="preserve">Uma esfera em negativo inscrita dentro do cubo. O volume esférico escavado no bloco cúbico é o produto que emerge dentro das restrições do projeto. O cubo contém; a esfera nasce dentro dele.</w:t>
      </w:r>
    </w:p>
    <w:p>
      <w:pPr>
        <w:pStyle w:val="BodyText"/>
      </w:pPr>
      <w:r>
        <w:t xml:space="preserve">Essa esfera é também uma citação direta do círculo da marca do IFB. O parentesco visual com a marca-mãe se fecha aqui, não por cópia, mas por alusão geométrica. O cubo do curso carrega no interior a forma que define a instituição.</w:t>
      </w:r>
    </w:p>
    <w:p>
      <w:pPr>
        <w:pStyle w:val="BodyText"/>
      </w:pPr>
      <w:r>
        <w:t xml:space="preserve">E o cubo nesta leitura acumula quatro papéis: matéria pura, material explorado, agente de transformação e objeto transformado. O produto se consolida dentro da limitação cúbica, do mesmo jeito que qualquer projeto real se consolida dentro de restrições de custo, material, fabricação e uso.</w:t>
      </w:r>
    </w:p>
    <w:p>
      <w:pPr>
        <w:pStyle w:val="BodyText"/>
      </w:pPr>
      <w:r>
        <w:t xml:space="preserve">[IMAGEM: Símbolo com destaque na esfera em negativo, volume escavado, relação com o círculo IFB indicada. Legenda:</w:t>
      </w:r>
      <w:r>
        <w:t xml:space="preserve"> </w:t>
      </w:r>
      <w:r>
        <w:t xml:space="preserve">“Leitura 4: Produto”</w:t>
      </w:r>
      <w:r>
        <w:t xml:space="preserve">]</w:t>
      </w:r>
    </w:p>
    <w:p>
      <w:pPr>
        <w:pStyle w:val="BodyText"/>
      </w:pPr>
      <w:r>
        <w:t xml:space="preserve">A sequência completa:</w:t>
      </w:r>
    </w:p>
    <w:p>
      <w:pPr>
        <w:pStyle w:val="BlockText"/>
      </w:pPr>
      <w:r>
        <w:rPr>
          <w:b/>
          <w:bCs/>
        </w:rPr>
        <w:t xml:space="preserve">Matéria → Conhecimento → Formação → Produto</w:t>
      </w:r>
    </w:p>
    <w:p>
      <w:pPr>
        <w:pStyle w:val="FirstParagraph"/>
      </w:pPr>
      <w:r>
        <w:t xml:space="preserve">O estudante chega como potencial bruto, adquire conhecimento, se forma, entrega produto. Para o material a lógica é a mesma: bloco bruto, submetido a saber técnico, conformado por processo, transformado em artefato.</w:t>
      </w:r>
    </w:p>
    <w:p>
      <w:pPr>
        <w:pStyle w:val="BodyText"/>
      </w:pPr>
      <w:r>
        <w:t xml:space="preserve">As quatro leituras compartilham o mesmo eixo: transformação orientada por projeto. Que é, no fundo, a definição de design.</w:t>
      </w:r>
    </w:p>
    <w:p>
      <w:pPr>
        <w:pStyle w:val="BodyText"/>
      </w:pPr>
      <w:r>
        <w:t xml:space="preserve">[IMAGEM: Diagrama, quatro versões do símbolo em sequência, conectadas por setas. Legenda:</w:t>
      </w:r>
      <w:r>
        <w:t xml:space="preserve"> </w:t>
      </w:r>
      <w:r>
        <w:t xml:space="preserve">“Sequência narrativa”</w:t>
      </w:r>
      <w:r>
        <w:t xml:space="preserve">]</w:t>
      </w:r>
    </w:p>
    <w:bookmarkEnd w:id="32"/>
    <w:bookmarkEnd w:id="33"/>
    <w:bookmarkStart w:id="36" w:name="sistema-de-significados"/>
    <w:p>
      <w:pPr>
        <w:pStyle w:val="Heading1"/>
      </w:pPr>
      <w:r>
        <w:t xml:space="preserve">5. Sistema de Significados</w:t>
      </w:r>
    </w:p>
    <w:p>
      <w:pPr>
        <w:pStyle w:val="FirstParagraph"/>
      </w:pPr>
      <w:r>
        <w:t xml:space="preserve">A marca funciona como sistema semiótico em camadas. Cada nível revela um significado que complementa os anteriores:</w:t>
      </w:r>
      <w:r>
        <w:rPr>
          <w:rStyle w:val="FootnoteReference"/>
        </w:rPr>
        <w:footnoteReference w:id="34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42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Elemento visual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Primeira (imediata)</w:t>
            </w:r>
          </w:p>
        </w:tc>
        <w:tc>
          <w:tcPr/>
          <w:p>
            <w:pPr>
              <w:pStyle w:val="Compact"/>
            </w:pPr>
            <w:r>
              <w:t xml:space="preserve">Cubo tridimensional</w:t>
            </w:r>
          </w:p>
        </w:tc>
        <w:tc>
          <w:tcPr/>
          <w:p>
            <w:pPr>
              <w:pStyle w:val="Compact"/>
            </w:pPr>
            <w:r>
              <w:t xml:space="preserve">Produto, materialidade, objeto projetado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Segunda (analítica)</w:t>
            </w:r>
          </w:p>
        </w:tc>
        <w:tc>
          <w:tcPr/>
          <w:p>
            <w:pPr>
              <w:pStyle w:val="Compact"/>
            </w:pPr>
            <w:r>
              <w:t xml:space="preserve">Planos articulados</w:t>
            </w:r>
          </w:p>
        </w:tc>
        <w:tc>
          <w:tcPr/>
          <w:p>
            <w:pPr>
              <w:pStyle w:val="Compact"/>
            </w:pPr>
            <w:r>
              <w:t xml:space="preserve">Processo construtivo, planificação, fabricação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Terceira (simbólica)</w:t>
            </w:r>
          </w:p>
        </w:tc>
        <w:tc>
          <w:tcPr/>
          <w:p>
            <w:pPr>
              <w:pStyle w:val="Compact"/>
            </w:pPr>
            <w:r>
              <w:t xml:space="preserve">Esfera em negativo</w:t>
            </w:r>
          </w:p>
        </w:tc>
        <w:tc>
          <w:tcPr/>
          <w:p>
            <w:pPr>
              <w:pStyle w:val="Compact"/>
            </w:pPr>
            <w:r>
              <w:t xml:space="preserve">Produto nascido da restrição, citação do círculo IFB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Quarta (institucional)</w:t>
            </w:r>
          </w:p>
        </w:tc>
        <w:tc>
          <w:tcPr/>
          <w:p>
            <w:pPr>
              <w:pStyle w:val="Compact"/>
            </w:pPr>
            <w:r>
              <w:t xml:space="preserve">Gramática geométrica</w:t>
            </w:r>
          </w:p>
        </w:tc>
        <w:tc>
          <w:tcPr/>
          <w:p>
            <w:pPr>
              <w:pStyle w:val="Compact"/>
            </w:pPr>
            <w:r>
              <w:t xml:space="preserve">Pertencimento ao IFB, linguagem da Rede Federal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Quinta (formativa)</w:t>
            </w:r>
          </w:p>
        </w:tc>
        <w:tc>
          <w:tcPr/>
          <w:p>
            <w:pPr>
              <w:pStyle w:val="Compact"/>
            </w:pPr>
            <w:r>
              <w:t xml:space="preserve">Forma aberta → fechada</w:t>
            </w:r>
          </w:p>
        </w:tc>
        <w:tc>
          <w:tcPr/>
          <w:p>
            <w:pPr>
              <w:pStyle w:val="Compact"/>
            </w:pPr>
            <w:r>
              <w:t xml:space="preserve">Aluno em formação → profissional formado</w:t>
            </w:r>
          </w:p>
        </w:tc>
      </w:tr>
    </w:tbl>
    <w:p>
      <w:pPr>
        <w:pStyle w:val="BodyText"/>
      </w:pPr>
      <w:r>
        <w:t xml:space="preserve">Identidades visuais que operam numa camada só se esgotam rápido. Uma marca com essa estratificação continua revelando sentido ao longo do tempo e cria vínculo progressivo com quem convive com ela.</w:t>
      </w:r>
      <w:r>
        <w:rPr>
          <w:rStyle w:val="FootnoteReference"/>
        </w:rPr>
        <w:footnoteReference w:id="35"/>
      </w:r>
    </w:p>
    <w:bookmarkEnd w:id="36"/>
    <w:bookmarkStart w:id="44" w:name="análise-formal"/>
    <w:p>
      <w:pPr>
        <w:pStyle w:val="Heading1"/>
      </w:pPr>
      <w:r>
        <w:t xml:space="preserve">6. Análise Formal</w:t>
      </w:r>
    </w:p>
    <w:bookmarkStart w:id="39" w:name="geometria-e-construção"/>
    <w:p>
      <w:pPr>
        <w:pStyle w:val="Heading2"/>
      </w:pPr>
      <w:r>
        <w:t xml:space="preserve">6.1 Geometria e construção</w:t>
      </w:r>
    </w:p>
    <w:p>
      <w:pPr>
        <w:pStyle w:val="FirstParagraph"/>
      </w:pPr>
      <w:r>
        <w:t xml:space="preserve">A marca é construída sobre grade geométrica derivada do sistema modular do IFB. As proporções seguem relações matemáticas consistentes, o que garante equilíbrio visual e reprodutibilidade técnica em qualquer escala.</w:t>
      </w:r>
      <w:r>
        <w:rPr>
          <w:rStyle w:val="FootnoteReference"/>
        </w:rPr>
        <w:footnoteReference w:id="37"/>
      </w:r>
    </w:p>
    <w:p>
      <w:pPr>
        <w:pStyle w:val="BodyText"/>
      </w:pPr>
      <w:r>
        <w:t xml:space="preserve">O ícone principal é um volume cúbico estilizado, com três planos visíveis que simulam perspectiva isométrica. A abertura superior, uma curva côncava, quebra a rigidez geométrica e introduz organicidade. Sugere que a forma está em processo de transformação. Essa tensão entre o rígido e o fluido é deliberada: reflete a natureza do design de produto, que vive entre a precisão da engenharia e a liberdade criativa.</w:t>
      </w:r>
    </w:p>
    <w:p>
      <w:pPr>
        <w:pStyle w:val="BodyText"/>
      </w:pPr>
      <w:r>
        <w:t xml:space="preserve">A esfera em negativo inscrita no cubo aparece como concavidade, um volume interno que o olho do observador completa. Essa operação perceptiva exige participação ativa do observador e é o que garante que a forma admita leituras múltiplas.</w:t>
      </w:r>
      <w:r>
        <w:rPr>
          <w:rStyle w:val="FootnoteReference"/>
        </w:rPr>
        <w:footnoteReference w:id="38"/>
      </w:r>
    </w:p>
    <w:bookmarkEnd w:id="39"/>
    <w:bookmarkStart w:id="42" w:name="tipografia"/>
    <w:p>
      <w:pPr>
        <w:pStyle w:val="Heading2"/>
      </w:pPr>
      <w:r>
        <w:t xml:space="preserve">6.2 Tipografia</w:t>
      </w:r>
    </w:p>
    <w:p>
      <w:pPr>
        <w:pStyle w:val="FirstParagraph"/>
      </w:pPr>
      <w:r>
        <w:t xml:space="preserve">A composição tipográfica usa hierarquia de dois pesos.</w:t>
      </w:r>
      <w:r>
        <w:t xml:space="preserve"> </w:t>
      </w:r>
      <w:r>
        <w:t xml:space="preserve">“Tecnologia em”</w:t>
      </w:r>
      <w:r>
        <w:t xml:space="preserve"> </w:t>
      </w:r>
      <w:r>
        <w:t xml:space="preserve">aparece em peso regular, estabelecendo contexto acadêmico.</w:t>
      </w:r>
      <w:r>
        <w:t xml:space="preserve"> </w:t>
      </w:r>
      <w:r>
        <w:t xml:space="preserve">“Design de Produto”</w:t>
      </w:r>
      <w:r>
        <w:t xml:space="preserve"> </w:t>
      </w:r>
      <w:r>
        <w:t xml:space="preserve">entra em bold, assumindo protagonismo. A diferença de peso comunica prioridade: o curso é, antes de tudo, sobre Design de Produto, dentro de um enquadramento tecnológico.</w:t>
      </w:r>
      <w:r>
        <w:rPr>
          <w:rStyle w:val="FootnoteReference"/>
        </w:rPr>
        <w:footnoteReference w:id="40"/>
      </w:r>
    </w:p>
    <w:p>
      <w:pPr>
        <w:pStyle w:val="BodyText"/>
      </w:pPr>
      <w:r>
        <w:t xml:space="preserve">A escolha recaiu sobre uma sem-serifa geométrica, construída a partir de círculos, quadrados e triângulos, o mesmo vocabulário formal do símbolo. Contraformas abertas garantem legibilidade mesmo em reduções extremas.</w:t>
      </w:r>
      <w:r>
        <w:rPr>
          <w:rStyle w:val="FootnoteReference"/>
        </w:rPr>
        <w:footnoteReference w:id="41"/>
      </w:r>
    </w:p>
    <w:bookmarkEnd w:id="42"/>
    <w:bookmarkStart w:id="43" w:name="cromia"/>
    <w:p>
      <w:pPr>
        <w:pStyle w:val="Heading2"/>
      </w:pPr>
      <w:r>
        <w:t xml:space="preserve">6.3 Cromia</w:t>
      </w:r>
    </w:p>
    <w:p>
      <w:pPr>
        <w:pStyle w:val="FirstParagraph"/>
      </w:pPr>
      <w:r>
        <w:t xml:space="preserve">A paleta trabalha com tons neutros escuros (grafite, cinza chumbo) como base. A escolha por tons escuros comunica seriedade e maturidade sem pesar.</w:t>
      </w:r>
    </w:p>
    <w:p>
      <w:pPr>
        <w:pStyle w:val="BodyText"/>
      </w:pPr>
      <w:r>
        <w:t xml:space="preserve">As cores institucionais do IFB (verde e vermelho) são preservadas no sistema visual mais amplo, mas não entram no ícone do curso. Essa separação é proposital: permite que a marca do curso conviva com o sistema do IFB sem competir visualmente com ele. Verde e vermelho aparecem nos elementos de suporte, moldura e contexto.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131"/>
        <w:gridCol w:w="942"/>
        <w:gridCol w:w="942"/>
        <w:gridCol w:w="3017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Pantone (ref.)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Primária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Símbolo e elementos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Secundária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Tipografia e apoio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</w:t>
            </w:r>
          </w:p>
        </w:tc>
        <w:tc>
          <w:tcPr/>
          <w:p>
            <w:pPr>
              <w:pStyle w:val="Compact"/>
            </w:pPr>
            <w:r>
              <w:t xml:space="preserve">C0 M0 Y0 K100</w:t>
            </w:r>
          </w:p>
        </w:tc>
        <w:tc>
          <w:tcPr/>
          <w:p>
            <w:pPr>
              <w:pStyle w:val="Compact"/>
            </w:pPr>
            <w:r>
              <w:t xml:space="preserve">0, 0, 0</w:t>
            </w:r>
          </w:p>
        </w:tc>
        <w:tc>
          <w:tcPr/>
          <w:p>
            <w:pPr>
              <w:pStyle w:val="Compact"/>
            </w:pPr>
            <w:r>
              <w:t xml:space="preserve">#000000</w:t>
            </w:r>
          </w:p>
        </w:tc>
        <w:tc>
          <w:tcPr/>
          <w:p>
            <w:pPr>
              <w:pStyle w:val="Compact"/>
            </w:pPr>
            <w:r>
              <w:t xml:space="preserve">Black C</w:t>
            </w:r>
          </w:p>
        </w:tc>
        <w:tc>
          <w:tcPr/>
          <w:p>
            <w:pPr>
              <w:pStyle w:val="Compact"/>
            </w:pPr>
            <w:r>
              <w:t xml:space="preserve">Versão monocromática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Branco</w:t>
            </w:r>
          </w:p>
        </w:tc>
        <w:tc>
          <w:tcPr/>
          <w:p>
            <w:pPr>
              <w:pStyle w:val="Compact"/>
            </w:pPr>
            <w:r>
              <w:t xml:space="preserve">C0 M0 Y0 K0</w:t>
            </w:r>
          </w:p>
        </w:tc>
        <w:tc>
          <w:tcPr/>
          <w:p>
            <w:pPr>
              <w:pStyle w:val="Compact"/>
            </w:pPr>
            <w:r>
              <w:t xml:space="preserve">255, 255, 255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Versão negativa</w:t>
            </w:r>
          </w:p>
        </w:tc>
      </w:tr>
    </w:tbl>
    <w:p>
      <w:pPr>
        <w:pStyle w:val="BodyText"/>
      </w:pPr>
      <w:r>
        <w:t xml:space="preserve">[IMAGEM: Paleta cromática, amostras com códigos técnicos, quatro versões lado a lado. Legenda:</w:t>
      </w:r>
      <w:r>
        <w:t xml:space="preserve"> </w:t>
      </w:r>
      <w:r>
        <w:t xml:space="preserve">“Paleta cromática”</w:t>
      </w:r>
      <w:r>
        <w:t xml:space="preserve">]</w:t>
      </w:r>
    </w:p>
    <w:bookmarkEnd w:id="43"/>
    <w:bookmarkEnd w:id="44"/>
    <w:bookmarkStart w:id="48" w:name="sistema-visual"/>
    <w:p>
      <w:pPr>
        <w:pStyle w:val="Heading1"/>
      </w:pPr>
      <w:r>
        <w:t xml:space="preserve">7. Sistema Visual</w:t>
      </w:r>
    </w:p>
    <w:bookmarkStart w:id="45" w:name="malha-construtiva"/>
    <w:p>
      <w:pPr>
        <w:pStyle w:val="Heading2"/>
      </w:pPr>
      <w:r>
        <w:t xml:space="preserve">Malha construtiva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base (X)</w:t>
            </w:r>
          </w:p>
        </w:tc>
        <w:tc>
          <w:tcPr/>
          <w:p>
            <w:pPr>
              <w:pStyle w:val="Compact"/>
            </w:pPr>
            <w:r>
              <w:t xml:space="preserve">Unidade proporcional de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Proporções</w:t>
            </w:r>
          </w:p>
        </w:tc>
        <w:tc>
          <w:tcPr/>
          <w:p>
            <w:pPr>
              <w:pStyle w:val="Compact"/>
            </w:pPr>
            <w:r>
              <w:t xml:space="preserve">Relação largura/altura, ângulos isométricos (30°/60°), raio do arco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proteção</w:t>
            </w:r>
          </w:p>
        </w:tc>
        <w:tc>
          <w:tcPr/>
          <w:p>
            <w:pPr>
              <w:pStyle w:val="Compact"/>
            </w:pPr>
            <w:r>
              <w:t xml:space="preserve">[X] módulos em todas as direções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mínima, impressão</w:t>
            </w:r>
          </w:p>
        </w:tc>
        <w:tc>
          <w:tcPr/>
          <w:p>
            <w:pPr>
              <w:pStyle w:val="Compact"/>
            </w:pPr>
            <w:r>
              <w:t xml:space="preserve">[X] mm de largura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mínima, tela</w:t>
            </w:r>
          </w:p>
        </w:tc>
        <w:tc>
          <w:tcPr/>
          <w:p>
            <w:pPr>
              <w:pStyle w:val="Compact"/>
            </w:pPr>
            <w:r>
              <w:t xml:space="preserve">[X] px de largura</w:t>
            </w:r>
          </w:p>
        </w:tc>
      </w:tr>
    </w:tbl>
    <w:p>
      <w:pPr>
        <w:pStyle w:val="BodyText"/>
      </w:pPr>
      <w:r>
        <w:t xml:space="preserve">[IMAGEM: Malha construtiva, grid modular, módulo base, ângulos, raio, área de proteção. Legenda:</w:t>
      </w:r>
      <w:r>
        <w:t xml:space="preserve"> </w:t>
      </w:r>
      <w:r>
        <w:t xml:space="preserve">“Malha construtiva”</w:t>
      </w:r>
      <w:r>
        <w:t xml:space="preserve">]</w:t>
      </w:r>
    </w:p>
    <w:bookmarkEnd w:id="45"/>
    <w:bookmarkStart w:id="46" w:name="versões"/>
    <w:p>
      <w:pPr>
        <w:pStyle w:val="Heading2"/>
      </w:pPr>
      <w:r>
        <w:t xml:space="preserve">Versões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Uso preferencial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(horizontal)</w:t>
            </w:r>
          </w:p>
        </w:tc>
        <w:tc>
          <w:tcPr/>
          <w:p>
            <w:pPr>
              <w:pStyle w:val="Compact"/>
            </w:pPr>
            <w:r>
              <w:t xml:space="preserve">Símbolo + assinatura tipográfica</w:t>
            </w:r>
          </w:p>
        </w:tc>
        <w:tc>
          <w:tcPr/>
          <w:p>
            <w:pPr>
              <w:pStyle w:val="Compact"/>
            </w:pPr>
            <w:r>
              <w:t xml:space="preserve">Uso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Símbolo acima, tipografia abaixo</w:t>
            </w:r>
          </w:p>
        </w:tc>
        <w:tc>
          <w:tcPr/>
          <w:p>
            <w:pPr>
              <w:pStyle w:val="Compact"/>
            </w:pPr>
            <w:r>
              <w:t xml:space="preserve">Espaços estreitos ou quadrados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Símbolo isolado</w:t>
            </w:r>
          </w:p>
        </w:tc>
        <w:tc>
          <w:tcPr/>
          <w:p>
            <w:pPr>
              <w:pStyle w:val="Compact"/>
            </w:pPr>
            <w:r>
              <w:t xml:space="preserve">Só o símbolo</w:t>
            </w:r>
          </w:p>
        </w:tc>
        <w:tc>
          <w:tcPr/>
          <w:p>
            <w:pPr>
              <w:pStyle w:val="Compact"/>
            </w:pPr>
            <w:r>
              <w:t xml:space="preserve">Favicons, avatares, carimbos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Monocromática positiva</w:t>
            </w:r>
          </w:p>
        </w:tc>
        <w:tc>
          <w:tcPr/>
          <w:p>
            <w:pPr>
              <w:pStyle w:val="Compact"/>
            </w:pPr>
            <w:r>
              <w:t xml:space="preserve">Preto sobre branco</w:t>
            </w:r>
          </w:p>
        </w:tc>
        <w:tc>
          <w:tcPr/>
          <w:p>
            <w:pPr>
              <w:pStyle w:val="Compact"/>
            </w:pPr>
            <w:r>
              <w:t xml:space="preserve">Documentos oficiais, gravação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Monocromática negativa</w:t>
            </w:r>
          </w:p>
        </w:tc>
        <w:tc>
          <w:tcPr/>
          <w:p>
            <w:pPr>
              <w:pStyle w:val="Compact"/>
            </w:pPr>
            <w:r>
              <w:t xml:space="preserve">Branco sobre escuro</w:t>
            </w:r>
          </w:p>
        </w:tc>
        <w:tc>
          <w:tcPr/>
          <w:p>
            <w:pPr>
              <w:pStyle w:val="Compact"/>
            </w:pPr>
            <w:r>
              <w:t xml:space="preserve">Fundos escuros sem cor</w:t>
            </w:r>
          </w:p>
        </w:tc>
      </w:tr>
    </w:tbl>
    <w:p>
      <w:pPr>
        <w:pStyle w:val="BodyText"/>
      </w:pPr>
      <w:r>
        <w:t xml:space="preserve">[IMAGEM: Cinco versões em grid. Legenda:</w:t>
      </w:r>
      <w:r>
        <w:t xml:space="preserve"> </w:t>
      </w:r>
      <w:r>
        <w:t xml:space="preserve">“Versões da marca”</w:t>
      </w:r>
      <w:r>
        <w:t xml:space="preserve">]</w:t>
      </w:r>
    </w:p>
    <w:bookmarkEnd w:id="46"/>
    <w:bookmarkStart w:id="47" w:name="usos-incorretos"/>
    <w:p>
      <w:pPr>
        <w:pStyle w:val="Heading2"/>
      </w:pPr>
      <w:r>
        <w:t xml:space="preserve">Usos incorretos</w:t>
      </w:r>
    </w:p>
    <w:p>
      <w:pPr>
        <w:pStyle w:val="FirstParagraph"/>
      </w:pPr>
      <w:r>
        <w:t xml:space="preserve">A marca não deve ser distorcida, aplicada sobre fundos que comprometam legibilidade, alterada fora da paleta, fragmentada, redesenhada fora da malha nem acompanhada de contornos, sombras, gradientes ou efeitos.</w:t>
      </w:r>
    </w:p>
    <w:p>
      <w:pPr>
        <w:pStyle w:val="BodyText"/>
      </w:pPr>
      <w:r>
        <w:t xml:space="preserve">[IMAGEM: Grid de usos incorretos, 6 exemplos com indicador de proibição. Legenda:</w:t>
      </w:r>
      <w:r>
        <w:t xml:space="preserve"> </w:t>
      </w:r>
      <w:r>
        <w:t xml:space="preserve">“Usos incorretos”</w:t>
      </w:r>
      <w:r>
        <w:t xml:space="preserve">]</w:t>
      </w:r>
    </w:p>
    <w:bookmarkEnd w:id="47"/>
    <w:bookmarkEnd w:id="48"/>
    <w:bookmarkStart w:id="50" w:name="aplicações"/>
    <w:p>
      <w:pPr>
        <w:pStyle w:val="Heading1"/>
      </w:pPr>
      <w:r>
        <w:t xml:space="preserve">8. Aplicações</w:t>
      </w:r>
    </w:p>
    <w:p>
      <w:pPr>
        <w:pStyle w:val="FirstParagraph"/>
      </w:pPr>
      <w:r>
        <w:t xml:space="preserve">A marca foi pensada como sistema, não como peça isolada. A estrutura modular permite que funcione em contextos bem diferentes:</w:t>
      </w:r>
    </w:p>
    <w:p>
      <w:pPr>
        <w:pStyle w:val="BodyText"/>
      </w:pPr>
      <w:r>
        <w:rPr>
          <w:b/>
          <w:bCs/>
        </w:rPr>
        <w:t xml:space="preserve">Documentos acadêmicos.</w:t>
      </w:r>
      <w:r>
        <w:t xml:space="preserve"> </w:t>
      </w:r>
      <w:r>
        <w:t xml:space="preserve">Cabeçalhos, capas de TCC, certificados, material didático.</w:t>
      </w:r>
    </w:p>
    <w:p>
      <w:pPr>
        <w:pStyle w:val="BodyText"/>
      </w:pPr>
      <w:r>
        <w:rPr>
          <w:b/>
          <w:bCs/>
        </w:rPr>
        <w:t xml:space="preserve">Comunicação digital.</w:t>
      </w:r>
      <w:r>
        <w:t xml:space="preserve"> </w:t>
      </w:r>
      <w:r>
        <w:t xml:space="preserve">Redes sociais, site do curso, newsletters, banners.</w:t>
      </w:r>
    </w:p>
    <w:p>
      <w:pPr>
        <w:pStyle w:val="BodyText"/>
      </w:pPr>
      <w:r>
        <w:rPr>
          <w:b/>
          <w:bCs/>
        </w:rPr>
        <w:t xml:space="preserve">Ambientação física.</w:t>
      </w:r>
      <w:r>
        <w:t xml:space="preserve"> </w:t>
      </w:r>
      <w:r>
        <w:t xml:space="preserve">Sinalização de laboratórios, fachadas, totens informativos.</w:t>
      </w:r>
    </w:p>
    <w:p>
      <w:pPr>
        <w:pStyle w:val="BodyText"/>
      </w:pPr>
      <w:r>
        <w:rPr>
          <w:b/>
          <w:bCs/>
        </w:rPr>
        <w:t xml:space="preserve">Eventos e exposições.</w:t>
      </w:r>
      <w:r>
        <w:t xml:space="preserve"> </w:t>
      </w:r>
      <w:r>
        <w:t xml:space="preserve">Feiras de projetos, mostras de portfólio, semanas acadêmicas.</w:t>
      </w:r>
    </w:p>
    <w:p>
      <w:pPr>
        <w:pStyle w:val="BodyText"/>
      </w:pPr>
      <w:r>
        <w:rPr>
          <w:b/>
          <w:bCs/>
        </w:rPr>
        <w:t xml:space="preserve">Materiais institucionais.</w:t>
      </w:r>
      <w:r>
        <w:t xml:space="preserve"> </w:t>
      </w:r>
      <w:r>
        <w:t xml:space="preserve">Crachás, camisetas, brindes, material de processo seletivo.</w:t>
      </w:r>
    </w:p>
    <w:p>
      <w:pPr>
        <w:pStyle w:val="BodyText"/>
      </w:pPr>
      <w:r>
        <w:rPr>
          <w:b/>
          <w:bCs/>
        </w:rPr>
        <w:t xml:space="preserve">Produtos do curso.</w:t>
      </w:r>
      <w:r>
        <w:t xml:space="preserve"> </w:t>
      </w:r>
      <w:r>
        <w:t xml:space="preserve">Etiquetas de protótipos (adesivas ou tags coladas nos produtos de disciplinas práticas), placas de laboratórios de prototipagem, marcenaria e modelagem.</w:t>
      </w:r>
    </w:p>
    <w:p>
      <w:pPr>
        <w:pStyle w:val="BodyText"/>
      </w:pPr>
      <w:r>
        <w:t xml:space="preserve">Funciona em positivo e negativo, em redução mínima e ampliação máxima, sobre fundos claros e escuros. O ícone opera sozinho, sem tipografia, em aplicações de espaço reduzido, sem perda de identidade.</w:t>
      </w:r>
    </w:p>
    <w:p>
      <w:pPr>
        <w:pStyle w:val="BodyText"/>
      </w:pPr>
      <w:r>
        <w:t xml:space="preserve">[IMAGEM: Mockups, papel timbrado, slide, banner, rede social, camiseta, etiqueta em protótipo, placa de laboratório. Legenda:</w:t>
      </w:r>
      <w:r>
        <w:t xml:space="preserve"> </w:t>
      </w:r>
      <w:r>
        <w:t xml:space="preserve">“Aplicações”</w:t>
      </w:r>
      <w:r>
        <w:t xml:space="preserve">]</w:t>
      </w:r>
    </w:p>
    <w:bookmarkStart w:id="49" w:name="coexistência-com-a-marca-ifb"/>
    <w:p>
      <w:pPr>
        <w:pStyle w:val="Heading2"/>
      </w:pPr>
      <w:r>
        <w:t xml:space="preserve">Coexistência com a marca IFB</w:t>
      </w:r>
    </w:p>
    <w:p>
      <w:pPr>
        <w:pStyle w:val="FirstParagraph"/>
      </w:pPr>
      <w:r>
        <w:t xml:space="preserve">No lockup, a marca do IFB fica à esquerda ou acima (hierarquia institucional) e a marca do curso à direita ou abaixo (especificidade). Espaçamento definido pelo módulo base da malha construtiva.</w:t>
      </w:r>
    </w:p>
    <w:p>
      <w:pPr>
        <w:pStyle w:val="BodyText"/>
      </w:pPr>
      <w:r>
        <w:t xml:space="preserve">[IMAGEM: Lockup horizontal e empilhado, cotas de espaçamento. Legenda:</w:t>
      </w:r>
      <w:r>
        <w:t xml:space="preserve"> </w:t>
      </w:r>
      <w:r>
        <w:t xml:space="preserve">“Coexistência com a marca IFB”</w:t>
      </w:r>
      <w:r>
        <w:t xml:space="preserve">]</w:t>
      </w:r>
    </w:p>
    <w:bookmarkEnd w:id="49"/>
    <w:bookmarkEnd w:id="50"/>
    <w:bookmarkStart w:id="51" w:name="diferencial-da-proposta"/>
    <w:p>
      <w:pPr>
        <w:pStyle w:val="Heading1"/>
      </w:pPr>
      <w:r>
        <w:t xml:space="preserve">9. Diferencial da Proposta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Fundamentação, não decoração.</w:t>
      </w:r>
      <w:r>
        <w:t xml:space="preserve"> </w:t>
      </w:r>
      <w:r>
        <w:t xml:space="preserve">Cada decisão formal é rastreável a um conceito. Não há elementos arbitrários.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Derivação institucional legítima.</w:t>
      </w:r>
      <w:r>
        <w:t xml:space="preserve"> </w:t>
      </w:r>
      <w:r>
        <w:t xml:space="preserve">A marca nasce dos elementos construtivos da própria instituição.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Polissemia controlada.</w:t>
      </w:r>
      <w:r>
        <w:t xml:space="preserve"> </w:t>
      </w:r>
      <w:r>
        <w:t xml:space="preserve">Múltiplos significados sem ambiguidade. Cada leitura é intencional e complementar às demais.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cubo como restrição.</w:t>
      </w:r>
      <w:r>
        <w:t xml:space="preserve"> </w:t>
      </w:r>
      <w:r>
        <w:t xml:space="preserve">A forma é símbolo e premissa projetual ao mesmo tempo. O produto nasce dentro de limites, como em qualquer projeto real.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Citação do IFB por alusão.</w:t>
      </w:r>
      <w:r>
        <w:t xml:space="preserve"> </w:t>
      </w:r>
      <w:r>
        <w:t xml:space="preserve">A esfera inscrita no cubo é o círculo da marca-mãe. Parentesco sem cópia.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Narrativa formativa.</w:t>
      </w:r>
      <w:r>
        <w:t xml:space="preserve"> </w:t>
      </w:r>
      <w:r>
        <w:t xml:space="preserve">A marca conta a história da formação do aluno, criando conexão e pertencimento.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Versatilidade sistêmica.</w:t>
      </w:r>
      <w:r>
        <w:t xml:space="preserve"> </w:t>
      </w:r>
      <w:r>
        <w:t xml:space="preserve">Projetada como sistema, não como peça única.</w:t>
      </w:r>
    </w:p>
    <w:bookmarkEnd w:id="51"/>
    <w:bookmarkStart w:id="52" w:name="especificações-técnicas"/>
    <w:p>
      <w:pPr>
        <w:pStyle w:val="Heading1"/>
      </w:pPr>
      <w:r>
        <w:t xml:space="preserve">10. Especificações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Especificação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Formatos de arquivo</w:t>
            </w:r>
          </w:p>
        </w:tc>
        <w:tc>
          <w:tcPr/>
          <w:p>
            <w:pPr>
              <w:pStyle w:val="Compact"/>
            </w:pPr>
            <w:r>
              <w:t xml:space="preserve">AI, PDF (vetorial), SVG, PNG (transparência), 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de cor, impressão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de cor, tela</w:t>
            </w:r>
          </w:p>
        </w:tc>
        <w:tc>
          <w:tcPr/>
          <w:p>
            <w:pPr>
              <w:pStyle w:val="Compact"/>
            </w:pPr>
            <w:r>
              <w:t xml:space="preserve">sRGB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Tipografia</w:t>
            </w:r>
          </w:p>
        </w:tc>
        <w:tc>
          <w:tcPr/>
          <w:p>
            <w:pPr>
              <w:pStyle w:val="Compact"/>
            </w:pPr>
            <w:r>
              <w:t xml:space="preserve">[Nome da fonte], [Peso(s)]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mínima, impressão</w:t>
            </w:r>
          </w:p>
        </w:tc>
        <w:tc>
          <w:tcPr/>
          <w:p>
            <w:pPr>
              <w:pStyle w:val="Compact"/>
            </w:pPr>
            <w:r>
              <w:t xml:space="preserve">[X]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mínima, tela</w:t>
            </w:r>
          </w:p>
        </w:tc>
        <w:tc>
          <w:tcPr/>
          <w:p>
            <w:pPr>
              <w:pStyle w:val="Compact"/>
            </w:pPr>
            <w:r>
              <w:t xml:space="preserve">[X]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proteção</w:t>
            </w:r>
          </w:p>
        </w:tc>
        <w:tc>
          <w:tcPr/>
          <w:p>
            <w:pPr>
              <w:pStyle w:val="Compact"/>
            </w:pPr>
            <w:r>
              <w:t xml:space="preserve">[X]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Versões entregues</w:t>
            </w:r>
          </w:p>
        </w:tc>
        <w:tc>
          <w:tcPr/>
          <w:p>
            <w:pPr>
              <w:pStyle w:val="Compact"/>
            </w:pPr>
            <w:r>
              <w:t xml:space="preserve">Principal, vertical, símbolo isolado, mono positiva, mono negativa</w:t>
            </w:r>
          </w:p>
        </w:tc>
      </w:tr>
    </w:tbl>
    <w:bookmarkEnd w:id="52"/>
    <w:bookmarkStart w:id="53" w:name="conclusão"/>
    <w:p>
      <w:pPr>
        <w:pStyle w:val="Heading1"/>
      </w:pPr>
      <w:r>
        <w:t xml:space="preserve">11. Conclusão</w:t>
      </w:r>
    </w:p>
    <w:p>
      <w:pPr>
        <w:pStyle w:val="FirstParagraph"/>
      </w:pPr>
      <w:r>
        <w:t xml:space="preserve">Esta proposta nasceu de uma pergunta que parece simples: como dar rosto a um curso que forma gente pra transformar matéria em artefato? A resposta foi um cubo. Um cubo que contém, que restringe, que se abre em quatro leituras e que, no fundo, faz exatamente o que o curso ensina a fazer: extrair de uma forma limitada o máximo de significado possível.</w:t>
      </w:r>
    </w:p>
    <w:p>
      <w:pPr>
        <w:pStyle w:val="BodyText"/>
      </w:pPr>
      <w:r>
        <w:t xml:space="preserve">A marca é, ela mesma, um exercício de Design de Produto. Um artefato visual projetado com método, intenção e atenção aos requisitos do contexto. Se funcionar bem, vai demonstrar pelo próprio exemplo os valores que o curso busca formar: rigor, criatividade, fundamentação e capacidade de síntese.</w:t>
      </w:r>
    </w:p>
    <w:p>
      <w:pPr>
        <w:pStyle w:val="BodyText"/>
      </w:pPr>
      <w:r>
        <w:t xml:space="preserve">Acho que funciona. Mas quem vai confirmar isso é o uso.</w:t>
      </w:r>
    </w:p>
    <w:bookmarkEnd w:id="53"/>
    <w:bookmarkStart w:id="54" w:name="referências"/>
    <w:p>
      <w:pPr>
        <w:pStyle w:val="Heading1"/>
      </w:pPr>
      <w:r>
        <w:t xml:space="preserve">12. Referências</w:t>
      </w:r>
    </w:p>
    <w:p>
      <w:pPr>
        <w:pStyle w:val="FirstParagraph"/>
      </w:pPr>
      <w:r>
        <w:t xml:space="preserve">ARNHEIM, Rudolf.</w:t>
      </w:r>
      <w:r>
        <w:t xml:space="preserve"> </w:t>
      </w:r>
      <w:r>
        <w:rPr>
          <w:b/>
          <w:bCs/>
        </w:rPr>
        <w:t xml:space="preserve">Arte e percepção visual</w:t>
      </w:r>
      <w:r>
        <w:t xml:space="preserve">: uma psicologia da visão criadora. São Paulo: Cengage Learning, 1974.</w:t>
      </w:r>
    </w:p>
    <w:p>
      <w:pPr>
        <w:pStyle w:val="BodyText"/>
      </w:pPr>
      <w:r>
        <w:t xml:space="preserve">BONSIEPE, Gui.</w:t>
      </w:r>
      <w:r>
        <w:t xml:space="preserve"> </w:t>
      </w:r>
      <w:r>
        <w:rPr>
          <w:b/>
          <w:bCs/>
        </w:rPr>
        <w:t xml:space="preserve">Design: do material ao digital</w:t>
      </w:r>
      <w:r>
        <w:t xml:space="preserve">. Florianópolis: FIESC/IEL, 1997.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nº 11.892, de 29 de dezembro de 2008</w:t>
      </w:r>
      <w:r>
        <w:t xml:space="preserve">. Institui a Rede Federal de Educação Profissional, Científica e Tecnológica.</w:t>
      </w:r>
    </w:p>
    <w:p>
      <w:pPr>
        <w:pStyle w:val="BodyText"/>
      </w:pPr>
      <w:r>
        <w:t xml:space="preserve">BRINGHURST, Robert.</w:t>
      </w:r>
      <w:r>
        <w:t xml:space="preserve"> </w:t>
      </w:r>
      <w:r>
        <w:rPr>
          <w:b/>
          <w:bCs/>
        </w:rPr>
        <w:t xml:space="preserve">Elementos do estilo tipográfico</w:t>
      </w:r>
      <w:r>
        <w:t xml:space="preserve">. São Paulo: Cosac Naify, 2005.</w:t>
      </w:r>
    </w:p>
    <w:p>
      <w:pPr>
        <w:pStyle w:val="BodyText"/>
      </w:pPr>
      <w:r>
        <w:t xml:space="preserve">BÜRDEK, Bernhard E.</w:t>
      </w:r>
      <w:r>
        <w:t xml:space="preserve"> </w:t>
      </w:r>
      <w:r>
        <w:rPr>
          <w:b/>
          <w:bCs/>
        </w:rPr>
        <w:t xml:space="preserve">Design</w:t>
      </w:r>
      <w:r>
        <w:t xml:space="preserve">: história, teoria e prática do design de produto. São Paulo: Edgard Blücher, 2006.</w:t>
      </w:r>
    </w:p>
    <w:p>
      <w:pPr>
        <w:pStyle w:val="BodyText"/>
      </w:pPr>
      <w:r>
        <w:t xml:space="preserve">COSTA, Joan.</w:t>
      </w:r>
      <w:r>
        <w:t xml:space="preserve"> </w:t>
      </w:r>
      <w:r>
        <w:rPr>
          <w:b/>
          <w:bCs/>
        </w:rPr>
        <w:t xml:space="preserve">Design para os olhos</w:t>
      </w:r>
      <w:r>
        <w:t xml:space="preserve">: marca, cor, identidade, sinalética. Lisboa: Dinalivro, 2011.</w:t>
      </w:r>
    </w:p>
    <w:p>
      <w:pPr>
        <w:pStyle w:val="BodyText"/>
      </w:pPr>
      <w:r>
        <w:t xml:space="preserve">DONDIS, Donis A.</w:t>
      </w:r>
      <w:r>
        <w:t xml:space="preserve"> </w:t>
      </w:r>
      <w:r>
        <w:rPr>
          <w:b/>
          <w:bCs/>
        </w:rPr>
        <w:t xml:space="preserve">Sintaxe da linguagem visual</w:t>
      </w:r>
      <w:r>
        <w:t xml:space="preserve">. São Paulo: Martins Fontes, 1991.</w:t>
      </w:r>
    </w:p>
    <w:p>
      <w:pPr>
        <w:pStyle w:val="BodyText"/>
      </w:pPr>
      <w:r>
        <w:t xml:space="preserve">ECO, Umberto.</w:t>
      </w:r>
      <w:r>
        <w:t xml:space="preserve"> </w:t>
      </w:r>
      <w:r>
        <w:rPr>
          <w:b/>
          <w:bCs/>
        </w:rPr>
        <w:t xml:space="preserve">Tratado geral de semiótica</w:t>
      </w:r>
      <w:r>
        <w:t xml:space="preserve">. São Paulo: Perspectiva, 2014.</w:t>
      </w:r>
    </w:p>
    <w:p>
      <w:pPr>
        <w:pStyle w:val="BodyText"/>
      </w:pPr>
      <w:r>
        <w:t xml:space="preserve">FLUSSER, Vilém.</w:t>
      </w:r>
      <w:r>
        <w:t xml:space="preserve"> </w:t>
      </w:r>
      <w:r>
        <w:rPr>
          <w:b/>
          <w:bCs/>
        </w:rPr>
        <w:t xml:space="preserve">O mundo codificado</w:t>
      </w:r>
      <w:r>
        <w:t xml:space="preserve">: por uma filosofia do design e da comunicação. São Paulo: Cosac Naify, 2007.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Projeto Pedagógico do Curso Superior de Tecnologia em Design de Produto</w:t>
      </w:r>
      <w:r>
        <w:t xml:space="preserve">. Samambaia-DF: IFB, 2024.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Plano de Desenvolvimento Institucional 2024–2030</w:t>
      </w:r>
      <w:r>
        <w:t xml:space="preserve">. Brasília: IFB, 2024.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Manual de Identidade Visual do IFB</w:t>
      </w:r>
      <w:r>
        <w:t xml:space="preserve">. Brasília: IFB, [s.d.].</w:t>
      </w:r>
    </w:p>
    <w:p>
      <w:pPr>
        <w:pStyle w:val="BodyText"/>
      </w:pPr>
      <w:r>
        <w:t xml:space="preserve">LÖBACH, Bernd.</w:t>
      </w:r>
      <w:r>
        <w:t xml:space="preserve"> </w:t>
      </w:r>
      <w:r>
        <w:rPr>
          <w:b/>
          <w:bCs/>
        </w:rPr>
        <w:t xml:space="preserve">Design industrial</w:t>
      </w:r>
      <w:r>
        <w:t xml:space="preserve">: bases para a configuração dos produtos industriais. São Paulo: Edgard Blücher, 2001.</w:t>
      </w:r>
    </w:p>
    <w:p>
      <w:pPr>
        <w:pStyle w:val="BodyText"/>
      </w:pPr>
      <w:r>
        <w:t xml:space="preserve">LUPTON, Ellen.</w:t>
      </w:r>
      <w:r>
        <w:t xml:space="preserve"> </w:t>
      </w:r>
      <w:r>
        <w:rPr>
          <w:b/>
          <w:bCs/>
        </w:rPr>
        <w:t xml:space="preserve">Pensar com tipos</w:t>
      </w:r>
      <w:r>
        <w:t xml:space="preserve">: guia para designers, escritores, editores e estudantes. São Paulo: Cosac Naify, 2006.</w:t>
      </w:r>
    </w:p>
    <w:p>
      <w:pPr>
        <w:pStyle w:val="BodyText"/>
      </w:pPr>
      <w:r>
        <w:t xml:space="preserve">MOLLERUP, Per.</w:t>
      </w:r>
      <w:r>
        <w:t xml:space="preserve"> </w:t>
      </w:r>
      <w:r>
        <w:rPr>
          <w:b/>
          <w:bCs/>
        </w:rPr>
        <w:t xml:space="preserve">Marks of excellence</w:t>
      </w:r>
      <w:r>
        <w:t xml:space="preserve">: the history and taxonomy of trademarks. London: Phaidon, 2013.</w:t>
      </w:r>
    </w:p>
    <w:p>
      <w:pPr>
        <w:pStyle w:val="BodyText"/>
      </w:pPr>
      <w:r>
        <w:t xml:space="preserve">NEUMEIER, Marty.</w:t>
      </w:r>
      <w:r>
        <w:t xml:space="preserve"> </w:t>
      </w:r>
      <w:r>
        <w:rPr>
          <w:b/>
          <w:bCs/>
        </w:rPr>
        <w:t xml:space="preserve">The brand gap</w:t>
      </w:r>
      <w:r>
        <w:t xml:space="preserve">: o abismo da marca. Porto Alegre: Bookman, 2006.</w:t>
      </w:r>
    </w:p>
    <w:p>
      <w:pPr>
        <w:pStyle w:val="BodyText"/>
      </w:pPr>
      <w:r>
        <w:t xml:space="preserve">PEIRCE, Charles Sanders.</w:t>
      </w:r>
      <w:r>
        <w:t xml:space="preserve"> </w:t>
      </w:r>
      <w:r>
        <w:rPr>
          <w:b/>
          <w:bCs/>
        </w:rPr>
        <w:t xml:space="preserve">Semiótica</w:t>
      </w:r>
      <w:r>
        <w:t xml:space="preserve">. São Paulo: Perspectiva, 2005.</w:t>
      </w:r>
    </w:p>
    <w:p>
      <w:pPr>
        <w:pStyle w:val="BodyText"/>
      </w:pPr>
      <w:r>
        <w:t xml:space="preserve">PEÓN, Maria Luísa.</w:t>
      </w:r>
      <w:r>
        <w:t xml:space="preserve"> </w:t>
      </w:r>
      <w:r>
        <w:rPr>
          <w:b/>
          <w:bCs/>
        </w:rPr>
        <w:t xml:space="preserve">Sistemas de identidade visual</w:t>
      </w:r>
      <w:r>
        <w:t xml:space="preserve">. 4. ed. Rio de Janeiro: 2AB, 2009.</w:t>
      </w:r>
    </w:p>
    <w:p>
      <w:pPr>
        <w:pStyle w:val="BodyText"/>
      </w:pPr>
      <w:r>
        <w:t xml:space="preserve">SANTAELLA, Lucia.</w:t>
      </w:r>
      <w:r>
        <w:t xml:space="preserve"> </w:t>
      </w:r>
      <w:r>
        <w:rPr>
          <w:b/>
          <w:bCs/>
        </w:rPr>
        <w:t xml:space="preserve">Semiótica aplicada</w:t>
      </w:r>
      <w:r>
        <w:t xml:space="preserve">. São Paulo: Cengage Learning, 2002.</w:t>
      </w:r>
    </w:p>
    <w:p>
      <w:pPr>
        <w:pStyle w:val="BodyText"/>
      </w:pPr>
      <w:r>
        <w:t xml:space="preserve">STRUNCK, Gilberto.</w:t>
      </w:r>
      <w:r>
        <w:t xml:space="preserve"> </w:t>
      </w:r>
      <w:r>
        <w:rPr>
          <w:b/>
          <w:bCs/>
        </w:rPr>
        <w:t xml:space="preserve">Como criar identidades visuais para marcas de sucesso</w:t>
      </w:r>
      <w:r>
        <w:t xml:space="preserve">. 4. ed. Rio de Janeiro: Rio Books, 2012.</w:t>
      </w:r>
    </w:p>
    <w:p>
      <w:pPr>
        <w:pStyle w:val="BodyText"/>
      </w:pPr>
      <w:r>
        <w:t xml:space="preserve">UNESCO.</w:t>
      </w:r>
      <w:r>
        <w:t xml:space="preserve"> </w:t>
      </w:r>
      <w:r>
        <w:rPr>
          <w:b/>
          <w:bCs/>
        </w:rPr>
        <w:t xml:space="preserve">Brasília — Creative City of Design</w:t>
      </w:r>
      <w:r>
        <w:t xml:space="preserve">. Disponível em: https://en.unesco.org/creative-cities/brasilia. Acesso em: 10 fev. 2026.</w:t>
      </w:r>
    </w:p>
    <w:p>
      <w:pPr>
        <w:pStyle w:val="BodyText"/>
      </w:pPr>
      <w:r>
        <w:t xml:space="preserve">WHEELER, Alina.</w:t>
      </w:r>
      <w:r>
        <w:t xml:space="preserve"> </w:t>
      </w:r>
      <w:r>
        <w:rPr>
          <w:b/>
          <w:bCs/>
        </w:rPr>
        <w:t xml:space="preserve">Design de identidade de marca</w:t>
      </w:r>
      <w:r>
        <w:t xml:space="preserve">: guia essencial para toda a equipe de gestão de marcas. 5. ed. Porto Alegre: Bookman, 2019.</w:t>
      </w:r>
    </w:p>
    <w:p>
      <w:r>
        <w:pict>
          <v:rect style="width:0;height:1.5pt" o:hralign="center" o:hrstd="t" o:hr="t"/>
        </w:pic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IFB, Plano de Desenvolvimento Institucional 2024–2030.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IFB, Manual de Identidade Visual.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Lei 11.892/2008, art. 6º, inciso III.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PPC do Curso Superior de Tecnologia em Design de Produto, IFB, 2024.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UNESCO, Rede de Cidades Criativas, 2017.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Mollerup (2013).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Wheeler (2019); Strunck (2012); Peón (2009).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IFB, Manual de Identidade Visual.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Flusser (2007); Bonsiepe (1997); Bürdek (2006); Löbach (2001).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Flusser (2007).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Peirce (2005); Santaella (2002); Eco (2014).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Neumeier (2006); Costa (2011).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Arnheim (1974); Dondis (1991).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Arnheim (1974).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Lupton (2006).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Bringhurst (2005).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Narrativa de Construção da Marca</dc:title>
  <dc:creator>Victor Costa</dc:creator>
  <dc:language>pt-BR</dc:language>
  <cp:keywords/>
  <dcterms:created xsi:type="dcterms:W3CDTF">2026-03-05T04:47:39Z</dcterms:created>
  <dcterms:modified xsi:type="dcterms:W3CDTF">2026-03-05T04:47:39Z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Tecnologia em Design de Produto — Instituto Federal de Brasília</vt:lpwstr>
  </property>
</Properties>
</file>