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Doe, MD, PhD</w:t>
      </w:r>
    </w:p>
    <w:p>
      <w:r>
        <w:t>Email: john.doe@example.com | Phone: (555) 123-4567</w:t>
      </w:r>
    </w:p>
    <w:p/>
    <w:p>
      <w:pPr>
        <w:pStyle w:val="Heading1"/>
      </w:pPr>
      <w:r>
        <w:t>Education</w:t>
      </w:r>
    </w:p>
    <w:p>
      <w:r>
        <w:t>MD, PhD - Harvard Medical School, 2015</w:t>
      </w:r>
    </w:p>
    <w:p>
      <w:r>
        <w:t>BS Biology - MIT, 2008</w:t>
      </w:r>
    </w:p>
    <w:p/>
    <w:p>
      <w:pPr>
        <w:pStyle w:val="Heading1"/>
      </w:pPr>
      <w:r>
        <w:t>Research Experience</w:t>
      </w:r>
    </w:p>
    <w:p>
      <w:r>
        <w:t>Phase I</w:t>
      </w:r>
    </w:p>
    <w:p>
      <w:r>
        <w:t>Oncology</w:t>
      </w:r>
    </w:p>
    <w:p>
      <w:r>
        <w:t>2023</w:t>
        <w:tab/>
      </w:r>
      <w:r>
        <w:rPr>
          <w:b/>
        </w:rPr>
        <w:t>Pfizer</w:t>
      </w:r>
      <w:r>
        <w:t xml:space="preserve"> </w:t>
      </w:r>
      <w:r>
        <w:rPr>
          <w:b/>
        </w:rPr>
        <w:t>PF-12345</w:t>
      </w:r>
      <w:r>
        <w:t>: A Phase 1 study of PF-12345 in patients with advanced solid tumors</w:t>
      </w:r>
    </w:p>
    <w:p>
      <w:r>
        <w:t>2022</w:t>
        <w:tab/>
      </w:r>
      <w:r>
        <w:rPr>
          <w:b/>
        </w:rPr>
        <w:t>Novartis</w:t>
      </w:r>
      <w:r>
        <w:t xml:space="preserve"> </w:t>
      </w:r>
      <w:r>
        <w:rPr>
          <w:b/>
        </w:rPr>
        <w:t>NVS-789</w:t>
      </w:r>
      <w:r>
        <w:t>: First-in-human study of NVS-789 for metastatic breast cancer</w:t>
      </w:r>
    </w:p>
    <w:p>
      <w:r>
        <w:t>Cardiology</w:t>
      </w:r>
    </w:p>
    <w:p>
      <w:r>
        <w:t>2021</w:t>
        <w:tab/>
      </w:r>
      <w:r>
        <w:rPr>
          <w:b/>
        </w:rPr>
        <w:t>Merck</w:t>
      </w:r>
      <w:r>
        <w:t xml:space="preserve"> </w:t>
      </w:r>
      <w:r>
        <w:rPr>
          <w:b/>
        </w:rPr>
        <w:t>MK-001</w:t>
      </w:r>
      <w:r>
        <w:t>: Phase 1 dose escalation study of MK-001 in heart failure patients</w:t>
      </w:r>
    </w:p>
    <w:p>
      <w:r>
        <w:t>Phase II–IV</w:t>
      </w:r>
    </w:p>
    <w:p>
      <w:r>
        <w:t>Oncology</w:t>
      </w:r>
    </w:p>
    <w:p>
      <w:r>
        <w:t>2023</w:t>
        <w:tab/>
      </w:r>
      <w:r>
        <w:rPr>
          <w:b/>
        </w:rPr>
        <w:t>Roche</w:t>
      </w:r>
      <w:r>
        <w:t xml:space="preserve"> </w:t>
      </w:r>
      <w:r>
        <w:rPr>
          <w:b/>
        </w:rPr>
        <w:t>RO-555</w:t>
      </w:r>
      <w:r>
        <w:t>: Phase 3 randomized trial of RO-555 vs standard of care in NSCLC</w:t>
      </w:r>
    </w:p>
    <w:p>
      <w:r>
        <w:t>2020</w:t>
        <w:tab/>
      </w:r>
      <w:r>
        <w:rPr>
          <w:b/>
        </w:rPr>
        <w:t>BMS</w:t>
      </w:r>
      <w:r>
        <w:t xml:space="preserve"> </w:t>
      </w:r>
      <w:r>
        <w:rPr>
          <w:b/>
        </w:rPr>
        <w:t>BMS-222</w:t>
      </w:r>
      <w:r>
        <w:t>: Phase 2 study of BMS-222 immunotherapy in melanoma</w:t>
      </w:r>
    </w:p>
    <w:p/>
    <w:p>
      <w:pPr>
        <w:pStyle w:val="Heading1"/>
      </w:pPr>
      <w:r>
        <w:t>Publications</w:t>
      </w:r>
    </w:p>
    <w:p>
      <w:r>
        <w:t>1. Doe J, et al. Novel biomarkers in oncology. Nature Medicine. 2023.</w:t>
      </w:r>
    </w:p>
    <w:p>
      <w:r>
        <w:t>2. Doe J, et al. Advances in immunotherapy. NEJM.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