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30"/>
          <w:szCs w:val="30"/>
        </w:rPr>
        <w:t xml:space="preserve">SUPPLY AND DISTRIBUTION TERMS</w:t>
      </w:r>
    </w:p>
    <w:p>
      <w:pPr>
        <w:spacing w:after="120" w:line="300"/>
        <w:jc w:val="both"/>
      </w:pPr>
      <w:r>
        <w:t xml:space="preserve">These Supply and Distribution Terms are agreed as of February 20, 2025 between Umbrella Supply Chain Ltd. and Keystone Procurement LLC, and the parties, intending to be legally bound, agree as follows in respect of the supply of consumable goods on an as-ordered basis whereby charges accrue according to actual quantities drawn down by the buyer during each monthly cycle and are reconciled at month end.</w:t>
      </w:r>
    </w:p>
    <w:p>
      <w:pPr>
        <w:spacing w:after="120" w:line="300"/>
        <w:jc w:val="both"/>
      </w:pPr>
      <w:r>
        <w:t xml:space="preserve">All amounts invoiced shall be payable upon receipt of the invoice, and a discount of ten percent (10%) shall be applied to the aggregate monthly charges where the buyer has maintained its standing order throughout the relevant month, it being understood that pricing is determined solely by usage and that no fixed periodic fee applies, and the buyer further undertakes that its drawn-down volume shall correspond to a minimum of $15,000 in each calendar month for the duration of the arrangement, failing which the supplier may adjust applicable unit rates.</w:t>
      </w:r>
    </w:p>
    <w:p>
      <w:pPr>
        <w:spacing w:after="120" w:line="300"/>
        <w:jc w:val="both"/>
      </w:pPr>
      <w:r>
        <w:t xml:space="preserve">This arrangement shall run for an initial period of twelve (12) months and shall thereafter continue automatically for further like periods unless either party gives forty-five (45) days written notice before the end of a period, and for the avoidance of doubt there is no right for either party to walk away from the arrangement for convenience during any period, termination being permitted only where the other party has committed a serious breach which it has failed to remedy.</w:t>
      </w:r>
    </w:p>
    <w:p>
      <w:pPr>
        <w:spacing w:after="120" w:line="300"/>
        <w:jc w:val="both"/>
      </w:pPr>
      <w:r>
        <w:t xml:space="preserve">Neither party shall be liable for indirect or consequential losses, and save as expressly stated nothing in these terms shall be taken to create any indemnity in favour of either party, each party bearing its own losses except to the extent prohibited by law.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2026-06-26T14:04:43.636Z</dcterms:created>
  <dcterms:modified xsi:type="dcterms:W3CDTF">2026-06-26T14:04:43.636Z</dcterms:modified>
</cp:coreProperties>
</file>

<file path=docProps/custom.xml><?xml version="1.0" encoding="utf-8"?>
<Properties xmlns="http://schemas.openxmlformats.org/officeDocument/2006/custom-properties" xmlns:vt="http://schemas.openxmlformats.org/officeDocument/2006/docPropsVTypes"/>
</file>