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HY헤드라인M" w:cs="HY헤드라인M" w:eastAsia="HY헤드라인M" w:hAnsi="HY헤드라인M"/>
          <w:b/>
          <w:bCs/>
          <w:color w:val="7A1F3D"/>
          <w:sz w:val="44"/>
          <w:szCs w:val="44"/>
        </w:rPr>
        <w:t xml:space="preserve">투자심의보고서</w:t>
      </w:r>
    </w:p>
    <w:p>
      <w:pPr>
        <w:jc w:val="center"/>
      </w:pPr>
      <w:r>
        <w:rPr>
          <w:rFonts w:ascii="바탕" w:cs="바탕" w:eastAsia="바탕" w:hAnsi="바탕"/>
          <w:sz w:val="24"/>
          <w:szCs w:val="24"/>
        </w:rPr>
        <w:t xml:space="preserve">{{기업명}}</w:t>
      </w:r>
    </w:p>
    <w:p>
      <w:pPr>
        <w:pStyle w:val="Heading1"/>
      </w:pPr>
      <w:r>
        <w:rPr>
          <w:rFonts w:ascii="HY헤드라인M" w:cs="HY헤드라인M" w:eastAsia="HY헤드라인M" w:hAnsi="HY헤드라인M"/>
          <w:b/>
          <w:bCs/>
          <w:color w:val="7A1F3D"/>
          <w:sz w:val="28"/>
          <w:szCs w:val="28"/>
        </w:rPr>
        <w:t xml:space="preserve">1. 투자개요</w:t>
      </w:r>
    </w:p>
    <w:p>
      <w:r>
        <w:rPr>
          <w:rFonts w:ascii="바탕" w:cs="바탕" w:eastAsia="바탕" w:hAnsi="바탕"/>
          <w:sz w:val="20"/>
          <w:szCs w:val="20"/>
        </w:rPr>
        <w:t xml:space="preserve">(작성 요령) 투자 배경과 조건 기술</w:t>
      </w:r>
    </w:p>
    <w:p>
      <w:pPr>
        <w:pStyle w:val="Heading1"/>
      </w:pPr>
      <w:r>
        <w:rPr>
          <w:rFonts w:ascii="HY헤드라인M" w:cs="HY헤드라인M" w:eastAsia="HY헤드라인M" w:hAnsi="HY헤드라인M"/>
          <w:b/>
          <w:bCs/>
          <w:color w:val="7A1F3D"/>
          <w:sz w:val="28"/>
          <w:szCs w:val="28"/>
        </w:rPr>
        <w:t xml:space="preserve">2. 회사개요</w:t>
      </w:r>
    </w:p>
    <w:p>
      <w:r>
        <w:rPr>
          <w:rFonts w:ascii="바탕" w:cs="바탕" w:eastAsia="바탕" w:hAnsi="바탕"/>
          <w:sz w:val="20"/>
          <w:szCs w:val="20"/>
        </w:rPr>
        <w:t xml:space="preserve">(작성 요령) 설립일·대표자·주주구성</w:t>
      </w:r>
    </w:p>
    <w:p>
      <w:pPr>
        <w:pStyle w:val="Heading1"/>
      </w:pPr>
      <w:r>
        <w:rPr>
          <w:rFonts w:ascii="HY헤드라인M" w:cs="HY헤드라인M" w:eastAsia="HY헤드라인M" w:hAnsi="HY헤드라인M"/>
          <w:b/>
          <w:bCs/>
          <w:color w:val="7A1F3D"/>
          <w:sz w:val="28"/>
          <w:szCs w:val="28"/>
        </w:rPr>
        <w:t xml:space="preserve">3. 제품/기술</w:t>
      </w:r>
    </w:p>
    <w:p>
      <w:r>
        <w:rPr>
          <w:rFonts w:ascii="바탕" w:cs="바탕" w:eastAsia="바탕" w:hAnsi="바탕"/>
          <w:sz w:val="20"/>
          <w:szCs w:val="20"/>
        </w:rPr>
        <w:t xml:space="preserve">(작성 요령) 핵심 기술과 차별성</w:t>
      </w:r>
    </w:p>
    <w:p>
      <w:pPr>
        <w:pStyle w:val="Heading1"/>
      </w:pPr>
      <w:r>
        <w:rPr>
          <w:rFonts w:ascii="HY헤드라인M" w:cs="HY헤드라인M" w:eastAsia="HY헤드라인M" w:hAnsi="HY헤드라인M"/>
          <w:b/>
          <w:bCs/>
          <w:color w:val="7A1F3D"/>
          <w:sz w:val="28"/>
          <w:szCs w:val="28"/>
        </w:rPr>
        <w:t xml:space="preserve">4. 시장분석</w:t>
      </w:r>
    </w:p>
    <w:p>
      <w:r>
        <w:rPr>
          <w:rFonts w:ascii="바탕" w:cs="바탕" w:eastAsia="바탕" w:hAnsi="바탕"/>
          <w:sz w:val="20"/>
          <w:szCs w:val="20"/>
        </w:rPr>
        <w:t xml:space="preserve">(작성 요령) TAM/SAM/SOM</w:t>
      </w:r>
    </w:p>
    <w:p>
      <w:pPr>
        <w:pStyle w:val="Heading1"/>
      </w:pPr>
      <w:r>
        <w:rPr>
          <w:rFonts w:ascii="HY헤드라인M" w:cs="HY헤드라인M" w:eastAsia="HY헤드라인M" w:hAnsi="HY헤드라인M"/>
          <w:b/>
          <w:bCs/>
          <w:color w:val="7A1F3D"/>
          <w:sz w:val="28"/>
          <w:szCs w:val="28"/>
        </w:rPr>
        <w:t xml:space="preserve">5. 재무현황</w:t>
      </w:r>
    </w:p>
    <w:p>
      <w:r>
        <w:rPr>
          <w:rFonts w:ascii="바탕" w:cs="바탕" w:eastAsia="바탕" w:hAnsi="바탕"/>
          <w:sz w:val="20"/>
          <w:szCs w:val="20"/>
        </w:rPr>
        <w:t xml:space="preserve">(작성 요령) 손익 및 현금흐름</w:t>
      </w:r>
    </w:p>
    <w:p>
      <w:pPr>
        <w:pStyle w:val="Heading1"/>
      </w:pPr>
      <w:r>
        <w:rPr>
          <w:rFonts w:ascii="HY헤드라인M" w:cs="HY헤드라인M" w:eastAsia="HY헤드라인M" w:hAnsi="HY헤드라인M"/>
          <w:b/>
          <w:bCs/>
          <w:color w:val="7A1F3D"/>
          <w:sz w:val="28"/>
          <w:szCs w:val="28"/>
        </w:rPr>
        <w:t xml:space="preserve">6. 리스크</w:t>
      </w:r>
    </w:p>
    <w:p>
      <w:r>
        <w:rPr>
          <w:rFonts w:ascii="바탕" w:cs="바탕" w:eastAsia="바탕" w:hAnsi="바탕"/>
          <w:sz w:val="20"/>
          <w:szCs w:val="20"/>
        </w:rPr>
        <w:t xml:space="preserve">(작성 요령) 주요 리스크와 완화 방안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본 문서는 대외비입니다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Y헤드라인M" w:cs="HY헤드라인M" w:eastAsia="HY헤드라인M" w:hAnsi="HY헤드라인M"/>
        <w:color w:val="7A1F3D"/>
        <w:sz w:val="16"/>
        <w:szCs w:val="16"/>
      </w:rPr>
      <w:t xml:space="preserve">대한벤처투자 투자심의위원회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2026-07-27T03:12:20.181Z</dcterms:created>
  <dcterms:modified xsi:type="dcterms:W3CDTF">2026-07-27T03:12:20.181Z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