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F172A"/>
          <w:sz w:val="48"/>
        </w:rPr>
        <w:t>GLINT — SYSTEM SPECIFICATION &amp; DELIVERY PLAN</w:t>
      </w:r>
    </w:p>
    <w:p>
      <w:pPr>
        <w:spacing w:after="720"/>
        <w:jc w:val="center"/>
      </w:pPr>
      <w:r>
        <w:rPr>
          <w:rFonts w:ascii="Arial" w:hAnsi="Arial"/>
          <w:i/>
          <w:color w:val="64748B"/>
          <w:sz w:val="24"/>
        </w:rPr>
        <w:t>Digital Certificate Issuance &amp; Verification Platform — Complete Tech Stack, Module Documentation &amp; Delivery Schedule</w:t>
      </w:r>
    </w:p>
    <w:tbl>
      <w:tblPr>
        <w:tblW w:type="auto" w:w="0"/>
        <w:jc w:val="center"/>
        <w:tblLook w:firstColumn="1" w:firstRow="1" w:lastColumn="0" w:lastRow="0" w:noHBand="0" w:noVBand="1" w:val="04A0"/>
      </w:tblPr>
      <w:tblGrid>
        <w:gridCol w:w="4680"/>
        <w:gridCol w:w="4680"/>
      </w:tblGrid>
      <w:tr>
        <w:tc>
          <w:tcPr>
            <w:tcW w:type="dxa" w:w="4680"/>
            <w:tcMar>
              <w:top w:w="40" w:type="dxa"/>
              <w:bottom w:w="40" w:type="dxa"/>
              <w:left w:w="100" w:type="dxa"/>
              <w:right w:w="100" w:type="dxa"/>
            </w:tcMar>
          </w:tcPr>
          <w:p>
            <w:pPr>
              <w:spacing w:after="60"/>
            </w:pPr>
            <w:r>
              <w:rPr>
                <w:rFonts w:ascii="Calibri" w:hAnsi="Calibri"/>
                <w:b/>
                <w:color w:val="475569"/>
                <w:sz w:val="20"/>
              </w:rPr>
              <w:t>Project Owner:</w:t>
            </w:r>
          </w:p>
        </w:tc>
        <w:tc>
          <w:tcPr>
            <w:tcW w:type="dxa" w:w="4680"/>
            <w:tcMar>
              <w:top w:w="40" w:type="dxa"/>
              <w:bottom w:w="40" w:type="dxa"/>
              <w:left w:w="100" w:type="dxa"/>
              <w:right w:w="100" w:type="dxa"/>
            </w:tcMar>
          </w:tcPr>
          <w:p>
            <w:pPr>
              <w:spacing w:after="60"/>
            </w:pPr>
            <w:r>
              <w:rPr>
                <w:rFonts w:ascii="Calibri" w:hAnsi="Calibri"/>
                <w:color w:val="0F172A"/>
                <w:sz w:val="20"/>
              </w:rPr>
              <w:t>Glint Development Team</w:t>
            </w:r>
          </w:p>
        </w:tc>
      </w:tr>
      <w:tr>
        <w:tc>
          <w:tcPr>
            <w:tcW w:type="dxa" w:w="4680"/>
            <w:tcMar>
              <w:top w:w="40" w:type="dxa"/>
              <w:bottom w:w="40" w:type="dxa"/>
              <w:left w:w="100" w:type="dxa"/>
              <w:right w:w="100" w:type="dxa"/>
            </w:tcMar>
          </w:tcPr>
          <w:p>
            <w:pPr>
              <w:spacing w:after="60"/>
            </w:pPr>
            <w:r>
              <w:rPr>
                <w:rFonts w:ascii="Calibri" w:hAnsi="Calibri"/>
                <w:b/>
                <w:color w:val="475569"/>
                <w:sz w:val="20"/>
              </w:rPr>
              <w:t>Current Date:</w:t>
            </w:r>
          </w:p>
        </w:tc>
        <w:tc>
          <w:tcPr>
            <w:tcW w:type="dxa" w:w="4680"/>
            <w:tcMar>
              <w:top w:w="40" w:type="dxa"/>
              <w:bottom w:w="40" w:type="dxa"/>
              <w:left w:w="100" w:type="dxa"/>
              <w:right w:w="100" w:type="dxa"/>
            </w:tcMar>
          </w:tcPr>
          <w:p>
            <w:pPr>
              <w:spacing w:after="60"/>
            </w:pPr>
            <w:r>
              <w:rPr>
                <w:rFonts w:ascii="Calibri" w:hAnsi="Calibri"/>
                <w:color w:val="0F172A"/>
                <w:sz w:val="20"/>
              </w:rPr>
              <w:t>June 23, 2026</w:t>
            </w:r>
          </w:p>
        </w:tc>
      </w:tr>
      <w:tr>
        <w:tc>
          <w:tcPr>
            <w:tcW w:type="dxa" w:w="4680"/>
            <w:tcMar>
              <w:top w:w="40" w:type="dxa"/>
              <w:bottom w:w="40" w:type="dxa"/>
              <w:left w:w="100" w:type="dxa"/>
              <w:right w:w="100" w:type="dxa"/>
            </w:tcMar>
          </w:tcPr>
          <w:p>
            <w:pPr>
              <w:spacing w:after="60"/>
            </w:pPr>
            <w:r>
              <w:rPr>
                <w:rFonts w:ascii="Calibri" w:hAnsi="Calibri"/>
                <w:b/>
                <w:color w:val="475569"/>
                <w:sz w:val="20"/>
              </w:rPr>
              <w:t>Final Target Deadline:</w:t>
            </w:r>
          </w:p>
        </w:tc>
        <w:tc>
          <w:tcPr>
            <w:tcW w:type="dxa" w:w="4680"/>
            <w:tcMar>
              <w:top w:w="40" w:type="dxa"/>
              <w:bottom w:w="40" w:type="dxa"/>
              <w:left w:w="100" w:type="dxa"/>
              <w:right w:w="100" w:type="dxa"/>
            </w:tcMar>
          </w:tcPr>
          <w:p>
            <w:pPr>
              <w:spacing w:after="60"/>
            </w:pPr>
            <w:r>
              <w:rPr>
                <w:rFonts w:ascii="Calibri" w:hAnsi="Calibri"/>
                <w:b/>
                <w:color w:val="DC2626"/>
                <w:sz w:val="20"/>
              </w:rPr>
              <w:t>Friday, June 26, 2026</w:t>
            </w:r>
          </w:p>
        </w:tc>
      </w:tr>
      <w:tr>
        <w:tc>
          <w:tcPr>
            <w:tcW w:type="dxa" w:w="4680"/>
            <w:tcMar>
              <w:top w:w="40" w:type="dxa"/>
              <w:bottom w:w="40" w:type="dxa"/>
              <w:left w:w="100" w:type="dxa"/>
              <w:right w:w="100" w:type="dxa"/>
            </w:tcMar>
          </w:tcPr>
          <w:p>
            <w:pPr>
              <w:spacing w:after="60"/>
            </w:pPr>
            <w:r>
              <w:rPr>
                <w:rFonts w:ascii="Calibri" w:hAnsi="Calibri"/>
                <w:b/>
                <w:color w:val="475569"/>
                <w:sz w:val="20"/>
              </w:rPr>
              <w:t>Document Status:</w:t>
            </w:r>
          </w:p>
        </w:tc>
        <w:tc>
          <w:tcPr>
            <w:tcW w:type="dxa" w:w="4680"/>
            <w:tcMar>
              <w:top w:w="40" w:type="dxa"/>
              <w:bottom w:w="40" w:type="dxa"/>
              <w:left w:w="100" w:type="dxa"/>
              <w:right w:w="100" w:type="dxa"/>
            </w:tcMar>
          </w:tcPr>
          <w:p>
            <w:pPr>
              <w:spacing w:after="60"/>
            </w:pPr>
            <w:r>
              <w:rPr>
                <w:rFonts w:ascii="Calibri" w:hAnsi="Calibri"/>
                <w:color w:val="0F172A"/>
                <w:sz w:val="20"/>
              </w:rPr>
              <w:t>Official Specification &amp; Release Schedule</w:t>
            </w:r>
          </w:p>
        </w:tc>
      </w:tr>
    </w:tbl>
    <w:p>
      <w:r>
        <w:br w:type="page"/>
      </w:r>
    </w:p>
    <w:p>
      <w:pPr>
        <w:pStyle w:val="Heading1"/>
        <w:keepNext/>
        <w:spacing w:before="360" w:after="120"/>
        <w:pBdr>
          <w:bottom w:val="single" w:sz="6" w:space="4" w:color="CBD5E1"/>
        </w:pBdr>
      </w:pPr>
      <w:r>
        <w:rPr>
          <w:rFonts w:ascii="Arial" w:hAnsi="Arial"/>
          <w:b/>
          <w:color w:val="0F172A"/>
          <w:sz w:val="36"/>
        </w:rPr>
        <w:t>1. Executive Summary</w:t>
      </w:r>
    </w:p>
    <w:p>
      <w:pPr>
        <w:spacing w:after="120" w:line="276" w:lineRule="auto"/>
      </w:pPr>
      <w:r>
        <w:rPr>
          <w:rFonts w:ascii="Calibri" w:hAnsi="Calibri"/>
          <w:b w:val="0"/>
          <w:i w:val="0"/>
          <w:color w:val="334155"/>
          <w:sz w:val="22"/>
        </w:rPr>
        <w:t>Glint is an enterprise-grade digital credentialing system that enables organizations to design bespoke certificates using an interactive drag-and-drop Canva-style editor, leverage Gemini AI for instant layout and design generations, manage bulk recipient issuances, and offer cryptographically secure verification portals.</w:t>
      </w:r>
    </w:p>
    <w:p>
      <w:pPr>
        <w:spacing w:after="120" w:line="276" w:lineRule="auto"/>
      </w:pPr>
      <w:r>
        <w:rPr>
          <w:rFonts w:ascii="Calibri" w:hAnsi="Calibri"/>
          <w:b w:val="0"/>
          <w:i w:val="0"/>
          <w:color w:val="334155"/>
          <w:sz w:val="22"/>
        </w:rPr>
        <w:t>This document serves as the formal technology blueprint and release planning guide. All primary modules of the dashboard have been defined, and the core database schema is deployed. The project is currently entering its final integration testing phase, with the absolute target completion deadline scheduled for this coming Friday, June 26, 2026.</w:t>
      </w:r>
    </w:p>
    <w:p>
      <w:pPr>
        <w:pStyle w:val="Heading1"/>
        <w:keepNext/>
        <w:spacing w:before="360" w:after="120"/>
        <w:pBdr>
          <w:bottom w:val="single" w:sz="6" w:space="4" w:color="CBD5E1"/>
        </w:pBdr>
      </w:pPr>
      <w:r>
        <w:rPr>
          <w:rFonts w:ascii="Arial" w:hAnsi="Arial"/>
          <w:b/>
          <w:color w:val="0F172A"/>
          <w:sz w:val="36"/>
        </w:rPr>
        <w:t>2. Sidebar Dashboard Modules</w:t>
      </w:r>
    </w:p>
    <w:p>
      <w:pPr>
        <w:spacing w:after="120" w:line="276" w:lineRule="auto"/>
      </w:pPr>
      <w:r>
        <w:rPr>
          <w:rFonts w:ascii="Calibri" w:hAnsi="Calibri"/>
          <w:b w:val="0"/>
          <w:i w:val="0"/>
          <w:color w:val="334155"/>
          <w:sz w:val="22"/>
        </w:rPr>
        <w:t>The Glint control panel is organized into specialized management screens to guide organization admins through the design, validation, issuance, and audit phases. Below is a detailed description of each tab element:</w:t>
      </w:r>
    </w:p>
    <w:p>
      <w:pPr>
        <w:pStyle w:val="ListBullet"/>
        <w:spacing w:after="60" w:line="276" w:lineRule="auto"/>
      </w:pPr>
      <w:r>
        <w:rPr>
          <w:rFonts w:ascii="Calibri" w:hAnsi="Calibri"/>
          <w:b/>
          <w:color w:val="0F172A"/>
          <w:sz w:val="22"/>
        </w:rPr>
        <w:t xml:space="preserve">Active Workspace Dropdown: </w:t>
      </w:r>
      <w:r>
        <w:rPr>
          <w:rFonts w:ascii="Calibri" w:hAnsi="Calibri"/>
          <w:color w:val="334155"/>
          <w:sz w:val="22"/>
        </w:rPr>
        <w:t>Allows shifting contexts between different tenant departments or training sub-organizations (e.g., Google Cloud Training). All templates, programs, and ledger records instantly swap to the selected workspace.</w:t>
      </w:r>
    </w:p>
    <w:p>
      <w:pPr>
        <w:pStyle w:val="ListBullet"/>
        <w:spacing w:after="60" w:line="276" w:lineRule="auto"/>
      </w:pPr>
      <w:r>
        <w:rPr>
          <w:rFonts w:ascii="Calibri" w:hAnsi="Calibri"/>
          <w:b/>
          <w:color w:val="0F172A"/>
          <w:sz w:val="22"/>
        </w:rPr>
        <w:t xml:space="preserve">Onboard New Organization: </w:t>
      </w:r>
      <w:r>
        <w:rPr>
          <w:rFonts w:ascii="Calibri" w:hAnsi="Calibri"/>
          <w:color w:val="334155"/>
          <w:sz w:val="22"/>
        </w:rPr>
        <w:t>A portal management tool allowing tenant admins to spawn new workspaces, define brand slugs, assign logos, and custom color configurations.</w:t>
      </w:r>
    </w:p>
    <w:p>
      <w:pPr>
        <w:pStyle w:val="ListBullet"/>
        <w:spacing w:after="60" w:line="276" w:lineRule="auto"/>
      </w:pPr>
      <w:r>
        <w:rPr>
          <w:rFonts w:ascii="Calibri" w:hAnsi="Calibri"/>
          <w:b/>
          <w:color w:val="0F172A"/>
          <w:sz w:val="22"/>
        </w:rPr>
        <w:t xml:space="preserve">Workspace Overview: </w:t>
      </w:r>
      <w:r>
        <w:rPr>
          <w:rFonts w:ascii="Calibri" w:hAnsi="Calibri"/>
          <w:color w:val="334155"/>
          <w:sz w:val="22"/>
        </w:rPr>
        <w:t>An analytics landing deck showing metrics like total issued credentials, certificate page views, PDF downloads, and social share trends in real-time.</w:t>
      </w:r>
    </w:p>
    <w:p>
      <w:pPr>
        <w:pStyle w:val="ListBullet"/>
        <w:spacing w:after="60" w:line="276" w:lineRule="auto"/>
      </w:pPr>
      <w:r>
        <w:rPr>
          <w:rFonts w:ascii="Calibri" w:hAnsi="Calibri"/>
          <w:b/>
          <w:color w:val="0F172A"/>
          <w:sz w:val="22"/>
        </w:rPr>
        <w:t xml:space="preserve">Certification Programs: </w:t>
      </w:r>
      <w:r>
        <w:rPr>
          <w:rFonts w:ascii="Calibri" w:hAnsi="Calibri"/>
          <w:color w:val="334155"/>
          <w:sz w:val="22"/>
        </w:rPr>
        <w:t>Curriculum coordinator used to manage courses or certification events, bind them to templates, set issue/expiration terms, and track program status (Draft/Active).</w:t>
      </w:r>
    </w:p>
    <w:p>
      <w:pPr>
        <w:pStyle w:val="ListBullet"/>
        <w:spacing w:after="60" w:line="276" w:lineRule="auto"/>
      </w:pPr>
      <w:r>
        <w:rPr>
          <w:rFonts w:ascii="Calibri" w:hAnsi="Calibri"/>
          <w:b/>
          <w:color w:val="0F172A"/>
          <w:sz w:val="22"/>
        </w:rPr>
        <w:t xml:space="preserve">Layout Templates: </w:t>
      </w:r>
      <w:r>
        <w:rPr>
          <w:rFonts w:ascii="Calibri" w:hAnsi="Calibri"/>
          <w:color w:val="334155"/>
          <w:sz w:val="22"/>
        </w:rPr>
        <w:t>A Canva-style template editor. Includes drag-and-drop styling, background gradient rules, SVG decorative borders, signatures, dynamic text slots, and a Gemini AI designer companion for prompt-based layouts.</w:t>
      </w:r>
    </w:p>
    <w:p>
      <w:pPr>
        <w:pStyle w:val="ListBullet"/>
        <w:spacing w:after="60" w:line="276" w:lineRule="auto"/>
      </w:pPr>
      <w:r>
        <w:rPr>
          <w:rFonts w:ascii="Calibri" w:hAnsi="Calibri"/>
          <w:b/>
          <w:color w:val="0F172A"/>
          <w:sz w:val="22"/>
        </w:rPr>
        <w:t xml:space="preserve">Bulk CSV Issuance: </w:t>
      </w:r>
      <w:r>
        <w:rPr>
          <w:rFonts w:ascii="Calibri" w:hAnsi="Calibri"/>
          <w:color w:val="334155"/>
          <w:sz w:val="22"/>
        </w:rPr>
        <w:t>A batch dispatcher allowing CSV list uploads. Validates column headers, maps dynamic recipient parameters, and initiates asynchronous background issuance runs.</w:t>
      </w:r>
    </w:p>
    <w:p>
      <w:pPr>
        <w:pStyle w:val="ListBullet"/>
        <w:spacing w:after="60" w:line="276" w:lineRule="auto"/>
      </w:pPr>
      <w:r>
        <w:rPr>
          <w:rFonts w:ascii="Calibri" w:hAnsi="Calibri"/>
          <w:b/>
          <w:color w:val="0F172A"/>
          <w:sz w:val="22"/>
        </w:rPr>
        <w:t xml:space="preserve">Issued Registry: </w:t>
      </w:r>
      <w:r>
        <w:rPr>
          <w:rFonts w:ascii="Calibri" w:hAnsi="Calibri"/>
          <w:color w:val="334155"/>
          <w:sz w:val="22"/>
        </w:rPr>
        <w:t>The immutable ledger database. Lists issued credentials, cryptographic hashes, verification statuses, view logs, and includes controls to revoke certificates with formal explanations.</w:t>
      </w:r>
    </w:p>
    <w:p>
      <w:pPr>
        <w:pStyle w:val="ListBullet"/>
        <w:spacing w:after="60" w:line="276" w:lineRule="auto"/>
      </w:pPr>
      <w:r>
        <w:rPr>
          <w:rFonts w:ascii="Calibri" w:hAnsi="Calibri"/>
          <w:b/>
          <w:color w:val="0F172A"/>
          <w:sz w:val="22"/>
        </w:rPr>
        <w:t xml:space="preserve">Email Logs Simulator: </w:t>
      </w:r>
      <w:r>
        <w:rPr>
          <w:rFonts w:ascii="Calibri" w:hAnsi="Calibri"/>
          <w:color w:val="334155"/>
          <w:sz w:val="22"/>
        </w:rPr>
        <w:t>A sandbox logger illustrating sent emails containing direct links to certificate pages, allowing developers and admins to verify communication templates and delivery statuses.</w:t>
      </w:r>
    </w:p>
    <w:p>
      <w:pPr>
        <w:pStyle w:val="ListBullet"/>
        <w:spacing w:after="60" w:line="276" w:lineRule="auto"/>
      </w:pPr>
      <w:r>
        <w:rPr>
          <w:rFonts w:ascii="Calibri" w:hAnsi="Calibri"/>
          <w:b/>
          <w:color w:val="0F172A"/>
          <w:sz w:val="22"/>
        </w:rPr>
        <w:t xml:space="preserve">Private Branding: </w:t>
      </w:r>
      <w:r>
        <w:rPr>
          <w:rFonts w:ascii="Calibri" w:hAnsi="Calibri"/>
          <w:color w:val="334155"/>
          <w:sz w:val="22"/>
        </w:rPr>
        <w:t>White-label configuration console to override default Glint branding with customized colors, SMTP sender options, logo icons, custom domains, and footer text.</w:t>
      </w:r>
    </w:p>
    <w:p>
      <w:pPr>
        <w:pStyle w:val="ListBullet"/>
        <w:spacing w:after="60" w:line="276" w:lineRule="auto"/>
      </w:pPr>
      <w:r>
        <w:rPr>
          <w:rFonts w:ascii="Calibri" w:hAnsi="Calibri"/>
          <w:b/>
          <w:color w:val="0F172A"/>
          <w:sz w:val="22"/>
        </w:rPr>
        <w:t xml:space="preserve">Workspace Limits: </w:t>
      </w:r>
      <w:r>
        <w:rPr>
          <w:rFonts w:ascii="Calibri" w:hAnsi="Calibri"/>
          <w:color w:val="334155"/>
          <w:sz w:val="22"/>
        </w:rPr>
        <w:t>Administration panel showing workspace subscription details, resource usage metrics (e.g., templates used, certificates issued), and Service Level Agreement (SLA) status.</w:t>
      </w:r>
    </w:p>
    <w:p>
      <w:pPr>
        <w:pStyle w:val="Heading1"/>
        <w:keepNext/>
        <w:spacing w:before="360" w:after="120"/>
        <w:pBdr>
          <w:bottom w:val="single" w:sz="6" w:space="4" w:color="CBD5E1"/>
        </w:pBdr>
      </w:pPr>
      <w:r>
        <w:rPr>
          <w:rFonts w:ascii="Arial" w:hAnsi="Arial"/>
          <w:b/>
          <w:color w:val="0F172A"/>
          <w:sz w:val="36"/>
        </w:rPr>
        <w:t>3. Technology Stack Specifications</w:t>
      </w:r>
    </w:p>
    <w:p>
      <w:pPr>
        <w:spacing w:after="120" w:line="276" w:lineRule="auto"/>
      </w:pPr>
      <w:r>
        <w:rPr>
          <w:rFonts w:ascii="Calibri" w:hAnsi="Calibri"/>
          <w:b w:val="0"/>
          <w:i w:val="0"/>
          <w:color w:val="334155"/>
          <w:sz w:val="22"/>
        </w:rPr>
        <w:t>Glint is constructed using a robust modern stack ensuring type safety, rapid UI development, and high-performance server processing.</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Mar>
              <w:top w:w="120" w:type="dxa"/>
              <w:bottom w:w="120" w:type="dxa"/>
              <w:left w:w="150" w:type="dxa"/>
              <w:right w:w="150" w:type="dxa"/>
            </w:tcMar>
          </w:tcPr>
          <w:p>
            <w:r>
              <w:rPr>
                <w:rFonts w:ascii="Arial" w:hAnsi="Arial"/>
                <w:b/>
                <w:color w:val="FFFFFF"/>
                <w:sz w:val="20"/>
              </w:rPr>
              <w:t>Layer</w:t>
            </w:r>
          </w:p>
        </w:tc>
        <w:tc>
          <w:tcPr>
            <w:tcW w:type="dxa" w:w="2340"/>
            <w:shd w:fill="0F172A"/>
            <w:tcMar>
              <w:top w:w="120" w:type="dxa"/>
              <w:bottom w:w="120" w:type="dxa"/>
              <w:left w:w="150" w:type="dxa"/>
              <w:right w:w="150" w:type="dxa"/>
            </w:tcMar>
          </w:tcPr>
          <w:p>
            <w:r>
              <w:rPr>
                <w:rFonts w:ascii="Arial" w:hAnsi="Arial"/>
                <w:b/>
                <w:color w:val="FFFFFF"/>
                <w:sz w:val="20"/>
              </w:rPr>
              <w:t>Technology</w:t>
            </w:r>
          </w:p>
        </w:tc>
        <w:tc>
          <w:tcPr>
            <w:tcW w:type="dxa" w:w="2340"/>
            <w:shd w:fill="0F172A"/>
            <w:tcMar>
              <w:top w:w="120" w:type="dxa"/>
              <w:bottom w:w="120" w:type="dxa"/>
              <w:left w:w="150" w:type="dxa"/>
              <w:right w:w="150" w:type="dxa"/>
            </w:tcMar>
          </w:tcPr>
          <w:p>
            <w:r>
              <w:rPr>
                <w:rFonts w:ascii="Arial" w:hAnsi="Arial"/>
                <w:b/>
                <w:color w:val="FFFFFF"/>
                <w:sz w:val="20"/>
              </w:rPr>
              <w:t>Version</w:t>
            </w:r>
          </w:p>
        </w:tc>
        <w:tc>
          <w:tcPr>
            <w:tcW w:type="dxa" w:w="2340"/>
            <w:shd w:fill="0F172A"/>
            <w:tcMar>
              <w:top w:w="120" w:type="dxa"/>
              <w:bottom w:w="120" w:type="dxa"/>
              <w:left w:w="150" w:type="dxa"/>
              <w:right w:w="150" w:type="dxa"/>
            </w:tcMar>
          </w:tcPr>
          <w:p>
            <w:r>
              <w:rPr>
                <w:rFonts w:ascii="Arial" w:hAnsi="Arial"/>
                <w:b/>
                <w:color w:val="FFFFFF"/>
                <w:sz w:val="20"/>
              </w:rPr>
              <w:t>Use Case / Purpose</w:t>
            </w:r>
          </w:p>
        </w:tc>
      </w:tr>
      <w:tr>
        <w:tc>
          <w:tcPr>
            <w:tcW w:type="dxa" w:w="2340"/>
            <w:tcMar>
              <w:top w:w="80" w:type="dxa"/>
              <w:bottom w:w="80" w:type="dxa"/>
              <w:left w:w="100" w:type="dxa"/>
              <w:right w:w="100" w:type="dxa"/>
            </w:tcMar>
          </w:tcPr>
          <w:p>
            <w:r>
              <w:rPr>
                <w:rFonts w:ascii="Calibri" w:hAnsi="Calibri"/>
                <w:color w:val="334155"/>
                <w:sz w:val="20"/>
              </w:rPr>
              <w:t>Frontend</w:t>
            </w:r>
          </w:p>
        </w:tc>
        <w:tc>
          <w:tcPr>
            <w:tcW w:type="dxa" w:w="2340"/>
            <w:tcMar>
              <w:top w:w="80" w:type="dxa"/>
              <w:bottom w:w="80" w:type="dxa"/>
              <w:left w:w="100" w:type="dxa"/>
              <w:right w:w="100" w:type="dxa"/>
            </w:tcMar>
          </w:tcPr>
          <w:p>
            <w:r>
              <w:rPr>
                <w:rFonts w:ascii="Calibri" w:hAnsi="Calibri"/>
                <w:b/>
                <w:color w:val="334155"/>
                <w:sz w:val="20"/>
              </w:rPr>
              <w:t>React 19</w:t>
            </w:r>
          </w:p>
        </w:tc>
        <w:tc>
          <w:tcPr>
            <w:tcW w:type="dxa" w:w="2340"/>
            <w:tcMar>
              <w:top w:w="80" w:type="dxa"/>
              <w:bottom w:w="80" w:type="dxa"/>
              <w:left w:w="100" w:type="dxa"/>
              <w:right w:w="100" w:type="dxa"/>
            </w:tcMar>
          </w:tcPr>
          <w:p>
            <w:r>
              <w:rPr>
                <w:rFonts w:ascii="Calibri" w:hAnsi="Calibri"/>
                <w:color w:val="334155"/>
                <w:sz w:val="20"/>
              </w:rPr>
              <w:t>19.0.1</w:t>
            </w:r>
          </w:p>
        </w:tc>
        <w:tc>
          <w:tcPr>
            <w:tcW w:type="dxa" w:w="2340"/>
            <w:tcMar>
              <w:top w:w="80" w:type="dxa"/>
              <w:bottom w:w="80" w:type="dxa"/>
              <w:left w:w="100" w:type="dxa"/>
              <w:right w:w="100" w:type="dxa"/>
            </w:tcMar>
          </w:tcPr>
          <w:p>
            <w:r>
              <w:rPr>
                <w:rFonts w:ascii="Calibri" w:hAnsi="Calibri"/>
                <w:color w:val="334155"/>
                <w:sz w:val="20"/>
              </w:rPr>
              <w:t>Main UI rendering and state hierarchy</w:t>
            </w:r>
          </w:p>
        </w:tc>
      </w:tr>
      <w:tr>
        <w:tc>
          <w:tcPr>
            <w:tcW w:type="dxa" w:w="2340"/>
            <w:tcMar>
              <w:top w:w="80" w:type="dxa"/>
              <w:bottom w:w="80" w:type="dxa"/>
              <w:left w:w="100" w:type="dxa"/>
              <w:right w:w="100" w:type="dxa"/>
            </w:tcMar>
          </w:tcPr>
          <w:p>
            <w:r>
              <w:rPr>
                <w:rFonts w:ascii="Calibri" w:hAnsi="Calibri"/>
                <w:color w:val="334155"/>
                <w:sz w:val="20"/>
              </w:rPr>
              <w:t>Frontend</w:t>
            </w:r>
          </w:p>
        </w:tc>
        <w:tc>
          <w:tcPr>
            <w:tcW w:type="dxa" w:w="2340"/>
            <w:tcMar>
              <w:top w:w="80" w:type="dxa"/>
              <w:bottom w:w="80" w:type="dxa"/>
              <w:left w:w="100" w:type="dxa"/>
              <w:right w:w="100" w:type="dxa"/>
            </w:tcMar>
          </w:tcPr>
          <w:p>
            <w:r>
              <w:rPr>
                <w:rFonts w:ascii="Calibri" w:hAnsi="Calibri"/>
                <w:b/>
                <w:color w:val="334155"/>
                <w:sz w:val="20"/>
              </w:rPr>
              <w:t>Vite 6</w:t>
            </w:r>
          </w:p>
        </w:tc>
        <w:tc>
          <w:tcPr>
            <w:tcW w:type="dxa" w:w="2340"/>
            <w:tcMar>
              <w:top w:w="80" w:type="dxa"/>
              <w:bottom w:w="80" w:type="dxa"/>
              <w:left w:w="100" w:type="dxa"/>
              <w:right w:w="100" w:type="dxa"/>
            </w:tcMar>
          </w:tcPr>
          <w:p>
            <w:r>
              <w:rPr>
                <w:rFonts w:ascii="Calibri" w:hAnsi="Calibri"/>
                <w:color w:val="334155"/>
                <w:sz w:val="20"/>
              </w:rPr>
              <w:t>6.2.3</w:t>
            </w:r>
          </w:p>
        </w:tc>
        <w:tc>
          <w:tcPr>
            <w:tcW w:type="dxa" w:w="2340"/>
            <w:tcMar>
              <w:top w:w="80" w:type="dxa"/>
              <w:bottom w:w="80" w:type="dxa"/>
              <w:left w:w="100" w:type="dxa"/>
              <w:right w:w="100" w:type="dxa"/>
            </w:tcMar>
          </w:tcPr>
          <w:p>
            <w:r>
              <w:rPr>
                <w:rFonts w:ascii="Calibri" w:hAnsi="Calibri"/>
                <w:color w:val="334155"/>
                <w:sz w:val="20"/>
              </w:rPr>
              <w:t>Ultra-fast frontend build tool and hot dev server</w:t>
            </w:r>
          </w:p>
        </w:tc>
      </w:tr>
      <w:tr>
        <w:tc>
          <w:tcPr>
            <w:tcW w:type="dxa" w:w="2340"/>
            <w:tcMar>
              <w:top w:w="80" w:type="dxa"/>
              <w:bottom w:w="80" w:type="dxa"/>
              <w:left w:w="100" w:type="dxa"/>
              <w:right w:w="100" w:type="dxa"/>
            </w:tcMar>
          </w:tcPr>
          <w:p>
            <w:r>
              <w:rPr>
                <w:rFonts w:ascii="Calibri" w:hAnsi="Calibri"/>
                <w:color w:val="334155"/>
                <w:sz w:val="20"/>
              </w:rPr>
              <w:t>Frontend</w:t>
            </w:r>
          </w:p>
        </w:tc>
        <w:tc>
          <w:tcPr>
            <w:tcW w:type="dxa" w:w="2340"/>
            <w:tcMar>
              <w:top w:w="80" w:type="dxa"/>
              <w:bottom w:w="80" w:type="dxa"/>
              <w:left w:w="100" w:type="dxa"/>
              <w:right w:w="100" w:type="dxa"/>
            </w:tcMar>
          </w:tcPr>
          <w:p>
            <w:r>
              <w:rPr>
                <w:rFonts w:ascii="Calibri" w:hAnsi="Calibri"/>
                <w:b/>
                <w:color w:val="334155"/>
                <w:sz w:val="20"/>
              </w:rPr>
              <w:t>TailwindCSS v4</w:t>
            </w:r>
          </w:p>
        </w:tc>
        <w:tc>
          <w:tcPr>
            <w:tcW w:type="dxa" w:w="2340"/>
            <w:tcMar>
              <w:top w:w="80" w:type="dxa"/>
              <w:bottom w:w="80" w:type="dxa"/>
              <w:left w:w="100" w:type="dxa"/>
              <w:right w:w="100" w:type="dxa"/>
            </w:tcMar>
          </w:tcPr>
          <w:p>
            <w:r>
              <w:rPr>
                <w:rFonts w:ascii="Calibri" w:hAnsi="Calibri"/>
                <w:color w:val="334155"/>
                <w:sz w:val="20"/>
              </w:rPr>
              <w:t>4.1.14</w:t>
            </w:r>
          </w:p>
        </w:tc>
        <w:tc>
          <w:tcPr>
            <w:tcW w:type="dxa" w:w="2340"/>
            <w:tcMar>
              <w:top w:w="80" w:type="dxa"/>
              <w:bottom w:w="80" w:type="dxa"/>
              <w:left w:w="100" w:type="dxa"/>
              <w:right w:w="100" w:type="dxa"/>
            </w:tcMar>
          </w:tcPr>
          <w:p>
            <w:r>
              <w:rPr>
                <w:rFonts w:ascii="Calibri" w:hAnsi="Calibri"/>
                <w:color w:val="334155"/>
                <w:sz w:val="20"/>
              </w:rPr>
              <w:t>Responsive layouts &amp; utility styling compiles</w:t>
            </w:r>
          </w:p>
        </w:tc>
      </w:tr>
      <w:tr>
        <w:tc>
          <w:tcPr>
            <w:tcW w:type="dxa" w:w="2340"/>
            <w:tcMar>
              <w:top w:w="80" w:type="dxa"/>
              <w:bottom w:w="80" w:type="dxa"/>
              <w:left w:w="100" w:type="dxa"/>
              <w:right w:w="100" w:type="dxa"/>
            </w:tcMar>
          </w:tcPr>
          <w:p>
            <w:r>
              <w:rPr>
                <w:rFonts w:ascii="Calibri" w:hAnsi="Calibri"/>
                <w:color w:val="334155"/>
                <w:sz w:val="20"/>
              </w:rPr>
              <w:t>Frontend</w:t>
            </w:r>
          </w:p>
        </w:tc>
        <w:tc>
          <w:tcPr>
            <w:tcW w:type="dxa" w:w="2340"/>
            <w:tcMar>
              <w:top w:w="80" w:type="dxa"/>
              <w:bottom w:w="80" w:type="dxa"/>
              <w:left w:w="100" w:type="dxa"/>
              <w:right w:w="100" w:type="dxa"/>
            </w:tcMar>
          </w:tcPr>
          <w:p>
            <w:r>
              <w:rPr>
                <w:rFonts w:ascii="Calibri" w:hAnsi="Calibri"/>
                <w:b/>
                <w:color w:val="334155"/>
                <w:sz w:val="20"/>
              </w:rPr>
              <w:t>Motion</w:t>
            </w:r>
          </w:p>
        </w:tc>
        <w:tc>
          <w:tcPr>
            <w:tcW w:type="dxa" w:w="2340"/>
            <w:tcMar>
              <w:top w:w="80" w:type="dxa"/>
              <w:bottom w:w="80" w:type="dxa"/>
              <w:left w:w="100" w:type="dxa"/>
              <w:right w:w="100" w:type="dxa"/>
            </w:tcMar>
          </w:tcPr>
          <w:p>
            <w:r>
              <w:rPr>
                <w:rFonts w:ascii="Calibri" w:hAnsi="Calibri"/>
                <w:color w:val="334155"/>
                <w:sz w:val="20"/>
              </w:rPr>
              <w:t>12.23.24</w:t>
            </w:r>
          </w:p>
        </w:tc>
        <w:tc>
          <w:tcPr>
            <w:tcW w:type="dxa" w:w="2340"/>
            <w:tcMar>
              <w:top w:w="80" w:type="dxa"/>
              <w:bottom w:w="80" w:type="dxa"/>
              <w:left w:w="100" w:type="dxa"/>
              <w:right w:w="100" w:type="dxa"/>
            </w:tcMar>
          </w:tcPr>
          <w:p>
            <w:r>
              <w:rPr>
                <w:rFonts w:ascii="Calibri" w:hAnsi="Calibri"/>
                <w:color w:val="334155"/>
                <w:sz w:val="20"/>
              </w:rPr>
              <w:t>Smooth page animations and micro-interactions</w:t>
            </w:r>
          </w:p>
        </w:tc>
      </w:tr>
      <w:tr>
        <w:tc>
          <w:tcPr>
            <w:tcW w:type="dxa" w:w="2340"/>
            <w:tcMar>
              <w:top w:w="80" w:type="dxa"/>
              <w:bottom w:w="80" w:type="dxa"/>
              <w:left w:w="100" w:type="dxa"/>
              <w:right w:w="100" w:type="dxa"/>
            </w:tcMar>
          </w:tcPr>
          <w:p>
            <w:r>
              <w:rPr>
                <w:rFonts w:ascii="Calibri" w:hAnsi="Calibri"/>
                <w:color w:val="334155"/>
                <w:sz w:val="20"/>
              </w:rPr>
              <w:t>Frontend</w:t>
            </w:r>
          </w:p>
        </w:tc>
        <w:tc>
          <w:tcPr>
            <w:tcW w:type="dxa" w:w="2340"/>
            <w:tcMar>
              <w:top w:w="80" w:type="dxa"/>
              <w:bottom w:w="80" w:type="dxa"/>
              <w:left w:w="100" w:type="dxa"/>
              <w:right w:w="100" w:type="dxa"/>
            </w:tcMar>
          </w:tcPr>
          <w:p>
            <w:r>
              <w:rPr>
                <w:rFonts w:ascii="Calibri" w:hAnsi="Calibri"/>
                <w:b/>
                <w:color w:val="334155"/>
                <w:sz w:val="20"/>
              </w:rPr>
              <w:t>Recharts</w:t>
            </w:r>
          </w:p>
        </w:tc>
        <w:tc>
          <w:tcPr>
            <w:tcW w:type="dxa" w:w="2340"/>
            <w:tcMar>
              <w:top w:w="80" w:type="dxa"/>
              <w:bottom w:w="80" w:type="dxa"/>
              <w:left w:w="100" w:type="dxa"/>
              <w:right w:w="100" w:type="dxa"/>
            </w:tcMar>
          </w:tcPr>
          <w:p>
            <w:r>
              <w:rPr>
                <w:rFonts w:ascii="Calibri" w:hAnsi="Calibri"/>
                <w:color w:val="334155"/>
                <w:sz w:val="20"/>
              </w:rPr>
              <w:t>3.8.1</w:t>
            </w:r>
          </w:p>
        </w:tc>
        <w:tc>
          <w:tcPr>
            <w:tcW w:type="dxa" w:w="2340"/>
            <w:tcMar>
              <w:top w:w="80" w:type="dxa"/>
              <w:bottom w:w="80" w:type="dxa"/>
              <w:left w:w="100" w:type="dxa"/>
              <w:right w:w="100" w:type="dxa"/>
            </w:tcMar>
          </w:tcPr>
          <w:p>
            <w:r>
              <w:rPr>
                <w:rFonts w:ascii="Calibri" w:hAnsi="Calibri"/>
                <w:color w:val="334155"/>
                <w:sz w:val="20"/>
              </w:rPr>
              <w:t>Real-time analytics graphs &amp; workspace stats charts</w:t>
            </w:r>
          </w:p>
        </w:tc>
      </w:tr>
      <w:tr>
        <w:tc>
          <w:tcPr>
            <w:tcW w:type="dxa" w:w="2340"/>
            <w:tcMar>
              <w:top w:w="80" w:type="dxa"/>
              <w:bottom w:w="80" w:type="dxa"/>
              <w:left w:w="100" w:type="dxa"/>
              <w:right w:w="100" w:type="dxa"/>
            </w:tcMar>
          </w:tcPr>
          <w:p>
            <w:r>
              <w:rPr>
                <w:rFonts w:ascii="Calibri" w:hAnsi="Calibri"/>
                <w:color w:val="334155"/>
                <w:sz w:val="20"/>
              </w:rPr>
              <w:t>Backend</w:t>
            </w:r>
          </w:p>
        </w:tc>
        <w:tc>
          <w:tcPr>
            <w:tcW w:type="dxa" w:w="2340"/>
            <w:tcMar>
              <w:top w:w="80" w:type="dxa"/>
              <w:bottom w:w="80" w:type="dxa"/>
              <w:left w:w="100" w:type="dxa"/>
              <w:right w:w="100" w:type="dxa"/>
            </w:tcMar>
          </w:tcPr>
          <w:p>
            <w:r>
              <w:rPr>
                <w:rFonts w:ascii="Calibri" w:hAnsi="Calibri"/>
                <w:b/>
                <w:color w:val="334155"/>
                <w:sz w:val="20"/>
              </w:rPr>
              <w:t>Node.js / Express</w:t>
            </w:r>
          </w:p>
        </w:tc>
        <w:tc>
          <w:tcPr>
            <w:tcW w:type="dxa" w:w="2340"/>
            <w:tcMar>
              <w:top w:w="80" w:type="dxa"/>
              <w:bottom w:w="80" w:type="dxa"/>
              <w:left w:w="100" w:type="dxa"/>
              <w:right w:w="100" w:type="dxa"/>
            </w:tcMar>
          </w:tcPr>
          <w:p>
            <w:r>
              <w:rPr>
                <w:rFonts w:ascii="Calibri" w:hAnsi="Calibri"/>
                <w:color w:val="334155"/>
                <w:sz w:val="20"/>
              </w:rPr>
              <w:t>4.21.2</w:t>
            </w:r>
          </w:p>
        </w:tc>
        <w:tc>
          <w:tcPr>
            <w:tcW w:type="dxa" w:w="2340"/>
            <w:tcMar>
              <w:top w:w="80" w:type="dxa"/>
              <w:bottom w:w="80" w:type="dxa"/>
              <w:left w:w="100" w:type="dxa"/>
              <w:right w:w="100" w:type="dxa"/>
            </w:tcMar>
          </w:tcPr>
          <w:p>
            <w:r>
              <w:rPr>
                <w:rFonts w:ascii="Calibri" w:hAnsi="Calibri"/>
                <w:color w:val="334155"/>
                <w:sz w:val="20"/>
              </w:rPr>
              <w:t>REST API services, static builds &amp; verifier router</w:t>
            </w:r>
          </w:p>
        </w:tc>
      </w:tr>
      <w:tr>
        <w:tc>
          <w:tcPr>
            <w:tcW w:type="dxa" w:w="2340"/>
            <w:tcMar>
              <w:top w:w="80" w:type="dxa"/>
              <w:bottom w:w="80" w:type="dxa"/>
              <w:left w:w="100" w:type="dxa"/>
              <w:right w:w="100" w:type="dxa"/>
            </w:tcMar>
          </w:tcPr>
          <w:p>
            <w:r>
              <w:rPr>
                <w:rFonts w:ascii="Calibri" w:hAnsi="Calibri"/>
                <w:color w:val="334155"/>
                <w:sz w:val="20"/>
              </w:rPr>
              <w:t>Backend</w:t>
            </w:r>
          </w:p>
        </w:tc>
        <w:tc>
          <w:tcPr>
            <w:tcW w:type="dxa" w:w="2340"/>
            <w:tcMar>
              <w:top w:w="80" w:type="dxa"/>
              <w:bottom w:w="80" w:type="dxa"/>
              <w:left w:w="100" w:type="dxa"/>
              <w:right w:w="100" w:type="dxa"/>
            </w:tcMar>
          </w:tcPr>
          <w:p>
            <w:r>
              <w:rPr>
                <w:rFonts w:ascii="Calibri" w:hAnsi="Calibri"/>
                <w:b/>
                <w:color w:val="334155"/>
                <w:sz w:val="20"/>
              </w:rPr>
              <w:t>tsx Runner</w:t>
            </w:r>
          </w:p>
        </w:tc>
        <w:tc>
          <w:tcPr>
            <w:tcW w:type="dxa" w:w="2340"/>
            <w:tcMar>
              <w:top w:w="80" w:type="dxa"/>
              <w:bottom w:w="80" w:type="dxa"/>
              <w:left w:w="100" w:type="dxa"/>
              <w:right w:w="100" w:type="dxa"/>
            </w:tcMar>
          </w:tcPr>
          <w:p>
            <w:r>
              <w:rPr>
                <w:rFonts w:ascii="Calibri" w:hAnsi="Calibri"/>
                <w:color w:val="334155"/>
                <w:sz w:val="20"/>
              </w:rPr>
              <w:t>4.21.0</w:t>
            </w:r>
          </w:p>
        </w:tc>
        <w:tc>
          <w:tcPr>
            <w:tcW w:type="dxa" w:w="2340"/>
            <w:tcMar>
              <w:top w:w="80" w:type="dxa"/>
              <w:bottom w:w="80" w:type="dxa"/>
              <w:left w:w="100" w:type="dxa"/>
              <w:right w:w="100" w:type="dxa"/>
            </w:tcMar>
          </w:tcPr>
          <w:p>
            <w:r>
              <w:rPr>
                <w:rFonts w:ascii="Calibri" w:hAnsi="Calibri"/>
                <w:color w:val="334155"/>
                <w:sz w:val="20"/>
              </w:rPr>
              <w:t>On-the-fly TypeScript execution in local dev</w:t>
            </w:r>
          </w:p>
        </w:tc>
      </w:tr>
      <w:tr>
        <w:tc>
          <w:tcPr>
            <w:tcW w:type="dxa" w:w="2340"/>
            <w:tcMar>
              <w:top w:w="80" w:type="dxa"/>
              <w:bottom w:w="80" w:type="dxa"/>
              <w:left w:w="100" w:type="dxa"/>
              <w:right w:w="100" w:type="dxa"/>
            </w:tcMar>
          </w:tcPr>
          <w:p>
            <w:r>
              <w:rPr>
                <w:rFonts w:ascii="Calibri" w:hAnsi="Calibri"/>
                <w:color w:val="334155"/>
                <w:sz w:val="20"/>
              </w:rPr>
              <w:t>Backend</w:t>
            </w:r>
          </w:p>
        </w:tc>
        <w:tc>
          <w:tcPr>
            <w:tcW w:type="dxa" w:w="2340"/>
            <w:tcMar>
              <w:top w:w="80" w:type="dxa"/>
              <w:bottom w:w="80" w:type="dxa"/>
              <w:left w:w="100" w:type="dxa"/>
              <w:right w:w="100" w:type="dxa"/>
            </w:tcMar>
          </w:tcPr>
          <w:p>
            <w:r>
              <w:rPr>
                <w:rFonts w:ascii="Calibri" w:hAnsi="Calibri"/>
                <w:b/>
                <w:color w:val="334155"/>
                <w:sz w:val="20"/>
              </w:rPr>
              <w:t>esbuild</w:t>
            </w:r>
          </w:p>
        </w:tc>
        <w:tc>
          <w:tcPr>
            <w:tcW w:type="dxa" w:w="2340"/>
            <w:tcMar>
              <w:top w:w="80" w:type="dxa"/>
              <w:bottom w:w="80" w:type="dxa"/>
              <w:left w:w="100" w:type="dxa"/>
              <w:right w:w="100" w:type="dxa"/>
            </w:tcMar>
          </w:tcPr>
          <w:p>
            <w:r>
              <w:rPr>
                <w:rFonts w:ascii="Calibri" w:hAnsi="Calibri"/>
                <w:color w:val="334155"/>
                <w:sz w:val="20"/>
              </w:rPr>
              <w:t>0.25.0</w:t>
            </w:r>
          </w:p>
        </w:tc>
        <w:tc>
          <w:tcPr>
            <w:tcW w:type="dxa" w:w="2340"/>
            <w:tcMar>
              <w:top w:w="80" w:type="dxa"/>
              <w:bottom w:w="80" w:type="dxa"/>
              <w:left w:w="100" w:type="dxa"/>
              <w:right w:w="100" w:type="dxa"/>
            </w:tcMar>
          </w:tcPr>
          <w:p>
            <w:r>
              <w:rPr>
                <w:rFonts w:ascii="Calibri" w:hAnsi="Calibri"/>
                <w:color w:val="334155"/>
                <w:sz w:val="20"/>
              </w:rPr>
              <w:t>Compiles and bundles TS backend for production</w:t>
            </w:r>
          </w:p>
        </w:tc>
      </w:tr>
      <w:tr>
        <w:tc>
          <w:tcPr>
            <w:tcW w:type="dxa" w:w="2340"/>
            <w:tcMar>
              <w:top w:w="80" w:type="dxa"/>
              <w:bottom w:w="80" w:type="dxa"/>
              <w:left w:w="100" w:type="dxa"/>
              <w:right w:w="100" w:type="dxa"/>
            </w:tcMar>
          </w:tcPr>
          <w:p>
            <w:r>
              <w:rPr>
                <w:rFonts w:ascii="Calibri" w:hAnsi="Calibri"/>
                <w:color w:val="334155"/>
                <w:sz w:val="20"/>
              </w:rPr>
              <w:t>Database</w:t>
            </w:r>
          </w:p>
        </w:tc>
        <w:tc>
          <w:tcPr>
            <w:tcW w:type="dxa" w:w="2340"/>
            <w:tcMar>
              <w:top w:w="80" w:type="dxa"/>
              <w:bottom w:w="80" w:type="dxa"/>
              <w:left w:w="100" w:type="dxa"/>
              <w:right w:w="100" w:type="dxa"/>
            </w:tcMar>
          </w:tcPr>
          <w:p>
            <w:r>
              <w:rPr>
                <w:rFonts w:ascii="Calibri" w:hAnsi="Calibri"/>
                <w:b/>
                <w:color w:val="334155"/>
                <w:sz w:val="20"/>
              </w:rPr>
              <w:t>PostgreSQL</w:t>
            </w:r>
          </w:p>
        </w:tc>
        <w:tc>
          <w:tcPr>
            <w:tcW w:type="dxa" w:w="2340"/>
            <w:tcMar>
              <w:top w:w="80" w:type="dxa"/>
              <w:bottom w:w="80" w:type="dxa"/>
              <w:left w:w="100" w:type="dxa"/>
              <w:right w:w="100" w:type="dxa"/>
            </w:tcMar>
          </w:tcPr>
          <w:p>
            <w:r>
              <w:rPr>
                <w:rFonts w:ascii="Calibri" w:hAnsi="Calibri"/>
                <w:color w:val="334155"/>
                <w:sz w:val="20"/>
              </w:rPr>
              <w:t>v15+</w:t>
            </w:r>
          </w:p>
        </w:tc>
        <w:tc>
          <w:tcPr>
            <w:tcW w:type="dxa" w:w="2340"/>
            <w:tcMar>
              <w:top w:w="80" w:type="dxa"/>
              <w:bottom w:w="80" w:type="dxa"/>
              <w:left w:w="100" w:type="dxa"/>
              <w:right w:w="100" w:type="dxa"/>
            </w:tcMar>
          </w:tcPr>
          <w:p>
            <w:r>
              <w:rPr>
                <w:rFonts w:ascii="Calibri" w:hAnsi="Calibri"/>
                <w:color w:val="334155"/>
                <w:sz w:val="20"/>
              </w:rPr>
              <w:t>Stores workspaces, templates, programs, ledger registry</w:t>
            </w:r>
          </w:p>
        </w:tc>
      </w:tr>
      <w:tr>
        <w:tc>
          <w:tcPr>
            <w:tcW w:type="dxa" w:w="2340"/>
            <w:tcMar>
              <w:top w:w="80" w:type="dxa"/>
              <w:bottom w:w="80" w:type="dxa"/>
              <w:left w:w="100" w:type="dxa"/>
              <w:right w:w="100" w:type="dxa"/>
            </w:tcMar>
          </w:tcPr>
          <w:p>
            <w:r>
              <w:rPr>
                <w:rFonts w:ascii="Calibri" w:hAnsi="Calibri"/>
                <w:color w:val="334155"/>
                <w:sz w:val="20"/>
              </w:rPr>
              <w:t>Database Driver</w:t>
            </w:r>
          </w:p>
        </w:tc>
        <w:tc>
          <w:tcPr>
            <w:tcW w:type="dxa" w:w="2340"/>
            <w:tcMar>
              <w:top w:w="80" w:type="dxa"/>
              <w:bottom w:w="80" w:type="dxa"/>
              <w:left w:w="100" w:type="dxa"/>
              <w:right w:w="100" w:type="dxa"/>
            </w:tcMar>
          </w:tcPr>
          <w:p>
            <w:r>
              <w:rPr>
                <w:rFonts w:ascii="Calibri" w:hAnsi="Calibri"/>
                <w:b/>
                <w:color w:val="334155"/>
                <w:sz w:val="20"/>
              </w:rPr>
              <w:t>node-postgres (pg)</w:t>
            </w:r>
          </w:p>
        </w:tc>
        <w:tc>
          <w:tcPr>
            <w:tcW w:type="dxa" w:w="2340"/>
            <w:tcMar>
              <w:top w:w="80" w:type="dxa"/>
              <w:bottom w:w="80" w:type="dxa"/>
              <w:left w:w="100" w:type="dxa"/>
              <w:right w:w="100" w:type="dxa"/>
            </w:tcMar>
          </w:tcPr>
          <w:p>
            <w:r>
              <w:rPr>
                <w:rFonts w:ascii="Calibri" w:hAnsi="Calibri"/>
                <w:color w:val="334155"/>
                <w:sz w:val="20"/>
              </w:rPr>
              <w:t>8.22.0</w:t>
            </w:r>
          </w:p>
        </w:tc>
        <w:tc>
          <w:tcPr>
            <w:tcW w:type="dxa" w:w="2340"/>
            <w:tcMar>
              <w:top w:w="80" w:type="dxa"/>
              <w:bottom w:w="80" w:type="dxa"/>
              <w:left w:w="100" w:type="dxa"/>
              <w:right w:w="100" w:type="dxa"/>
            </w:tcMar>
          </w:tcPr>
          <w:p>
            <w:r>
              <w:rPr>
                <w:rFonts w:ascii="Calibri" w:hAnsi="Calibri"/>
                <w:color w:val="334155"/>
                <w:sz w:val="20"/>
              </w:rPr>
              <w:t>Client driver query executor with connection pooling</w:t>
            </w:r>
          </w:p>
        </w:tc>
      </w:tr>
      <w:tr>
        <w:tc>
          <w:tcPr>
            <w:tcW w:type="dxa" w:w="2340"/>
            <w:tcMar>
              <w:top w:w="80" w:type="dxa"/>
              <w:bottom w:w="80" w:type="dxa"/>
              <w:left w:w="100" w:type="dxa"/>
              <w:right w:w="100" w:type="dxa"/>
            </w:tcMar>
          </w:tcPr>
          <w:p>
            <w:r>
              <w:rPr>
                <w:rFonts w:ascii="Calibri" w:hAnsi="Calibri"/>
                <w:color w:val="334155"/>
                <w:sz w:val="20"/>
              </w:rPr>
              <w:t>AI Core</w:t>
            </w:r>
          </w:p>
        </w:tc>
        <w:tc>
          <w:tcPr>
            <w:tcW w:type="dxa" w:w="2340"/>
            <w:tcMar>
              <w:top w:w="80" w:type="dxa"/>
              <w:bottom w:w="80" w:type="dxa"/>
              <w:left w:w="100" w:type="dxa"/>
              <w:right w:w="100" w:type="dxa"/>
            </w:tcMar>
          </w:tcPr>
          <w:p>
            <w:r>
              <w:rPr>
                <w:rFonts w:ascii="Calibri" w:hAnsi="Calibri"/>
                <w:b/>
                <w:color w:val="334155"/>
                <w:sz w:val="20"/>
              </w:rPr>
              <w:t>Google GenAI SDK</w:t>
            </w:r>
          </w:p>
        </w:tc>
        <w:tc>
          <w:tcPr>
            <w:tcW w:type="dxa" w:w="2340"/>
            <w:tcMar>
              <w:top w:w="80" w:type="dxa"/>
              <w:bottom w:w="80" w:type="dxa"/>
              <w:left w:w="100" w:type="dxa"/>
              <w:right w:w="100" w:type="dxa"/>
            </w:tcMar>
          </w:tcPr>
          <w:p>
            <w:r>
              <w:rPr>
                <w:rFonts w:ascii="Calibri" w:hAnsi="Calibri"/>
                <w:color w:val="334155"/>
                <w:sz w:val="20"/>
              </w:rPr>
              <w:t>2.4.0</w:t>
            </w:r>
          </w:p>
        </w:tc>
        <w:tc>
          <w:tcPr>
            <w:tcW w:type="dxa" w:w="2340"/>
            <w:tcMar>
              <w:top w:w="80" w:type="dxa"/>
              <w:bottom w:w="80" w:type="dxa"/>
              <w:left w:w="100" w:type="dxa"/>
              <w:right w:w="100" w:type="dxa"/>
            </w:tcMar>
          </w:tcPr>
          <w:p>
            <w:r>
              <w:rPr>
                <w:rFonts w:ascii="Calibri" w:hAnsi="Calibri"/>
                <w:color w:val="334155"/>
                <w:sz w:val="20"/>
              </w:rPr>
              <w:t>Connects to gemini-2.5-flash for layout generation</w:t>
            </w:r>
          </w:p>
        </w:tc>
      </w:tr>
    </w:tbl>
    <w:p>
      <w:r>
        <w:br w:type="page"/>
      </w:r>
    </w:p>
    <w:p>
      <w:pPr>
        <w:pStyle w:val="Heading1"/>
        <w:keepNext/>
        <w:spacing w:before="360" w:after="120"/>
        <w:pBdr>
          <w:bottom w:val="single" w:sz="6" w:space="4" w:color="CBD5E1"/>
        </w:pBdr>
      </w:pPr>
      <w:r>
        <w:rPr>
          <w:rFonts w:ascii="Arial" w:hAnsi="Arial"/>
          <w:b/>
          <w:color w:val="0F172A"/>
          <w:sz w:val="36"/>
        </w:rPr>
        <w:t>4. Project Milestones &amp; Friday Release Schedule</w:t>
      </w:r>
    </w:p>
    <w:p>
      <w:pPr>
        <w:spacing w:after="120" w:line="276" w:lineRule="auto"/>
      </w:pPr>
      <w:r>
        <w:rPr>
          <w:rFonts w:ascii="Calibri" w:hAnsi="Calibri"/>
          <w:b w:val="0"/>
          <w:i w:val="0"/>
          <w:color w:val="334155"/>
          <w:sz w:val="22"/>
        </w:rPr>
        <w:t>To achieve a successful release by this Friday, June 26, 2026, the following delivery milestone schedule has been established. All core database DDL models, canvas editors, and REST endpoints are already finalized and deployed.</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20" w:type="dxa"/>
              <w:bottom w:w="120" w:type="dxa"/>
              <w:left w:w="150" w:type="dxa"/>
              <w:right w:w="150" w:type="dxa"/>
            </w:tcMar>
          </w:tcPr>
          <w:p>
            <w:r>
              <w:rPr>
                <w:rFonts w:ascii="Arial" w:hAnsi="Arial"/>
                <w:b/>
                <w:color w:val="FFFFFF"/>
                <w:sz w:val="20"/>
              </w:rPr>
              <w:t>Milestone Phase</w:t>
            </w:r>
          </w:p>
        </w:tc>
        <w:tc>
          <w:tcPr>
            <w:tcW w:type="dxa" w:w="2340"/>
            <w:shd w:fill="1E293B"/>
            <w:tcMar>
              <w:top w:w="120" w:type="dxa"/>
              <w:bottom w:w="120" w:type="dxa"/>
              <w:left w:w="150" w:type="dxa"/>
              <w:right w:w="150" w:type="dxa"/>
            </w:tcMar>
          </w:tcPr>
          <w:p>
            <w:r>
              <w:rPr>
                <w:rFonts w:ascii="Arial" w:hAnsi="Arial"/>
                <w:b/>
                <w:color w:val="FFFFFF"/>
                <w:sz w:val="20"/>
              </w:rPr>
              <w:t>Tasks &amp; Deliverables</w:t>
            </w:r>
          </w:p>
        </w:tc>
        <w:tc>
          <w:tcPr>
            <w:tcW w:type="dxa" w:w="2340"/>
            <w:shd w:fill="1E293B"/>
            <w:tcMar>
              <w:top w:w="120" w:type="dxa"/>
              <w:bottom w:w="120" w:type="dxa"/>
              <w:left w:w="150" w:type="dxa"/>
              <w:right w:w="150" w:type="dxa"/>
            </w:tcMar>
          </w:tcPr>
          <w:p>
            <w:r>
              <w:rPr>
                <w:rFonts w:ascii="Arial" w:hAnsi="Arial"/>
                <w:b/>
                <w:color w:val="FFFFFF"/>
                <w:sz w:val="20"/>
              </w:rPr>
              <w:t>Target Date</w:t>
            </w:r>
          </w:p>
        </w:tc>
        <w:tc>
          <w:tcPr>
            <w:tcW w:type="dxa" w:w="2340"/>
            <w:shd w:fill="1E293B"/>
            <w:tcMar>
              <w:top w:w="120" w:type="dxa"/>
              <w:bottom w:w="120" w:type="dxa"/>
              <w:left w:w="150" w:type="dxa"/>
              <w:right w:w="150" w:type="dxa"/>
            </w:tcMar>
          </w:tcPr>
          <w:p>
            <w:r>
              <w:rPr>
                <w:rFonts w:ascii="Arial" w:hAnsi="Arial"/>
                <w:b/>
                <w:color w:val="FFFFFF"/>
                <w:sz w:val="20"/>
              </w:rPr>
              <w:t>Status</w:t>
            </w:r>
          </w:p>
        </w:tc>
      </w:tr>
      <w:tr>
        <w:tc>
          <w:tcPr>
            <w:tcW w:type="dxa" w:w="2340"/>
            <w:tcMar>
              <w:top w:w="80" w:type="dxa"/>
              <w:bottom w:w="80" w:type="dxa"/>
              <w:left w:w="100" w:type="dxa"/>
              <w:right w:w="100" w:type="dxa"/>
            </w:tcMar>
          </w:tcPr>
          <w:p>
            <w:r>
              <w:rPr>
                <w:rFonts w:ascii="Calibri" w:hAnsi="Calibri"/>
                <w:b/>
                <w:color w:val="334155"/>
                <w:sz w:val="20"/>
              </w:rPr>
              <w:t>M1: Database Initialization</w:t>
            </w:r>
          </w:p>
        </w:tc>
        <w:tc>
          <w:tcPr>
            <w:tcW w:type="dxa" w:w="2340"/>
            <w:tcMar>
              <w:top w:w="80" w:type="dxa"/>
              <w:bottom w:w="80" w:type="dxa"/>
              <w:left w:w="100" w:type="dxa"/>
              <w:right w:w="100" w:type="dxa"/>
            </w:tcMar>
          </w:tcPr>
          <w:p>
            <w:r>
              <w:rPr>
                <w:rFonts w:ascii="Calibri" w:hAnsi="Calibri"/>
                <w:color w:val="334155"/>
                <w:sz w:val="20"/>
              </w:rPr>
              <w:t>PostgreSQL DDL schema setup, workspaces, templates, programs, registry, and log tables creation.</w:t>
            </w:r>
          </w:p>
        </w:tc>
        <w:tc>
          <w:tcPr>
            <w:tcW w:type="dxa" w:w="2340"/>
            <w:tcMar>
              <w:top w:w="80" w:type="dxa"/>
              <w:bottom w:w="80" w:type="dxa"/>
              <w:left w:w="100" w:type="dxa"/>
              <w:right w:w="100" w:type="dxa"/>
            </w:tcMar>
          </w:tcPr>
          <w:p>
            <w:r>
              <w:rPr>
                <w:rFonts w:ascii="Calibri" w:hAnsi="Calibri"/>
                <w:color w:val="334155"/>
                <w:sz w:val="20"/>
              </w:rPr>
              <w:t>June 22, 2026</w:t>
            </w:r>
          </w:p>
        </w:tc>
        <w:tc>
          <w:tcPr>
            <w:tcW w:type="dxa" w:w="2340"/>
            <w:tcMar>
              <w:top w:w="80" w:type="dxa"/>
              <w:bottom w:w="80" w:type="dxa"/>
              <w:left w:w="100" w:type="dxa"/>
              <w:right w:w="100" w:type="dxa"/>
            </w:tcMar>
          </w:tcPr>
          <w:p>
            <w:r>
              <w:rPr>
                <w:rFonts w:ascii="Calibri" w:hAnsi="Calibri"/>
                <w:b/>
                <w:color w:val="16A34A"/>
                <w:sz w:val="20"/>
              </w:rPr>
              <w:t>COMPLETED</w:t>
            </w:r>
          </w:p>
        </w:tc>
      </w:tr>
      <w:tr>
        <w:tc>
          <w:tcPr>
            <w:tcW w:type="dxa" w:w="2340"/>
            <w:tcMar>
              <w:top w:w="80" w:type="dxa"/>
              <w:bottom w:w="80" w:type="dxa"/>
              <w:left w:w="100" w:type="dxa"/>
              <w:right w:w="100" w:type="dxa"/>
            </w:tcMar>
          </w:tcPr>
          <w:p>
            <w:r>
              <w:rPr>
                <w:rFonts w:ascii="Calibri" w:hAnsi="Calibri"/>
                <w:b/>
                <w:color w:val="334155"/>
                <w:sz w:val="20"/>
              </w:rPr>
              <w:t>M2: Canvas Editor &amp; AI</w:t>
            </w:r>
          </w:p>
        </w:tc>
        <w:tc>
          <w:tcPr>
            <w:tcW w:type="dxa" w:w="2340"/>
            <w:tcMar>
              <w:top w:w="80" w:type="dxa"/>
              <w:bottom w:w="80" w:type="dxa"/>
              <w:left w:w="100" w:type="dxa"/>
              <w:right w:w="100" w:type="dxa"/>
            </w:tcMar>
          </w:tcPr>
          <w:p>
            <w:r>
              <w:rPr>
                <w:rFonts w:ascii="Calibri" w:hAnsi="Calibri"/>
                <w:color w:val="334155"/>
                <w:sz w:val="20"/>
              </w:rPr>
              <w:t>Integrate Canva-style editor components and connect the @google/genai module for Gemini AI layouts.</w:t>
            </w:r>
          </w:p>
        </w:tc>
        <w:tc>
          <w:tcPr>
            <w:tcW w:type="dxa" w:w="2340"/>
            <w:tcMar>
              <w:top w:w="80" w:type="dxa"/>
              <w:bottom w:w="80" w:type="dxa"/>
              <w:left w:w="100" w:type="dxa"/>
              <w:right w:w="100" w:type="dxa"/>
            </w:tcMar>
          </w:tcPr>
          <w:p>
            <w:r>
              <w:rPr>
                <w:rFonts w:ascii="Calibri" w:hAnsi="Calibri"/>
                <w:color w:val="334155"/>
                <w:sz w:val="20"/>
              </w:rPr>
              <w:t>June 23, 2026</w:t>
            </w:r>
          </w:p>
        </w:tc>
        <w:tc>
          <w:tcPr>
            <w:tcW w:type="dxa" w:w="2340"/>
            <w:tcMar>
              <w:top w:w="80" w:type="dxa"/>
              <w:bottom w:w="80" w:type="dxa"/>
              <w:left w:w="100" w:type="dxa"/>
              <w:right w:w="100" w:type="dxa"/>
            </w:tcMar>
          </w:tcPr>
          <w:p>
            <w:r>
              <w:rPr>
                <w:rFonts w:ascii="Calibri" w:hAnsi="Calibri"/>
                <w:b/>
                <w:color w:val="16A34A"/>
                <w:sz w:val="20"/>
              </w:rPr>
              <w:t>COMPLETED</w:t>
            </w:r>
          </w:p>
        </w:tc>
      </w:tr>
      <w:tr>
        <w:tc>
          <w:tcPr>
            <w:tcW w:type="dxa" w:w="2340"/>
            <w:tcMar>
              <w:top w:w="80" w:type="dxa"/>
              <w:bottom w:w="80" w:type="dxa"/>
              <w:left w:w="100" w:type="dxa"/>
              <w:right w:w="100" w:type="dxa"/>
            </w:tcMar>
          </w:tcPr>
          <w:p>
            <w:r>
              <w:rPr>
                <w:rFonts w:ascii="Calibri" w:hAnsi="Calibri"/>
                <w:b/>
                <w:color w:val="334155"/>
                <w:sz w:val="20"/>
              </w:rPr>
              <w:t>M3: Backend API Integration</w:t>
            </w:r>
          </w:p>
        </w:tc>
        <w:tc>
          <w:tcPr>
            <w:tcW w:type="dxa" w:w="2340"/>
            <w:tcMar>
              <w:top w:w="80" w:type="dxa"/>
              <w:bottom w:w="80" w:type="dxa"/>
              <w:left w:w="100" w:type="dxa"/>
              <w:right w:w="100" w:type="dxa"/>
            </w:tcMar>
          </w:tcPr>
          <w:p>
            <w:r>
              <w:rPr>
                <w:rFonts w:ascii="Calibri" w:hAnsi="Calibri"/>
                <w:color w:val="334155"/>
                <w:sz w:val="20"/>
              </w:rPr>
              <w:t>Express routing setup, database connection pool, registry controls, and email logs simulator.</w:t>
            </w:r>
          </w:p>
        </w:tc>
        <w:tc>
          <w:tcPr>
            <w:tcW w:type="dxa" w:w="2340"/>
            <w:tcMar>
              <w:top w:w="80" w:type="dxa"/>
              <w:bottom w:w="80" w:type="dxa"/>
              <w:left w:w="100" w:type="dxa"/>
              <w:right w:w="100" w:type="dxa"/>
            </w:tcMar>
          </w:tcPr>
          <w:p>
            <w:r>
              <w:rPr>
                <w:rFonts w:ascii="Calibri" w:hAnsi="Calibri"/>
                <w:color w:val="334155"/>
                <w:sz w:val="20"/>
              </w:rPr>
              <w:t>June 23, 2026</w:t>
            </w:r>
          </w:p>
        </w:tc>
        <w:tc>
          <w:tcPr>
            <w:tcW w:type="dxa" w:w="2340"/>
            <w:tcMar>
              <w:top w:w="80" w:type="dxa"/>
              <w:bottom w:w="80" w:type="dxa"/>
              <w:left w:w="100" w:type="dxa"/>
              <w:right w:w="100" w:type="dxa"/>
            </w:tcMar>
          </w:tcPr>
          <w:p>
            <w:r>
              <w:rPr>
                <w:rFonts w:ascii="Calibri" w:hAnsi="Calibri"/>
                <w:b/>
                <w:color w:val="16A34A"/>
                <w:sz w:val="20"/>
              </w:rPr>
              <w:t>COMPLETED</w:t>
            </w:r>
          </w:p>
        </w:tc>
      </w:tr>
      <w:tr>
        <w:tc>
          <w:tcPr>
            <w:tcW w:type="dxa" w:w="2340"/>
            <w:tcMar>
              <w:top w:w="80" w:type="dxa"/>
              <w:bottom w:w="80" w:type="dxa"/>
              <w:left w:w="100" w:type="dxa"/>
              <w:right w:w="100" w:type="dxa"/>
            </w:tcMar>
          </w:tcPr>
          <w:p>
            <w:r>
              <w:rPr>
                <w:rFonts w:ascii="Calibri" w:hAnsi="Calibri"/>
                <w:b/>
                <w:color w:val="334155"/>
                <w:sz w:val="20"/>
              </w:rPr>
              <w:t>M4: QA &amp; Integration Testing</w:t>
            </w:r>
          </w:p>
        </w:tc>
        <w:tc>
          <w:tcPr>
            <w:tcW w:type="dxa" w:w="2340"/>
            <w:tcMar>
              <w:top w:w="80" w:type="dxa"/>
              <w:bottom w:w="80" w:type="dxa"/>
              <w:left w:w="100" w:type="dxa"/>
              <w:right w:w="100" w:type="dxa"/>
            </w:tcMar>
          </w:tcPr>
          <w:p>
            <w:r>
              <w:rPr>
                <w:rFonts w:ascii="Calibri" w:hAnsi="Calibri"/>
                <w:color w:val="334155"/>
                <w:sz w:val="20"/>
              </w:rPr>
              <w:t>Bulk CSV upload validation tests, mock certificate issue runs, verifications portal checks.</w:t>
            </w:r>
          </w:p>
        </w:tc>
        <w:tc>
          <w:tcPr>
            <w:tcW w:type="dxa" w:w="2340"/>
            <w:tcMar>
              <w:top w:w="80" w:type="dxa"/>
              <w:bottom w:w="80" w:type="dxa"/>
              <w:left w:w="100" w:type="dxa"/>
              <w:right w:w="100" w:type="dxa"/>
            </w:tcMar>
          </w:tcPr>
          <w:p>
            <w:r>
              <w:rPr>
                <w:rFonts w:ascii="Calibri" w:hAnsi="Calibri"/>
                <w:color w:val="334155"/>
                <w:sz w:val="20"/>
              </w:rPr>
              <w:t>June 25, 2026</w:t>
            </w:r>
          </w:p>
        </w:tc>
        <w:tc>
          <w:tcPr>
            <w:tcW w:type="dxa" w:w="2340"/>
            <w:tcMar>
              <w:top w:w="80" w:type="dxa"/>
              <w:bottom w:w="80" w:type="dxa"/>
              <w:left w:w="100" w:type="dxa"/>
              <w:right w:w="100" w:type="dxa"/>
            </w:tcMar>
          </w:tcPr>
          <w:p>
            <w:r>
              <w:rPr>
                <w:rFonts w:ascii="Calibri" w:hAnsi="Calibri"/>
                <w:b/>
                <w:color w:val="D97706"/>
                <w:sz w:val="20"/>
              </w:rPr>
              <w:t>IN PROGRESS</w:t>
            </w:r>
          </w:p>
        </w:tc>
      </w:tr>
      <w:tr>
        <w:tc>
          <w:tcPr>
            <w:tcW w:type="dxa" w:w="2340"/>
            <w:tcMar>
              <w:top w:w="80" w:type="dxa"/>
              <w:bottom w:w="80" w:type="dxa"/>
              <w:left w:w="100" w:type="dxa"/>
              <w:right w:w="100" w:type="dxa"/>
            </w:tcMar>
          </w:tcPr>
          <w:p>
            <w:r>
              <w:rPr>
                <w:rFonts w:ascii="Calibri" w:hAnsi="Calibri"/>
                <w:b/>
                <w:color w:val="334155"/>
                <w:sz w:val="20"/>
              </w:rPr>
              <w:t>M5: Final Production Release</w:t>
            </w:r>
          </w:p>
        </w:tc>
        <w:tc>
          <w:tcPr>
            <w:tcW w:type="dxa" w:w="2340"/>
            <w:tcMar>
              <w:top w:w="80" w:type="dxa"/>
              <w:bottom w:w="80" w:type="dxa"/>
              <w:left w:w="100" w:type="dxa"/>
              <w:right w:w="100" w:type="dxa"/>
            </w:tcMar>
          </w:tcPr>
          <w:p>
            <w:r>
              <w:rPr>
                <w:rFonts w:ascii="Calibri" w:hAnsi="Calibri"/>
                <w:color w:val="334155"/>
                <w:sz w:val="20"/>
              </w:rPr>
              <w:t>Production build compiler checks (Vite build + esbuild compilation), database deployment, official handover.</w:t>
            </w:r>
          </w:p>
        </w:tc>
        <w:tc>
          <w:tcPr>
            <w:tcW w:type="dxa" w:w="2340"/>
            <w:tcMar>
              <w:top w:w="80" w:type="dxa"/>
              <w:bottom w:w="80" w:type="dxa"/>
              <w:left w:w="100" w:type="dxa"/>
              <w:right w:w="100" w:type="dxa"/>
            </w:tcMar>
          </w:tcPr>
          <w:p>
            <w:r>
              <w:rPr>
                <w:rFonts w:ascii="Calibri" w:hAnsi="Calibri"/>
                <w:color w:val="334155"/>
                <w:sz w:val="20"/>
              </w:rPr>
              <w:t>Friday, June 26, 2026</w:t>
            </w:r>
          </w:p>
        </w:tc>
        <w:tc>
          <w:tcPr>
            <w:tcW w:type="dxa" w:w="2340"/>
            <w:tcMar>
              <w:top w:w="80" w:type="dxa"/>
              <w:bottom w:w="80" w:type="dxa"/>
              <w:left w:w="100" w:type="dxa"/>
              <w:right w:w="100" w:type="dxa"/>
            </w:tcMar>
          </w:tcPr>
          <w:p>
            <w:r>
              <w:rPr>
                <w:rFonts w:ascii="Calibri" w:hAnsi="Calibri"/>
                <w:b/>
                <w:color w:val="DC2626"/>
                <w:sz w:val="20"/>
              </w:rPr>
              <w:t>TARGET DEADLINE</w:t>
            </w:r>
          </w:p>
        </w:tc>
      </w:tr>
    </w:tbl>
    <w:p>
      <w:pPr>
        <w:pStyle w:val="Heading2"/>
        <w:keepNext/>
        <w:spacing w:before="360" w:after="120"/>
      </w:pPr>
      <w:r>
        <w:rPr>
          <w:rFonts w:ascii="Arial" w:hAnsi="Arial"/>
          <w:b/>
          <w:color w:val="1E293B"/>
          <w:sz w:val="28"/>
        </w:rPr>
        <w:t>5. Final Delivery Verification checklist</w:t>
      </w:r>
    </w:p>
    <w:p>
      <w:pPr>
        <w:pStyle w:val="ListBullet"/>
        <w:spacing w:after="60" w:line="276" w:lineRule="auto"/>
      </w:pPr>
      <w:r>
        <w:rPr>
          <w:rFonts w:ascii="Calibri" w:hAnsi="Calibri"/>
          <w:b/>
          <w:color w:val="0F172A"/>
          <w:sz w:val="22"/>
        </w:rPr>
        <w:t xml:space="preserve">Database Integrity: </w:t>
      </w:r>
      <w:r>
        <w:rPr>
          <w:rFonts w:ascii="Calibri" w:hAnsi="Calibri"/>
          <w:color w:val="334155"/>
          <w:sz w:val="22"/>
        </w:rPr>
        <w:t>Validate connection resilience on server startup under pool saturation.</w:t>
      </w:r>
    </w:p>
    <w:p>
      <w:pPr>
        <w:pStyle w:val="ListBullet"/>
        <w:spacing w:after="60" w:line="276" w:lineRule="auto"/>
      </w:pPr>
      <w:r>
        <w:rPr>
          <w:rFonts w:ascii="Calibri" w:hAnsi="Calibri"/>
          <w:b/>
          <w:color w:val="0F172A"/>
          <w:sz w:val="22"/>
        </w:rPr>
        <w:t xml:space="preserve">Client Production Compilation: </w:t>
      </w:r>
      <w:r>
        <w:rPr>
          <w:rFonts w:ascii="Calibri" w:hAnsi="Calibri"/>
          <w:color w:val="334155"/>
          <w:sz w:val="22"/>
        </w:rPr>
        <w:t>Confirm zero typescript lint errors during 'npm run build' execution.</w:t>
      </w:r>
    </w:p>
    <w:p>
      <w:pPr>
        <w:pStyle w:val="ListBullet"/>
        <w:spacing w:after="60" w:line="276" w:lineRule="auto"/>
      </w:pPr>
      <w:r>
        <w:rPr>
          <w:rFonts w:ascii="Calibri" w:hAnsi="Calibri"/>
          <w:b/>
          <w:color w:val="0F172A"/>
          <w:sz w:val="22"/>
        </w:rPr>
        <w:t xml:space="preserve">Verification Portal Flow: </w:t>
      </w:r>
      <w:r>
        <w:rPr>
          <w:rFonts w:ascii="Calibri" w:hAnsi="Calibri"/>
          <w:color w:val="334155"/>
          <w:sz w:val="22"/>
        </w:rPr>
        <w:t>Ensure QR codes generate correctly and resolve to authentic cryptographical validation data.</w:t>
      </w:r>
    </w:p>
    <w:p>
      <w:pPr>
        <w:pStyle w:val="ListBullet"/>
        <w:spacing w:after="60" w:line="276" w:lineRule="auto"/>
      </w:pPr>
      <w:r>
        <w:rPr>
          <w:rFonts w:ascii="Calibri" w:hAnsi="Calibri"/>
          <w:b/>
          <w:color w:val="0F172A"/>
          <w:sz w:val="22"/>
        </w:rPr>
        <w:t xml:space="preserve">Security Protocols: </w:t>
      </w:r>
      <w:r>
        <w:rPr>
          <w:rFonts w:ascii="Calibri" w:hAnsi="Calibri"/>
          <w:color w:val="334155"/>
          <w:sz w:val="22"/>
        </w:rPr>
        <w:t>Audit security hashes of certificates to guarantee immutability on public lookups.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