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bidi w:val="0"/>
        <w:spacing w:before="5102" w:after="120"/>
        <w:ind w:start="1417" w:end="0" w:hanging="0"/>
        <w:jc w:val="start"/>
        <w:rPr/>
      </w:pPr>
      <w:r>
        <w:rPr/>
        <w:drawing>
          <wp:anchor behindDoc="1" distT="0" distB="0" distL="0" distR="0" simplePos="0" locked="0" layoutInCell="0" allowOverlap="1" relativeHeight="2">
            <wp:simplePos x="0" y="0"/>
            <wp:positionH relativeFrom="page">
              <wp:align>left</wp:align>
            </wp:positionH>
            <wp:positionV relativeFrom="page">
              <wp:align>top</wp:align>
            </wp:positionV>
            <wp:extent cx="7560310" cy="1069213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560310" cy="10692130"/>
                    </a:xfrm>
                    <a:prstGeom prst="rect">
                      <a:avLst/>
                    </a:prstGeom>
                  </pic:spPr>
                </pic:pic>
              </a:graphicData>
            </a:graphic>
          </wp:anchor>
        </w:drawing>
        <w:fldChar w:fldCharType="begin"/>
      </w:r>
      <w:r>
        <w:rPr/>
        <w:instrText xml:space="preserve"> DOCVARIABLE DocumentTitle </w:instrText>
      </w:r>
      <w:r>
        <w:rPr/>
        <w:fldChar w:fldCharType="separate"/>
      </w:r>
      <w:r>
        <w:rPr/>
        <w:t>Technisches Referenzdokument</w:t>
      </w:r>
      <w:r>
        <w:rPr/>
        <w:fldChar w:fldCharType="end"/>
      </w:r>
    </w:p>
    <w:p>
      <w:pPr>
        <w:pStyle w:val="Subtitle"/>
        <w:keepNext w:val="true"/>
        <w:bidi w:val="0"/>
        <w:spacing w:before="60" w:after="120"/>
        <w:ind w:start="1417" w:end="1346" w:hanging="0"/>
        <w:jc w:val="start"/>
        <w:rPr>
          <w:i/>
          <w:i/>
          <w:iCs/>
        </w:rPr>
      </w:pPr>
      <w:r>
        <w:rPr>
          <w:i/>
          <w:iCs/>
        </w:rPr>
        <w:fldChar w:fldCharType="begin"/>
      </w:r>
      <w:r>
        <w:rPr>
          <w:i/>
          <w:iCs/>
        </w:rPr>
        <w:instrText xml:space="preserve"> DOCVARIABLE DocumentSubject </w:instrText>
      </w:r>
      <w:r>
        <w:rPr>
          <w:i/>
          <w:iCs/>
        </w:rPr>
        <w:fldChar w:fldCharType="separate"/>
      </w:r>
      <w:r>
        <w:rPr>
          <w:i/>
          <w:iCs/>
        </w:rPr>
        <w:t>System for Cross-Domain Identity Management im Kontext Provisionierung</w:t>
      </w:r>
      <w:r>
        <w:rPr>
          <w:i/>
          <w:iCs/>
        </w:rPr>
        <w:fldChar w:fldCharType="end"/>
      </w:r>
    </w:p>
    <w:p>
      <w:pPr>
        <w:pStyle w:val="Subtitle"/>
        <w:keepNext w:val="true"/>
        <w:bidi w:val="0"/>
        <w:spacing w:before="60" w:after="120"/>
        <w:ind w:start="1417" w:end="0" w:hanging="0"/>
        <w:jc w:val="start"/>
        <w:rPr/>
      </w:pPr>
      <w:r>
        <w:rPr/>
        <w:fldChar w:fldCharType="begin"/>
      </w:r>
      <w:r>
        <w:rPr/>
        <w:instrText xml:space="preserve"> DOCVARIABLE PublicationPeriod </w:instrText>
      </w:r>
      <w:r>
        <w:rPr/>
        <w:fldChar w:fldCharType="separate"/>
      </w:r>
      <w:r>
        <w:rPr/>
        <w:t>Februar 2024</w:t>
      </w:r>
      <w:r>
        <w:rPr/>
        <w:fldChar w:fldCharType="end"/>
      </w:r>
    </w:p>
    <w:p>
      <w:pPr>
        <w:sectPr>
          <w:type w:val="nextPage"/>
          <w:pgSz w:w="11906" w:h="16838"/>
          <w:pgMar w:left="720" w:right="720" w:gutter="0" w:header="0" w:top="720" w:footer="0" w:bottom="720"/>
          <w:pgNumType w:fmt="decimal"/>
          <w:formProt w:val="false"/>
          <w:textDirection w:val="lrTb"/>
          <w:docGrid w:type="default" w:linePitch="600" w:charSpace="32768"/>
        </w:sectPr>
      </w:pPr>
      <w:r>
        <w:br w:type="page"/>
      </w:r>
    </w:p>
    <w:sdt>
      <w:sdtPr>
        <w:docPartObj>
          <w:docPartGallery w:val="Table of Contents"/>
          <w:docPartUnique w:val="true"/>
        </w:docPartObj>
      </w:sdtPr>
      <w:sdtContent>
        <w:p>
          <w:pPr>
            <w:pStyle w:val="ContentsHeading"/>
            <w:bidi w:val="0"/>
            <w:jc w:val="start"/>
            <w:rPr/>
          </w:pPr>
          <w:r>
            <w:rPr/>
            <w:t>Inhaltsverzeichnis</w:t>
          </w:r>
        </w:p>
        <w:p>
          <w:pPr>
            <w:pStyle w:val="Contents2"/>
            <w:tabs>
              <w:tab w:val="clear" w:pos="9355"/>
              <w:tab w:val="right" w:pos="9746" w:leader="dot"/>
            </w:tabs>
            <w:bidi w:val="0"/>
            <w:jc w:val="start"/>
            <w:rPr/>
          </w:pPr>
          <w:r>
            <w:fldChar w:fldCharType="begin"/>
          </w:r>
          <w:r>
            <w:rPr>
              <w:rStyle w:val="IndexLink"/>
            </w:rPr>
            <w:instrText xml:space="preserve"> TOC \f \o "1-6" \h</w:instrText>
          </w:r>
          <w:r>
            <w:rPr>
              <w:rStyle w:val="IndexLink"/>
            </w:rPr>
            <w:fldChar w:fldCharType="separate"/>
          </w:r>
          <w:hyperlink w:anchor="__RefHeading___Toc44_1901408718">
            <w:r>
              <w:rPr>
                <w:rStyle w:val="IndexLink"/>
              </w:rPr>
              <w:t>Vorwort</w:t>
              <w:tab/>
              <w:t>2</w:t>
            </w:r>
          </w:hyperlink>
        </w:p>
        <w:p>
          <w:pPr>
            <w:pStyle w:val="Contents3"/>
            <w:tabs>
              <w:tab w:val="clear" w:pos="9071"/>
              <w:tab w:val="right" w:pos="9746" w:leader="dot"/>
            </w:tabs>
            <w:bidi w:val="0"/>
            <w:jc w:val="start"/>
            <w:rPr/>
          </w:pPr>
          <w:hyperlink w:anchor="__RefHeading___Toc46_1901408718">
            <w:r>
              <w:rPr>
                <w:rStyle w:val="IndexLink"/>
              </w:rPr>
              <w:t>Leserkreis</w:t>
              <w:tab/>
              <w:t>2</w:t>
            </w:r>
          </w:hyperlink>
        </w:p>
        <w:p>
          <w:pPr>
            <w:pStyle w:val="Contents3"/>
            <w:tabs>
              <w:tab w:val="clear" w:pos="9071"/>
              <w:tab w:val="right" w:pos="9746" w:leader="dot"/>
            </w:tabs>
            <w:bidi w:val="0"/>
            <w:jc w:val="start"/>
            <w:rPr/>
          </w:pPr>
          <w:hyperlink w:anchor="__RefHeading___Toc48_1901408718">
            <w:r>
              <w:rPr>
                <w:rStyle w:val="IndexLink"/>
              </w:rPr>
              <w:t>Bezugsdokumente</w:t>
              <w:tab/>
              <w:t>2</w:t>
            </w:r>
          </w:hyperlink>
        </w:p>
        <w:p>
          <w:pPr>
            <w:pStyle w:val="Contents3"/>
            <w:tabs>
              <w:tab w:val="clear" w:pos="9071"/>
              <w:tab w:val="right" w:pos="9746" w:leader="dot"/>
            </w:tabs>
            <w:bidi w:val="0"/>
            <w:jc w:val="start"/>
            <w:rPr/>
          </w:pPr>
          <w:hyperlink w:anchor="__RefHeading___Toc50_1901408718">
            <w:r>
              <w:rPr>
                <w:rStyle w:val="IndexLink"/>
              </w:rPr>
              <w:t>Typografische Konventionen</w:t>
              <w:tab/>
              <w:t>2</w:t>
            </w:r>
          </w:hyperlink>
        </w:p>
        <w:p>
          <w:pPr>
            <w:pStyle w:val="Contents3"/>
            <w:tabs>
              <w:tab w:val="clear" w:pos="9071"/>
              <w:tab w:val="right" w:pos="9746" w:leader="dot"/>
            </w:tabs>
            <w:bidi w:val="0"/>
            <w:jc w:val="start"/>
            <w:rPr/>
          </w:pPr>
          <w:hyperlink w:anchor="__RefHeading___Toc52_1901408718">
            <w:r>
              <w:rPr>
                <w:rStyle w:val="IndexLink"/>
              </w:rPr>
              <w:t>Symbol Konventionen</w:t>
              <w:tab/>
              <w:t>2</w:t>
            </w:r>
          </w:hyperlink>
        </w:p>
        <w:p>
          <w:pPr>
            <w:pStyle w:val="Contents2"/>
            <w:tabs>
              <w:tab w:val="clear" w:pos="9355"/>
              <w:tab w:val="right" w:pos="9746" w:leader="dot"/>
            </w:tabs>
            <w:bidi w:val="0"/>
            <w:jc w:val="start"/>
            <w:rPr/>
          </w:pPr>
          <w:hyperlink w:anchor="__RefHeading___Toc54_1901408718">
            <w:r>
              <w:rPr>
                <w:rStyle w:val="IndexLink"/>
              </w:rPr>
              <w:t>Einführung</w:t>
              <w:tab/>
              <w:t>3</w:t>
            </w:r>
          </w:hyperlink>
        </w:p>
        <w:p>
          <w:pPr>
            <w:pStyle w:val="Contents3"/>
            <w:tabs>
              <w:tab w:val="clear" w:pos="9071"/>
              <w:tab w:val="right" w:pos="9746" w:leader="dot"/>
            </w:tabs>
            <w:bidi w:val="0"/>
            <w:jc w:val="start"/>
            <w:rPr/>
          </w:pPr>
          <w:hyperlink w:anchor="__RefHeading___Toc56_1901408718">
            <w:r>
              <w:rPr>
                <w:rStyle w:val="IndexLink"/>
              </w:rPr>
              <w:t>Funktionsweise</w:t>
              <w:tab/>
              <w:t>3</w:t>
            </w:r>
          </w:hyperlink>
        </w:p>
        <w:p>
          <w:pPr>
            <w:pStyle w:val="Contents3"/>
            <w:tabs>
              <w:tab w:val="clear" w:pos="9071"/>
              <w:tab w:val="right" w:pos="9746" w:leader="dot"/>
            </w:tabs>
            <w:bidi w:val="0"/>
            <w:jc w:val="start"/>
            <w:rPr/>
          </w:pPr>
          <w:hyperlink w:anchor="__RefHeading___Toc9071_4220611677">
            <w:r>
              <w:rPr>
                <w:rStyle w:val="IndexLink"/>
              </w:rPr>
              <w:t>Begrifflichkeit</w:t>
              <w:tab/>
              <w:t>3</w:t>
            </w:r>
          </w:hyperlink>
        </w:p>
        <w:p>
          <w:pPr>
            <w:pStyle w:val="Contents4"/>
            <w:tabs>
              <w:tab w:val="right" w:pos="9746" w:leader="dot"/>
            </w:tabs>
            <w:bidi w:val="0"/>
            <w:jc w:val="start"/>
            <w:rPr/>
          </w:pPr>
          <w:hyperlink w:anchor="__RefHeading___Toc304_2345777899">
            <w:r>
              <w:rPr>
                <w:rStyle w:val="IndexLink"/>
              </w:rPr>
              <w:t>Überschrift 4</w:t>
              <w:tab/>
              <w:t>3</w:t>
            </w:r>
          </w:hyperlink>
        </w:p>
        <w:p>
          <w:pPr>
            <w:pStyle w:val="Contents5"/>
            <w:bidi w:val="0"/>
            <w:jc w:val="start"/>
            <w:rPr/>
          </w:pPr>
          <w:hyperlink w:anchor="__RefHeading___Toc9073_4220611677">
            <w:r>
              <w:rPr>
                <w:rStyle w:val="IndexLink"/>
              </w:rPr>
              <w:t>Überschrift 5</w:t>
              <w:tab/>
              <w:t>3</w:t>
            </w:r>
          </w:hyperlink>
        </w:p>
        <w:p>
          <w:pPr>
            <w:pStyle w:val="Contents6"/>
            <w:bidi w:val="0"/>
            <w:jc w:val="start"/>
            <w:rPr/>
          </w:pPr>
          <w:hyperlink w:anchor="__RefHeading___Toc9075_4220611677">
            <w:r>
              <w:rPr>
                <w:rStyle w:val="IndexLink"/>
              </w:rPr>
              <w:t>Überschrift 6</w:t>
              <w:tab/>
              <w:t>3</w:t>
            </w:r>
          </w:hyperlink>
          <w:r>
            <w:rPr>
              <w:rStyle w:val="IndexLink"/>
            </w:rPr>
            <w:fldChar w:fldCharType="end"/>
          </w:r>
        </w:p>
      </w:sdtContent>
    </w:sdt>
    <w:p>
      <w:pPr>
        <w:pStyle w:val="Heading2"/>
        <w:bidi w:val="0"/>
        <w:jc w:val="start"/>
        <w:rPr/>
      </w:pPr>
      <w:bookmarkStart w:id="0" w:name="__RefHeading___Toc44_1901408718"/>
      <w:bookmarkEnd w:id="0"/>
      <w:r>
        <w:rPr/>
        <w:t>Vorwort</w:t>
      </w:r>
    </w:p>
    <w:p>
      <w:pPr>
        <w:pStyle w:val="Heading3"/>
        <w:bidi w:val="0"/>
        <w:jc w:val="start"/>
        <w:rPr/>
      </w:pPr>
      <w:bookmarkStart w:id="1" w:name="__RefHeading___Toc46_1901408718"/>
      <w:bookmarkEnd w:id="1"/>
      <w:r>
        <w:rPr/>
        <w:t>Leserkreis</w:t>
      </w:r>
    </w:p>
    <w:p>
      <w:pPr>
        <w:pStyle w:val="TextBody"/>
        <w:bidi w:val="0"/>
        <w:jc w:val="start"/>
        <w:rPr/>
      </w:pPr>
      <w:r>
        <w:rPr/>
        <w:t>Dieses Dokument wendet sich an Personen, die sich mit der Administration von Ressourcen, sowie Teams, die sich mit der Integration von Zielsystemen, in Oracle Identity Governance befassen.</w:t>
      </w:r>
    </w:p>
    <w:p>
      <w:pPr>
        <w:pStyle w:val="Heading3"/>
        <w:bidi w:val="0"/>
        <w:jc w:val="start"/>
        <w:rPr/>
      </w:pPr>
      <w:bookmarkStart w:id="2" w:name="__RefHeading___Toc48_1901408718"/>
      <w:bookmarkEnd w:id="2"/>
      <w:r>
        <w:rPr/>
        <w:t>Bezugsdokumente</w:t>
      </w:r>
    </w:p>
    <w:p>
      <w:pPr>
        <w:pStyle w:val="TextBody"/>
        <w:bidi w:val="0"/>
        <w:jc w:val="start"/>
        <w:rPr/>
      </w:pPr>
      <w:r>
        <w:rPr/>
        <w:t>SCIM 2.0 wurde im September 2015 als RFC7642, RFC7643 und RFC7644 durch IETF veröffentlicht.</w:t>
      </w:r>
    </w:p>
    <w:p>
      <w:pPr>
        <w:pStyle w:val="TextBody"/>
        <w:bidi w:val="0"/>
        <w:jc w:val="start"/>
        <w:rPr/>
      </w:pPr>
      <w:r>
        <w:rPr/>
      </w:r>
    </w:p>
    <w:p>
      <w:pPr>
        <w:pStyle w:val="Heading3"/>
        <w:bidi w:val="0"/>
        <w:jc w:val="start"/>
        <w:rPr/>
      </w:pPr>
      <w:bookmarkStart w:id="3" w:name="__RefHeading___Toc50_1901408718"/>
      <w:bookmarkEnd w:id="3"/>
      <w:r>
        <w:rPr/>
        <w:t>Typografische Konventionen</w:t>
      </w:r>
    </w:p>
    <w:p>
      <w:pPr>
        <w:pStyle w:val="TextBody"/>
        <w:bidi w:val="0"/>
        <w:jc w:val="start"/>
        <w:rPr/>
      </w:pPr>
      <w:r>
        <w:rPr/>
        <w:t>Die folgenden typografischen Konventionen werden in diesem Dokument verwendet:</w:t>
      </w:r>
    </w:p>
    <w:tbl>
      <w:tblPr>
        <w:tblW w:w="5000" w:type="pct"/>
        <w:jc w:val="start"/>
        <w:tblInd w:w="-15" w:type="dxa"/>
        <w:tblLayout w:type="fixed"/>
        <w:tblCellMar>
          <w:top w:w="55" w:type="dxa"/>
          <w:start w:w="55" w:type="dxa"/>
          <w:bottom w:w="55" w:type="dxa"/>
          <w:end w:w="55" w:type="dxa"/>
        </w:tblCellMar>
      </w:tblPr>
      <w:tblGrid>
        <w:gridCol w:w="3004"/>
        <w:gridCol w:w="6742"/>
      </w:tblGrid>
      <w:tr>
        <w:trPr>
          <w:tblHeader w:val="true"/>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uppressLineNumbers/>
              <w:shd w:fill="3D3D3D" w:val="clear"/>
              <w:bidi w:val="0"/>
              <w:jc w:val="start"/>
              <w:rPr/>
            </w:pPr>
            <w:r>
              <w:rPr/>
              <w:t>Konvention</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uppressLineNumbers/>
              <w:shd w:fill="3D3D3D" w:val="clear"/>
              <w:bidi w:val="0"/>
              <w:jc w:val="start"/>
              <w:rPr/>
            </w:pPr>
            <w:r>
              <w:rPr/>
              <w:t>Bedeutung</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b/>
                <w:b/>
                <w:bCs/>
              </w:rPr>
            </w:pPr>
            <w:r>
              <w:rPr>
                <w:b/>
                <w:bCs/>
              </w:rPr>
              <w:t>Fettdruck</w:t>
            </w:r>
          </w:p>
        </w:tc>
        <w:tc>
          <w:tcPr>
            <w:tcW w:w="6742" w:type="dxa"/>
            <w:tcBorders>
              <w:bottom w:val="single" w:sz="4" w:space="0" w:color="3D3D3D"/>
              <w:end w:val="single" w:sz="12" w:space="0" w:color="BD0100"/>
            </w:tcBorders>
          </w:tcPr>
          <w:p>
            <w:pPr>
              <w:pStyle w:val="TableContents"/>
              <w:widowControl w:val="false"/>
              <w:suppressLineNumbers/>
              <w:pBdr/>
              <w:bidi w:val="0"/>
              <w:jc w:val="start"/>
              <w:rPr/>
            </w:pPr>
            <w:r>
              <w:rPr/>
              <w:t>Fettdruck kennzeichnet Elemente der grafischen Benutzeroberfläche, die einer Aktion zugeordnet sind, oder Begriffe, die im Text oder im Glossar definiert sind.</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i/>
                <w:i/>
                <w:iCs/>
              </w:rPr>
            </w:pPr>
            <w:r>
              <w:rPr>
                <w:i/>
                <w:iCs/>
              </w:rPr>
              <w:t>Kursiv</w:t>
            </w:r>
          </w:p>
        </w:tc>
        <w:tc>
          <w:tcPr>
            <w:tcW w:w="6742" w:type="dxa"/>
            <w:tcBorders>
              <w:bottom w:val="single" w:sz="4" w:space="0" w:color="3D3D3D"/>
              <w:end w:val="single" w:sz="12" w:space="0" w:color="BD0100"/>
            </w:tcBorders>
          </w:tcPr>
          <w:p>
            <w:pPr>
              <w:pStyle w:val="TableContents"/>
              <w:widowControl w:val="false"/>
              <w:suppressLineNumbers/>
              <w:pBdr/>
              <w:bidi w:val="0"/>
              <w:jc w:val="start"/>
              <w:rPr/>
            </w:pPr>
            <w:r>
              <w:rPr/>
              <w:t>Kursivschrift kennzeichnet Buchtitel, Hervorhebungen oder Platzhalter, für die Sie bestimmte Werte angeben.</w:t>
            </w:r>
          </w:p>
        </w:tc>
      </w:tr>
      <w:tr>
        <w:trPr>
          <w:trHeight w:val="567" w:hRule="atLeast"/>
        </w:trPr>
        <w:tc>
          <w:tcPr>
            <w:tcW w:w="3004" w:type="dxa"/>
            <w:tcBorders>
              <w:start w:val="single" w:sz="12" w:space="0" w:color="BD0100"/>
              <w:bottom w:val="single" w:sz="12" w:space="0" w:color="BD0100"/>
            </w:tcBorders>
          </w:tcPr>
          <w:p>
            <w:pPr>
              <w:pStyle w:val="TableContents"/>
              <w:widowControl w:val="false"/>
              <w:suppressLineNumbers/>
              <w:pBdr/>
              <w:bidi w:val="0"/>
              <w:jc w:val="start"/>
              <w:rPr/>
            </w:pPr>
            <w:r>
              <w:rPr/>
              <w:t>Monospace</w:t>
            </w:r>
          </w:p>
        </w:tc>
        <w:tc>
          <w:tcPr>
            <w:tcW w:w="6742" w:type="dxa"/>
            <w:tcBorders>
              <w:bottom w:val="single" w:sz="12" w:space="0" w:color="BD0100"/>
              <w:end w:val="single" w:sz="12" w:space="0" w:color="BD0100"/>
            </w:tcBorders>
          </w:tcPr>
          <w:p>
            <w:pPr>
              <w:pStyle w:val="TableContents"/>
              <w:widowControl w:val="false"/>
              <w:suppressLineNumbers/>
              <w:pBdr/>
              <w:bidi w:val="0"/>
              <w:jc w:val="start"/>
              <w:rPr/>
            </w:pPr>
            <w:r>
              <w:rPr/>
              <w:t>Monospace in einem Absatz kennzeichnet Befehle, URLs, Code- Beispiele, Text, der auf dem Bildschirm angezeigt wird, oder Text, den Sie eingeben.</w:t>
            </w:r>
          </w:p>
        </w:tc>
      </w:tr>
    </w:tbl>
    <w:p>
      <w:pPr>
        <w:pStyle w:val="Heading3"/>
        <w:bidi w:val="0"/>
        <w:jc w:val="start"/>
        <w:rPr/>
      </w:pPr>
      <w:bookmarkStart w:id="4" w:name="__RefHeading___Toc52_1901408718"/>
      <w:bookmarkEnd w:id="4"/>
      <w:r>
        <w:rPr/>
        <w:t>Symbol Konventionen</w:t>
      </w:r>
    </w:p>
    <w:p>
      <w:pPr>
        <w:pStyle w:val="TextBody"/>
        <w:bidi w:val="0"/>
        <w:spacing w:lineRule="auto" w:line="276" w:before="0" w:after="140"/>
        <w:ind w:start="360" w:end="0" w:hanging="0"/>
        <w:jc w:val="start"/>
        <w:rPr/>
      </w:pPr>
      <w:r>
        <w:rPr/>
        <w:t>In diesem Dokument werden die folgenden Konventionen für Symbole verwendet.</w:t>
      </w:r>
    </w:p>
    <w:tbl>
      <w:tblPr>
        <w:tblW w:w="9764" w:type="dxa"/>
        <w:jc w:val="start"/>
        <w:tblInd w:w="-33" w:type="dxa"/>
        <w:tblLayout w:type="fixed"/>
        <w:tblCellMar>
          <w:top w:w="55" w:type="dxa"/>
          <w:start w:w="55" w:type="dxa"/>
          <w:bottom w:w="55" w:type="dxa"/>
          <w:end w:w="55" w:type="dxa"/>
        </w:tblCellMar>
      </w:tblPr>
      <w:tblGrid>
        <w:gridCol w:w="3004"/>
        <w:gridCol w:w="6760"/>
      </w:tblGrid>
      <w:tr>
        <w:trPr>
          <w:tblHeader w:val="true"/>
        </w:trPr>
        <w:tc>
          <w:tcPr>
            <w:tcW w:w="3004" w:type="dxa"/>
            <w:tcBorders>
              <w:top w:val="single" w:sz="12" w:space="0" w:color="BD0100"/>
              <w:start w:val="single" w:sz="12" w:space="0" w:color="BD0100"/>
              <w:bottom w:val="single" w:sz="4" w:space="0" w:color="3D3D3D"/>
            </w:tcBorders>
            <w:shd w:fill="3D3D3D" w:val="clear"/>
          </w:tcPr>
          <w:p>
            <w:pPr>
              <w:pStyle w:val="TableHeading"/>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Konvention</w:t>
            </w:r>
          </w:p>
        </w:tc>
        <w:tc>
          <w:tcPr>
            <w:tcW w:w="6760" w:type="dxa"/>
            <w:tcBorders>
              <w:top w:val="single" w:sz="12" w:space="0" w:color="BD0100"/>
              <w:bottom w:val="single" w:sz="4" w:space="0" w:color="3D3D3D"/>
              <w:end w:val="single" w:sz="12" w:space="0" w:color="BD0100"/>
            </w:tcBorders>
            <w:shd w:fill="3D3D3D" w:val="clear"/>
          </w:tcPr>
          <w:p>
            <w:pPr>
              <w:pStyle w:val="TableHeading"/>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Enthält optionale Argumente und Befehlsoptionen.</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Enthält eine Reihe von Auswahlmöglichkeiten für eine erforderliche Befehlsoption.</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Referenziert eine Variable.</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Verbindet gleichzeitig mehrere Tastenanschläge.</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Verbindet mehrere aufeinanderfolgende Tastenanschläge.</w:t>
            </w:r>
          </w:p>
        </w:tc>
      </w:tr>
      <w:tr>
        <w:trPr/>
        <w:tc>
          <w:tcPr>
            <w:tcW w:w="3004" w:type="dxa"/>
            <w:tcBorders>
              <w:start w:val="single" w:sz="12" w:space="0" w:color="BD0100"/>
              <w:bottom w:val="single" w:sz="12" w:space="0" w:color="BD0100"/>
            </w:tcBorders>
          </w:tcPr>
          <w:p>
            <w:pPr>
              <w:pStyle w:val="TableContents"/>
              <w:widowControl w:val="false"/>
              <w:suppressLineNumbers/>
              <w:pBdr/>
              <w:bidi w:val="0"/>
              <w:jc w:val="start"/>
              <w:rPr/>
            </w:pPr>
            <w:r>
              <w:rPr/>
              <w:t>&gt;</w:t>
            </w:r>
          </w:p>
        </w:tc>
        <w:tc>
          <w:tcPr>
            <w:tcW w:w="6760" w:type="dxa"/>
            <w:tcBorders>
              <w:bottom w:val="single" w:sz="12" w:space="0" w:color="BD0100"/>
              <w:end w:val="single" w:sz="12" w:space="0" w:color="BD0100"/>
            </w:tcBorders>
          </w:tcPr>
          <w:p>
            <w:pPr>
              <w:pStyle w:val="TableContents"/>
              <w:widowControl w:val="false"/>
              <w:suppressLineNumbers/>
              <w:pBdr/>
              <w:bidi w:val="0"/>
              <w:jc w:val="start"/>
              <w:rPr/>
            </w:pPr>
            <w:r>
              <w:rPr/>
              <w:t>Zeigt die Auswahl eines Menüpunkts in der grafischen Benutzeroberfläche an.</w:t>
            </w:r>
          </w:p>
        </w:tc>
      </w:tr>
    </w:tbl>
    <w:p>
      <w:pPr>
        <w:pStyle w:val="TextBody"/>
        <w:bidi w:val="0"/>
        <w:spacing w:lineRule="auto" w:line="276" w:before="0" w:after="140"/>
        <w:ind w:start="360" w:end="0" w:hanging="0"/>
        <w:jc w:val="start"/>
        <w:rPr/>
      </w:pPr>
      <w:r>
        <w:rPr/>
      </w:r>
    </w:p>
    <w:p>
      <w:pPr>
        <w:pStyle w:val="Heading2"/>
        <w:bidi w:val="0"/>
        <w:jc w:val="start"/>
        <w:rPr/>
      </w:pPr>
      <w:bookmarkStart w:id="5" w:name="__RefHeading___Toc54_1901408718"/>
      <w:bookmarkEnd w:id="5"/>
      <w:r>
        <w:rPr>
          <w:rFonts w:eastAsia="PingFang SC" w:cs="Arial Unicode MS"/>
          <w:b/>
          <w:bCs/>
          <w:color w:val="BD0100"/>
          <w:sz w:val="48"/>
          <w:szCs w:val="32"/>
        </w:rPr>
        <w:t>Einführung</w:t>
      </w:r>
    </w:p>
    <w:p>
      <w:pPr>
        <w:pStyle w:val="TextBody"/>
        <w:bidi w:val="0"/>
        <w:spacing w:lineRule="auto" w:line="276" w:before="0" w:after="140"/>
        <w:ind w:start="360" w:end="0" w:hanging="0"/>
        <w:jc w:val="start"/>
        <w:rPr/>
      </w:pPr>
      <w:r>
        <w:rPr/>
        <w:t>Die System for Cross-Domain Identity Management (SCIM)-Spezifikation (ursprünglich Simple Cloud Identity Management) soll die Verwaltung von Benutzeridentitäten in Anwendungen und Diensten erleichtern. Die Spezifikation zielt darauf ab, mit definierten Schemata die Bereitstellungen von Benutzerkonten aufzubauen. Dabei wurde besonderer Wert auf die Einfachheit der Entwicklung und Integration gelegt wird und gleichzeitig bestehende Modelle zur Authentifizierung, Autorisierung und dem Datenschutz angewendet. Ziel ist es, die Kosten und Komplexität von Vorgängen der Benutzerverwaltung durch die Bereitstellung eines allgemeinen Benutzerschemas und entsprechenden Erweiterung sowie durch die Bindung von Dokumenten zu reduzieren, um Muster für den Austausch dieses Schemas mithilfe von Standardprotokollen bereitzustellen.</w:t>
      </w:r>
    </w:p>
    <w:p>
      <w:pPr>
        <w:pStyle w:val="Heading3"/>
        <w:bidi w:val="0"/>
        <w:jc w:val="start"/>
        <w:rPr/>
      </w:pPr>
      <w:bookmarkStart w:id="6" w:name="__RefHeading___Toc56_1901408718"/>
      <w:bookmarkEnd w:id="6"/>
      <w:r>
        <w:rPr/>
        <w:t>Funktionsweise</w:t>
      </w:r>
    </w:p>
    <w:p>
      <w:pPr>
        <w:pStyle w:val="TextBody"/>
        <w:bidi w:val="0"/>
        <w:jc w:val="start"/>
        <w:rPr/>
      </w:pPr>
      <w:r>
        <w:rPr/>
        <w:t>SCIM ist ein Protokoll auf der Grundlage von REST und JSON, das eine Client- und eine Server-Rolle definiert. Der Client ist in der Regel ein Identity Provider (IdP) wie Oracle Identity Governance mit einer Datenbank von Benutzeridentitäten. Der Service Provider (SP) ist in der Regel eine Applikation wie Box oder Slack, die eine Teilmenge an Informationen von diesen Identitäten benötigt. Wenn beim IdP Änderungen wie das Erstellen, Aktualisieren und Löschen von Identitäten vorgenommen werden, werden sie automatisch über das SCIM-Protokoll mit dem SP synchronisiert. Der IdP kann auch Identitäten vom SP übernehmen, um seinen Datenbestand zu ergänzen und falsche Werte auf SP-Seite zu erkennen, die zu Sicherheitslücken führen könnten. Für den Endanwender bedeutet dies, dass er nahtlosen Zugriff auf die Anwendungen hat, die ihm zugewiesen sind, wobei diese über aktuelle Profile und Berechtigungen verfügen.</w:t>
      </w:r>
    </w:p>
    <w:p>
      <w:pPr>
        <w:pStyle w:val="Heading3"/>
        <w:bidi w:val="0"/>
        <w:jc w:val="start"/>
        <w:rPr/>
      </w:pPr>
      <w:bookmarkStart w:id="7" w:name="__RefHeading___Toc9071_4220611677"/>
      <w:bookmarkEnd w:id="7"/>
      <w:r>
        <w:rPr/>
        <w:t>Begrifflichkeit</w:t>
      </w:r>
    </w:p>
    <w:p>
      <w:pPr>
        <w:pStyle w:val="TextBody"/>
        <w:bidi w:val="0"/>
        <w:jc w:val="start"/>
        <w:rPr/>
      </w:pPr>
      <w:r>
        <w:rPr/>
      </w:r>
    </w:p>
    <w:p>
      <w:pPr>
        <w:pStyle w:val="Heading4"/>
        <w:bidi w:val="0"/>
        <w:jc w:val="start"/>
        <w:rPr/>
      </w:pPr>
      <w:bookmarkStart w:id="8" w:name="__RefHeading___Toc304_2345777899"/>
      <w:bookmarkEnd w:id="8"/>
      <w:r>
        <w:rPr/>
        <w:t>Überschrift 4</w:t>
      </w:r>
    </w:p>
    <w:p>
      <w:pPr>
        <w:pStyle w:val="Heading5"/>
        <w:bidi w:val="0"/>
        <w:jc w:val="start"/>
        <w:rPr/>
      </w:pPr>
      <w:bookmarkStart w:id="9" w:name="__RefHeading___Toc9073_4220611677"/>
      <w:bookmarkEnd w:id="9"/>
      <w:r>
        <w:rPr>
          <w:rFonts w:eastAsia="PingFang SC" w:cs="Arial Unicode MS"/>
          <w:b/>
          <w:bCs/>
          <w:color w:val="BD0100"/>
          <w:sz w:val="32"/>
          <w:szCs w:val="24"/>
        </w:rPr>
        <w:t>Ü</w:t>
      </w:r>
      <w:r>
        <w:rPr>
          <w:rFonts w:eastAsia="PingFang SC" w:cs="Arial Unicode MS"/>
          <w:b/>
          <w:bCs/>
          <w:color w:val="BD0100"/>
          <w:sz w:val="32"/>
          <w:szCs w:val="24"/>
        </w:rPr>
        <w:t>berschrift 5</w:t>
      </w:r>
    </w:p>
    <w:p>
      <w:pPr>
        <w:pStyle w:val="Heading6"/>
        <w:bidi w:val="0"/>
        <w:jc w:val="start"/>
        <w:rPr/>
      </w:pPr>
      <w:bookmarkStart w:id="10" w:name="__RefHeading___Toc9075_4220611677"/>
      <w:bookmarkEnd w:id="10"/>
      <w:r>
        <w:rPr/>
        <w:t>Überschrift 6</w:t>
      </w:r>
    </w:p>
    <w:p>
      <w:pPr>
        <w:pStyle w:val="Heading7"/>
        <w:bidi w:val="0"/>
        <w:jc w:val="start"/>
        <w:rPr/>
      </w:pPr>
      <w:r>
        <w:rPr/>
        <w:t>Ü</w:t>
      </w:r>
      <w:r>
        <w:rPr/>
        <w:t>berschrift 7</w:t>
      </w:r>
    </w:p>
    <w:p>
      <w:pPr>
        <w:pStyle w:val="Heading8"/>
        <w:bidi w:val="0"/>
        <w:jc w:val="start"/>
        <w:rPr/>
      </w:pPr>
      <w:r>
        <w:rPr/>
        <w:t>Überschrift 8</w:t>
      </w:r>
    </w:p>
    <w:p>
      <w:pPr>
        <w:pStyle w:val="Heading9"/>
        <w:bidi w:val="0"/>
        <w:jc w:val="start"/>
        <w:rPr/>
      </w:pPr>
      <w:r>
        <w:rPr/>
        <w:t>Überschrift 9</w:t>
      </w:r>
    </w:p>
    <w:tbl>
      <w:tblPr>
        <w:tblW w:w="8306" w:type="dxa"/>
        <w:jc w:val="start"/>
        <w:tblInd w:w="698" w:type="dxa"/>
        <w:shd w:fill="CCCCCC" w:val="clear"/>
        <w:tblLayout w:type="fixed"/>
        <w:tblCellMar>
          <w:top w:w="85" w:type="dxa"/>
          <w:start w:w="170" w:type="dxa"/>
          <w:bottom w:w="85" w:type="dxa"/>
          <w:end w:w="170" w:type="dxa"/>
        </w:tblCellMar>
      </w:tblPr>
      <w:tblGrid>
        <w:gridCol w:w="8306"/>
      </w:tblGrid>
      <w:tr>
        <w:trPr/>
        <w:tc>
          <w:tcPr>
            <w:tcW w:w="8306" w:type="dxa"/>
            <w:tcBorders>
              <w:start w:val="single" w:sz="18" w:space="0" w:color="3D3D3D"/>
            </w:tcBorders>
            <w:shd w:fill="CCCCCC" w:val="clear"/>
          </w:tcPr>
          <w:p>
            <w:pPr>
              <w:pStyle w:val="TableContents"/>
              <w:bidi w:val="0"/>
              <w:jc w:val="start"/>
              <w:rPr>
                <w:rFonts w:ascii="Calibri" w:hAnsi="Calibri"/>
                <w:b w:val="false"/>
                <w:b w:val="false"/>
                <w:bCs w:val="false"/>
                <w:i w:val="false"/>
                <w:i w:val="false"/>
                <w:iCs w:val="false"/>
                <w:strike w:val="false"/>
                <w:dstrike w:val="false"/>
                <w:outline w:val="false"/>
                <w:shadow w:val="false"/>
                <w:color w:val="auto"/>
                <w:sz w:val="24"/>
                <w:szCs w:val="24"/>
                <w:u w:val="none"/>
              </w:rPr>
            </w:pPr>
            <w:r>
              <w:rPr>
                <w:b w:val="false"/>
                <w:bCs w:val="false"/>
                <w:i w:val="false"/>
                <w:iCs w:val="false"/>
                <w:strike w:val="false"/>
                <w:dstrike w:val="false"/>
                <w:outline w:val="false"/>
                <w:shadow w:val="false"/>
                <w:color w:val="auto"/>
                <w:sz w:val="24"/>
                <w:szCs w:val="24"/>
                <w:u w:val="none"/>
              </w:rPr>
            </w:r>
          </w:p>
        </w:tc>
      </w:tr>
    </w:tbl>
    <w:tbl>
      <w:tblPr>
        <w:tblW w:w="8306" w:type="dxa"/>
        <w:jc w:val="start"/>
        <w:tblInd w:w="698" w:type="dxa"/>
        <w:tblLayout w:type="fixed"/>
        <w:tblCellMar>
          <w:top w:w="85" w:type="dxa"/>
          <w:start w:w="85" w:type="dxa"/>
          <w:bottom w:w="85" w:type="dxa"/>
          <w:end w:w="85" w:type="dxa"/>
        </w:tblCellMar>
      </w:tblPr>
      <w:tblGrid>
        <w:gridCol w:w="8306"/>
      </w:tblGrid>
      <w:tr>
        <w:trPr>
          <w:cantSplit w:val="true"/>
        </w:trPr>
        <w:tc>
          <w:tcPr>
            <w:tcW w:w="8306" w:type="dxa"/>
            <w:tcBorders>
              <w:start w:val="single" w:sz="18" w:space="0" w:color="1D5AAB"/>
            </w:tcBorders>
          </w:tcPr>
          <w:p>
            <w:pPr>
              <w:pStyle w:val="TableIndent"/>
              <w:bidi w:val="0"/>
              <w:jc w:val="start"/>
              <w:rPr/>
            </w:pPr>
            <w:r>
              <w:rPr/>
              <w:t>Hinweis</w:t>
            </w:r>
          </w:p>
        </w:tc>
      </w:tr>
    </w:tbl>
    <w:tbl>
      <w:tblPr>
        <w:tblW w:w="8306" w:type="dxa"/>
        <w:jc w:val="start"/>
        <w:tblInd w:w="698" w:type="dxa"/>
        <w:tblLayout w:type="fixed"/>
        <w:tblCellMar>
          <w:top w:w="85" w:type="dxa"/>
          <w:start w:w="170" w:type="dxa"/>
          <w:bottom w:w="85" w:type="dxa"/>
          <w:end w:w="170" w:type="dxa"/>
        </w:tblCellMar>
      </w:tblPr>
      <w:tblGrid>
        <w:gridCol w:w="8306"/>
      </w:tblGrid>
      <w:tr>
        <w:trPr>
          <w:cantSplit w:val="true"/>
        </w:trPr>
        <w:tc>
          <w:tcPr>
            <w:tcW w:w="8306" w:type="dxa"/>
            <w:tcBorders>
              <w:start w:val="single" w:sz="18" w:space="0" w:color="D6A042"/>
            </w:tcBorders>
          </w:tcPr>
          <w:p>
            <w:pPr>
              <w:pStyle w:val="TableContents"/>
              <w:bidi w:val="0"/>
              <w:jc w:val="star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Warnung</w:t>
            </w:r>
          </w:p>
        </w:tc>
      </w:tr>
    </w:tbl>
    <w:tbl>
      <w:tblPr>
        <w:tblW w:w="8306" w:type="dxa"/>
        <w:jc w:val="start"/>
        <w:tblInd w:w="698" w:type="dxa"/>
        <w:tblLayout w:type="fixed"/>
        <w:tblCellMar>
          <w:top w:w="85" w:type="dxa"/>
          <w:start w:w="170" w:type="dxa"/>
          <w:bottom w:w="85" w:type="dxa"/>
          <w:end w:w="170" w:type="dxa"/>
        </w:tblCellMar>
      </w:tblPr>
      <w:tblGrid>
        <w:gridCol w:w="8306"/>
      </w:tblGrid>
      <w:tr>
        <w:trPr>
          <w:cantSplit w:val="true"/>
        </w:trPr>
        <w:tc>
          <w:tcPr>
            <w:tcW w:w="8306" w:type="dxa"/>
            <w:tcBorders>
              <w:start w:val="single" w:sz="18" w:space="0" w:color="7C2482"/>
            </w:tcBorders>
          </w:tcPr>
          <w:p>
            <w:pPr>
              <w:pStyle w:val="TableContents"/>
              <w:bidi w:val="0"/>
              <w:jc w:val="star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Wichtig</w:t>
            </w:r>
          </w:p>
        </w:tc>
      </w:tr>
    </w:tbl>
    <w:p>
      <w:pPr>
        <w:pStyle w:val="TextBody"/>
        <w:bidi w:val="0"/>
        <w:spacing w:lineRule="auto" w:line="276" w:before="0" w:after="140"/>
        <w:ind w:start="360" w:end="0" w:hanging="0"/>
        <w:jc w:val="start"/>
        <w:rPr/>
      </w:pPr>
      <w:r>
        <w:rPr/>
      </w:r>
    </w:p>
    <w:sectPr>
      <w:type w:val="nextPage"/>
      <w:pgSz w:w="11906" w:h="16838"/>
      <w:pgMar w:left="1440" w:right="720" w:gutter="0" w:header="0" w:top="720" w:footer="0" w:bottom="72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OpenSymbol">
    <w:altName w:val="Arial Unicode MS"/>
    <w:charset w:val="02"/>
    <w:family w:val="auto"/>
    <w:pitch w:val="default"/>
  </w:font>
  <w:font w:name="Courier New">
    <w:charset w:val="01" w:characterSet="utf-8"/>
    <w:family w:val="modern"/>
    <w:pitch w:val="fixed"/>
  </w:font>
  <w:font w:name="Wingdings">
    <w:charset w:val="02"/>
    <w:family w:val="auto"/>
    <w:pitch w:val="default"/>
  </w:font>
  <w:font w:name="Monotype Sorts">
    <w:charset w:val="02"/>
    <w:family w:val="auto"/>
    <w:pitch w:val="default"/>
  </w:font>
  <w:font w:name="Wingdings 3">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rFonts w:ascii="Calibri" w:hAnsi="Calibri"/>
        <w:color w:val="BD0100"/>
      </w:rPr>
    </w:lvl>
    <w:lvl w:ilvl="1">
      <w:start w:val="1"/>
      <w:numFmt w:val="decimal"/>
      <w:lvlText w:val="%2."/>
      <w:lvlJc w:val="start"/>
      <w:pPr>
        <w:tabs>
          <w:tab w:val="num" w:pos="794"/>
        </w:tabs>
        <w:ind w:start="1151" w:hanging="397"/>
      </w:pPr>
      <w:rPr>
        <w:rFonts w:ascii="Calibri" w:hAnsi="Calibri"/>
        <w:color w:val="BD0100"/>
      </w:rPr>
    </w:lvl>
    <w:lvl w:ilvl="2">
      <w:start w:val="1"/>
      <w:numFmt w:val="decimal"/>
      <w:lvlText w:val="%3."/>
      <w:lvlJc w:val="start"/>
      <w:pPr>
        <w:tabs>
          <w:tab w:val="num" w:pos="1191"/>
        </w:tabs>
        <w:ind w:start="1548" w:hanging="397"/>
      </w:pPr>
      <w:rPr>
        <w:rFonts w:ascii="Calibri" w:hAnsi="Calibri"/>
        <w:color w:val="BD0100"/>
      </w:rPr>
    </w:lvl>
    <w:lvl w:ilvl="3">
      <w:start w:val="1"/>
      <w:numFmt w:val="decimal"/>
      <w:lvlText w:val="%4."/>
      <w:lvlJc w:val="start"/>
      <w:pPr>
        <w:tabs>
          <w:tab w:val="num" w:pos="1588"/>
        </w:tabs>
        <w:ind w:start="1945" w:hanging="397"/>
      </w:pPr>
      <w:rPr>
        <w:rFonts w:ascii="Calibri" w:hAnsi="Calibri"/>
        <w:color w:val="BD0100"/>
      </w:rPr>
    </w:lvl>
    <w:lvl w:ilvl="4">
      <w:start w:val="1"/>
      <w:numFmt w:val="decimal"/>
      <w:lvlText w:val="%5."/>
      <w:lvlJc w:val="start"/>
      <w:pPr>
        <w:tabs>
          <w:tab w:val="num" w:pos="1985"/>
        </w:tabs>
        <w:ind w:start="2342" w:hanging="397"/>
      </w:pPr>
      <w:rPr>
        <w:rFonts w:ascii="Calibri" w:hAnsi="Calibri"/>
        <w:color w:val="BD0100"/>
      </w:rPr>
    </w:lvl>
    <w:lvl w:ilvl="5">
      <w:start w:val="1"/>
      <w:numFmt w:val="decimal"/>
      <w:lvlText w:val="%6."/>
      <w:lvlJc w:val="start"/>
      <w:pPr>
        <w:tabs>
          <w:tab w:val="num" w:pos="2381"/>
        </w:tabs>
        <w:ind w:start="2738" w:hanging="397"/>
      </w:pPr>
      <w:rPr>
        <w:rFonts w:ascii="Calibri" w:hAnsi="Calibri"/>
        <w:color w:val="BD0100"/>
      </w:rPr>
    </w:lvl>
    <w:lvl w:ilvl="6">
      <w:start w:val="1"/>
      <w:numFmt w:val="decimal"/>
      <w:lvlText w:val="%7."/>
      <w:lvlJc w:val="start"/>
      <w:pPr>
        <w:tabs>
          <w:tab w:val="num" w:pos="2778"/>
        </w:tabs>
        <w:ind w:start="3135" w:hanging="397"/>
      </w:pPr>
      <w:rPr>
        <w:rFonts w:ascii="Calibri" w:hAnsi="Calibri"/>
        <w:color w:val="BD0100"/>
      </w:rPr>
    </w:lvl>
    <w:lvl w:ilvl="7">
      <w:start w:val="1"/>
      <w:numFmt w:val="decimal"/>
      <w:lvlText w:val="%8."/>
      <w:lvlJc w:val="start"/>
      <w:pPr>
        <w:tabs>
          <w:tab w:val="num" w:pos="3175"/>
        </w:tabs>
        <w:ind w:start="3532" w:hanging="397"/>
      </w:pPr>
      <w:rPr>
        <w:rFonts w:ascii="Calibri" w:hAnsi="Calibri"/>
        <w:color w:val="BD0100"/>
      </w:rPr>
    </w:lvl>
    <w:lvl w:ilvl="8">
      <w:start w:val="1"/>
      <w:numFmt w:val="decimal"/>
      <w:lvlText w:val="%9."/>
      <w:lvlJc w:val="start"/>
      <w:pPr>
        <w:tabs>
          <w:tab w:val="num" w:pos="3572"/>
        </w:tabs>
        <w:ind w:start="3929" w:hanging="397"/>
      </w:pPr>
      <w:rPr>
        <w:rFonts w:ascii="Calibri" w:hAnsi="Calibri"/>
        <w:color w:val="BD0100"/>
      </w:rPr>
    </w:lvl>
  </w:abstractNum>
  <w:abstractNum w:abstractNumId="3">
    <w:lvl w:ilvl="0">
      <w:start w:val="1"/>
      <w:numFmt w:val="bullet"/>
      <w:lvlText w:val=""/>
      <w:lvlJc w:val="start"/>
      <w:pPr>
        <w:tabs>
          <w:tab w:val="num" w:pos="680"/>
        </w:tabs>
        <w:ind w:start="680" w:hanging="396"/>
      </w:pPr>
      <w:rPr>
        <w:rFonts w:ascii="Wingdings" w:hAnsi="Wingdings" w:cs="Wingdings" w:hint="default"/>
        <w:color w:val="BD0100"/>
      </w:rPr>
    </w:lvl>
    <w:lvl w:ilvl="1">
      <w:start w:val="1"/>
      <w:numFmt w:val="bullet"/>
      <w:lvlText w:val=""/>
      <w:lvlJc w:val="start"/>
      <w:pPr>
        <w:tabs>
          <w:tab w:val="num" w:pos="1077"/>
        </w:tabs>
        <w:ind w:start="1077" w:hanging="397"/>
      </w:pPr>
      <w:rPr>
        <w:rFonts w:ascii="Monotype Sorts" w:hAnsi="Monotype Sorts" w:cs="Monotype Sorts" w:hint="default"/>
        <w:color w:val="BD0100"/>
      </w:rPr>
    </w:lvl>
    <w:lvl w:ilvl="2">
      <w:start w:val="1"/>
      <w:numFmt w:val="bullet"/>
      <w:lvlText w:val=""/>
      <w:lvlJc w:val="start"/>
      <w:pPr>
        <w:tabs>
          <w:tab w:val="num" w:pos="1474"/>
        </w:tabs>
        <w:ind w:start="1474" w:hanging="397"/>
      </w:pPr>
      <w:rPr>
        <w:rFonts w:ascii="Wingdings 3" w:hAnsi="Wingdings 3" w:cs="Wingdings 3" w:hint="default"/>
        <w:color w:val="BD0100"/>
      </w:rPr>
    </w:lvl>
    <w:lvl w:ilvl="3">
      <w:start w:val="1"/>
      <w:numFmt w:val="bullet"/>
      <w:lvlText w:val=""/>
      <w:lvlJc w:val="start"/>
      <w:pPr>
        <w:tabs>
          <w:tab w:val="num" w:pos="1871"/>
        </w:tabs>
        <w:ind w:start="1871" w:hanging="397"/>
      </w:pPr>
      <w:rPr>
        <w:rFonts w:ascii="Wingdings" w:hAnsi="Wingdings" w:cs="Wingdings" w:hint="default"/>
        <w:color w:val="BD0100"/>
      </w:rPr>
    </w:lvl>
    <w:lvl w:ilvl="4">
      <w:start w:val="1"/>
      <w:numFmt w:val="bullet"/>
      <w:lvlText w:val=""/>
      <w:lvlJc w:val="start"/>
      <w:pPr>
        <w:tabs>
          <w:tab w:val="num" w:pos="2268"/>
        </w:tabs>
        <w:ind w:start="2268" w:hanging="397"/>
      </w:pPr>
      <w:rPr>
        <w:rFonts w:ascii="Symbol" w:hAnsi="Symbol" w:cs="Symbol" w:hint="default"/>
        <w:color w:val="BD0100"/>
      </w:rPr>
    </w:lvl>
    <w:lvl w:ilvl="5">
      <w:start w:val="1"/>
      <w:numFmt w:val="bullet"/>
      <w:lvlText w:val=""/>
      <w:lvlJc w:val="start"/>
      <w:pPr>
        <w:tabs>
          <w:tab w:val="num" w:pos="2665"/>
        </w:tabs>
        <w:ind w:start="2665" w:hanging="397"/>
      </w:pPr>
      <w:rPr>
        <w:rFonts w:ascii="Symbol" w:hAnsi="Symbol" w:cs="Symbol" w:hint="default"/>
        <w:color w:val="BD0100"/>
      </w:rPr>
    </w:lvl>
    <w:lvl w:ilvl="6">
      <w:start w:val="1"/>
      <w:numFmt w:val="bullet"/>
      <w:lvlText w:val=""/>
      <w:lvlJc w:val="start"/>
      <w:pPr>
        <w:tabs>
          <w:tab w:val="num" w:pos="3061"/>
        </w:tabs>
        <w:ind w:start="3061" w:hanging="396"/>
      </w:pPr>
      <w:rPr>
        <w:rFonts w:ascii="Symbol" w:hAnsi="Symbol" w:cs="Symbol" w:hint="default"/>
        <w:color w:val="BD0100"/>
      </w:rPr>
    </w:lvl>
    <w:lvl w:ilvl="7">
      <w:start w:val="1"/>
      <w:numFmt w:val="bullet"/>
      <w:lvlText w:val=""/>
      <w:lvlJc w:val="start"/>
      <w:pPr>
        <w:tabs>
          <w:tab w:val="num" w:pos="3458"/>
        </w:tabs>
        <w:ind w:start="3458" w:hanging="397"/>
      </w:pPr>
      <w:rPr>
        <w:rFonts w:ascii="Symbol" w:hAnsi="Symbol" w:cs="Symbol" w:hint="default"/>
        <w:color w:val="BD0100"/>
      </w:rPr>
    </w:lvl>
    <w:lvl w:ilvl="8">
      <w:start w:val="1"/>
      <w:numFmt w:val="bullet"/>
      <w:lvlText w:val=""/>
      <w:lvlJc w:val="start"/>
      <w:pPr>
        <w:tabs>
          <w:tab w:val="num" w:pos="3855"/>
        </w:tabs>
        <w:ind w:start="3855" w:hanging="397"/>
      </w:pPr>
      <w:rPr>
        <w:rFonts w:ascii="Symbol" w:hAnsi="Symbol" w:cs="Symbol" w:hint="default"/>
        <w:color w:val="BD01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docVars>
    <w:docVar w:name="DocumentTitle" w:val="Technisches Referenzdokument"/>
    <w:docVar w:name="DocumentSubject" w:val="System for Cross-Domain Identity Management im Kontext Provisionierung"/>
    <w:docVar w:name="DocumentEdition" w:val="[Document Edition]"/>
    <w:docVar w:name="ProductRelease" w:val="&lt;Release&gt;"/>
    <w:docVar w:name="PublicationPeriod" w:val="Februar 2024"/>
    <w:docVar w:name="PublicationDate" w:val="[Document Publication Da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alibri" w:hAnsi="Calibri" w:eastAsia="Songti SC" w:cs="Arial Unicode MS"/>
      <w:color w:val="auto"/>
      <w:kern w:val="2"/>
      <w:sz w:val="24"/>
      <w:szCs w:val="24"/>
      <w:lang w:val="de-DE" w:eastAsia="zh-CN" w:bidi="hi-IN"/>
    </w:rPr>
  </w:style>
  <w:style w:type="paragraph" w:styleId="Heading1">
    <w:name w:val="Heading 1"/>
    <w:basedOn w:val="Heading"/>
    <w:next w:val="TextBody"/>
    <w:qFormat/>
    <w:pPr>
      <w:numPr>
        <w:ilvl w:val="0"/>
        <w:numId w:val="1"/>
      </w:numPr>
      <w:spacing w:before="0" w:after="200"/>
      <w:outlineLvl w:val="0"/>
    </w:pPr>
    <w:rPr>
      <w:b/>
      <w:bCs/>
      <w:sz w:val="64"/>
      <w:szCs w:val="36"/>
    </w:rPr>
  </w:style>
  <w:style w:type="paragraph" w:styleId="Heading2">
    <w:name w:val="Heading 2"/>
    <w:basedOn w:val="Heading"/>
    <w:next w:val="TextBody"/>
    <w:qFormat/>
    <w:pPr>
      <w:pageBreakBefore/>
      <w:numPr>
        <w:ilvl w:val="1"/>
        <w:numId w:val="1"/>
      </w:numPr>
      <w:spacing w:before="0" w:after="200"/>
      <w:outlineLvl w:val="1"/>
    </w:pPr>
    <w:rPr>
      <w:b/>
      <w:bCs/>
      <w:sz w:val="48"/>
      <w:szCs w:val="32"/>
    </w:rPr>
  </w:style>
  <w:style w:type="paragraph" w:styleId="Heading3">
    <w:name w:val="Heading 3"/>
    <w:basedOn w:val="Heading"/>
    <w:next w:val="TextBody"/>
    <w:qFormat/>
    <w:pPr>
      <w:numPr>
        <w:ilvl w:val="2"/>
        <w:numId w:val="1"/>
      </w:numPr>
      <w:spacing w:before="60" w:after="200"/>
      <w:outlineLvl w:val="2"/>
    </w:pPr>
    <w:rPr>
      <w:b/>
      <w:bCs/>
      <w:sz w:val="40"/>
      <w:szCs w:val="28"/>
    </w:rPr>
  </w:style>
  <w:style w:type="paragraph" w:styleId="Heading4">
    <w:name w:val="Heading 4"/>
    <w:basedOn w:val="Heading"/>
    <w:next w:val="TextBody"/>
    <w:qFormat/>
    <w:pPr>
      <w:numPr>
        <w:ilvl w:val="3"/>
        <w:numId w:val="1"/>
      </w:numPr>
      <w:spacing w:before="60" w:after="200"/>
      <w:outlineLvl w:val="3"/>
    </w:pPr>
    <w:rPr>
      <w:b/>
      <w:bCs/>
      <w:i w:val="false"/>
      <w:iCs/>
      <w:sz w:val="36"/>
      <w:szCs w:val="26"/>
    </w:rPr>
  </w:style>
  <w:style w:type="paragraph" w:styleId="Heading5">
    <w:name w:val="Heading 5"/>
    <w:basedOn w:val="Heading"/>
    <w:next w:val="TextBody"/>
    <w:qFormat/>
    <w:pPr>
      <w:numPr>
        <w:ilvl w:val="4"/>
        <w:numId w:val="1"/>
      </w:numPr>
      <w:spacing w:before="60" w:after="140"/>
      <w:outlineLvl w:val="4"/>
    </w:pPr>
    <w:rPr>
      <w:b/>
      <w:bCs/>
      <w:sz w:val="32"/>
      <w:szCs w:val="24"/>
    </w:rPr>
  </w:style>
  <w:style w:type="paragraph" w:styleId="Heading6">
    <w:name w:val="Heading 6"/>
    <w:basedOn w:val="Heading"/>
    <w:next w:val="TextBody"/>
    <w:qFormat/>
    <w:pPr>
      <w:numPr>
        <w:ilvl w:val="5"/>
        <w:numId w:val="1"/>
      </w:numPr>
      <w:spacing w:before="60" w:after="140"/>
      <w:outlineLvl w:val="5"/>
    </w:pPr>
    <w:rPr>
      <w:b/>
      <w:bCs/>
      <w:i w:val="false"/>
      <w:iCs/>
      <w:sz w:val="28"/>
      <w:szCs w:val="24"/>
    </w:rPr>
  </w:style>
  <w:style w:type="paragraph" w:styleId="Heading7">
    <w:name w:val="Heading 7"/>
    <w:basedOn w:val="Heading"/>
    <w:next w:val="TextBody"/>
    <w:qFormat/>
    <w:pPr>
      <w:numPr>
        <w:ilvl w:val="6"/>
        <w:numId w:val="1"/>
      </w:numPr>
      <w:spacing w:before="60" w:after="200"/>
      <w:outlineLvl w:val="6"/>
    </w:pPr>
    <w:rPr>
      <w:b w:val="false"/>
      <w:bCs/>
      <w:i/>
      <w:sz w:val="28"/>
      <w:szCs w:val="20"/>
      <w:u w:val="none"/>
    </w:rPr>
  </w:style>
  <w:style w:type="paragraph" w:styleId="Heading8">
    <w:name w:val="Heading 8"/>
    <w:basedOn w:val="Heading"/>
    <w:next w:val="TextBody"/>
    <w:qFormat/>
    <w:pPr>
      <w:numPr>
        <w:ilvl w:val="7"/>
        <w:numId w:val="1"/>
      </w:numPr>
      <w:spacing w:before="60" w:after="200"/>
      <w:outlineLvl w:val="7"/>
    </w:pPr>
    <w:rPr>
      <w:b w:val="false"/>
      <w:bCs/>
      <w:i w:val="false"/>
      <w:iCs/>
      <w:sz w:val="28"/>
      <w:szCs w:val="20"/>
      <w:u w:val="single"/>
    </w:rPr>
  </w:style>
  <w:style w:type="paragraph" w:styleId="Heading9">
    <w:name w:val="Heading 9"/>
    <w:basedOn w:val="Heading"/>
    <w:next w:val="TextBody"/>
    <w:qFormat/>
    <w:pPr>
      <w:numPr>
        <w:ilvl w:val="8"/>
        <w:numId w:val="1"/>
      </w:numPr>
      <w:spacing w:before="60" w:after="200"/>
      <w:outlineLvl w:val="8"/>
    </w:pPr>
    <w:rPr>
      <w:b w:val="false"/>
      <w:bCs/>
      <w:sz w:val="24"/>
      <w:szCs w:val="1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rFonts w:ascii="Calibri" w:hAnsi="Calibri"/>
      <w:color w:val="BD0100"/>
    </w:rPr>
  </w:style>
  <w:style w:type="character" w:styleId="Bullets">
    <w:name w:val="Bullets"/>
    <w:qFormat/>
    <w:rPr>
      <w:rFonts w:ascii="OpenSymbol" w:hAnsi="OpenSymbol" w:eastAsia="OpenSymbol" w:cs="OpenSymbol"/>
      <w:color w:val="BD0100"/>
    </w:rPr>
  </w:style>
  <w:style w:type="character" w:styleId="SourceText">
    <w:name w:val="Source Text"/>
    <w:qFormat/>
    <w:rPr>
      <w:rFonts w:ascii="Courier New" w:hAnsi="Courier New" w:eastAsia="Liberation Mono" w:cs="Liberation Mono"/>
      <w:sz w:val="18"/>
    </w:rPr>
  </w:style>
  <w:style w:type="character" w:styleId="Variable">
    <w:name w:val="Variable"/>
    <w:qFormat/>
    <w:rPr>
      <w:rFonts w:ascii="Calibri" w:hAnsi="Calibri"/>
      <w:i/>
      <w:iCs/>
    </w:rPr>
  </w:style>
  <w:style w:type="paragraph" w:styleId="Heading">
    <w:name w:val="Heading"/>
    <w:basedOn w:val="Normal"/>
    <w:next w:val="TextBody"/>
    <w:qFormat/>
    <w:pPr>
      <w:keepNext w:val="true"/>
      <w:spacing w:before="240" w:after="120"/>
    </w:pPr>
    <w:rPr>
      <w:rFonts w:ascii="Calibri" w:hAnsi="Calibri" w:eastAsia="PingFang SC" w:cs="Arial Unicode MS"/>
      <w:color w:val="BD0100"/>
      <w:sz w:val="28"/>
      <w:szCs w:val="28"/>
    </w:rPr>
  </w:style>
  <w:style w:type="paragraph" w:styleId="TextBody">
    <w:name w:val="Body Text"/>
    <w:basedOn w:val="Normal"/>
    <w:pPr>
      <w:spacing w:lineRule="auto" w:line="276" w:before="0" w:after="140"/>
      <w:ind w:start="360" w:end="0" w:hanging="0"/>
    </w:pPr>
    <w:rPr/>
  </w:style>
  <w:style w:type="paragraph" w:styleId="List">
    <w:name w:val="List"/>
    <w:basedOn w:val="TextBody"/>
    <w:pPr>
      <w:numPr>
        <w:ilvl w:val="0"/>
        <w:numId w:val="3"/>
      </w:numPr>
      <w:tabs>
        <w:tab w:val="clear" w:pos="709"/>
      </w:tabs>
    </w:pPr>
    <w:rPr>
      <w:rFonts w:cs="Arial Unicode MS"/>
    </w:rPr>
  </w:style>
  <w:style w:type="paragraph" w:styleId="Caption">
    <w:name w:val="Caption"/>
    <w:basedOn w:val="Normal"/>
    <w:qFormat/>
    <w:pPr>
      <w:suppressLineNumbers/>
      <w:spacing w:before="120" w:after="120"/>
    </w:pPr>
    <w:rPr>
      <w:rFonts w:cs="Arial Unicode MS"/>
      <w:b/>
      <w:i w:val="false"/>
      <w:iCs/>
      <w:color w:val="BD0100"/>
      <w:sz w:val="16"/>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spacing w:before="0" w:after="120"/>
      <w:jc w:val="start"/>
    </w:pPr>
    <w:rPr>
      <w:b/>
      <w:bCs/>
      <w:color w:val="262626"/>
      <w:sz w:val="72"/>
      <w:szCs w:val="56"/>
    </w:rPr>
  </w:style>
  <w:style w:type="paragraph" w:styleId="Subtitle">
    <w:name w:val="Subtitle"/>
    <w:basedOn w:val="Heading"/>
    <w:next w:val="TextBody"/>
    <w:qFormat/>
    <w:pPr>
      <w:spacing w:before="0" w:after="120"/>
      <w:jc w:val="start"/>
    </w:pPr>
    <w:rPr>
      <w:i/>
      <w:sz w:val="48"/>
      <w:szCs w:val="36"/>
    </w:rPr>
  </w:style>
  <w:style w:type="paragraph" w:styleId="Heading10">
    <w:name w:val="Heading 10"/>
    <w:basedOn w:val="Heading"/>
    <w:next w:val="TextBody"/>
    <w:qFormat/>
    <w:pPr>
      <w:numPr>
        <w:ilvl w:val="8"/>
        <w:numId w:val="1"/>
      </w:numPr>
      <w:spacing w:before="60" w:after="200"/>
      <w:outlineLvl w:val="8"/>
    </w:pPr>
    <w:rPr>
      <w:b w:val="false"/>
      <w:bCs/>
      <w:sz w:val="24"/>
      <w:szCs w:val="18"/>
    </w:rPr>
  </w:style>
  <w:style w:type="paragraph" w:styleId="Appendix">
    <w:name w:val="Closing"/>
    <w:basedOn w:val="Heading"/>
    <w:next w:val="TextBody"/>
    <w:pPr>
      <w:pageBreakBefore/>
      <w:spacing w:before="0" w:after="200"/>
      <w:jc w:val="start"/>
    </w:pPr>
    <w:rPr>
      <w:b/>
      <w:bCs/>
      <w:sz w:val="48"/>
      <w:szCs w:val="32"/>
    </w:rPr>
  </w:style>
  <w:style w:type="paragraph" w:styleId="IndexHeading">
    <w:name w:val="Index Heading"/>
    <w:basedOn w:val="Heading"/>
    <w:pPr>
      <w:pageBreakBefore/>
      <w:suppressLineNumbers/>
      <w:ind w:start="0" w:end="0" w:hanging="0"/>
    </w:pPr>
    <w:rPr>
      <w:b/>
      <w:bCs/>
      <w:sz w:val="48"/>
      <w:szCs w:val="32"/>
    </w:rPr>
  </w:style>
  <w:style w:type="paragraph" w:styleId="ContentsHeading">
    <w:name w:val="TOC Heading"/>
    <w:basedOn w:val="IndexHeading"/>
    <w:pPr>
      <w:suppressLineNumbers/>
      <w:ind w:start="0" w:end="0" w:hanging="0"/>
    </w:pPr>
    <w:rPr/>
  </w:style>
  <w:style w:type="paragraph" w:styleId="PreformattedText">
    <w:name w:val="Preformatted Text"/>
    <w:basedOn w:val="Normal"/>
    <w:qFormat/>
    <w:pPr>
      <w:spacing w:before="0" w:after="0"/>
    </w:pPr>
    <w:rPr>
      <w:rFonts w:ascii="Courier New" w:hAnsi="Courier New" w:eastAsia="Liberation Mono" w:cs="Liberation Mono"/>
      <w:sz w:val="18"/>
      <w:szCs w:val="20"/>
    </w:rPr>
  </w:style>
  <w:style w:type="paragraph" w:styleId="TableContents">
    <w:name w:val="Table Contents"/>
    <w:basedOn w:val="Normal"/>
    <w:qFormat/>
    <w:pPr>
      <w:widowControl w:val="false"/>
      <w:suppressLineNumbers/>
      <w:pBdr/>
    </w:pPr>
    <w:rPr>
      <w:b w:val="false"/>
    </w:rPr>
  </w:style>
  <w:style w:type="paragraph" w:styleId="Contents2">
    <w:name w:val="TOC 2"/>
    <w:basedOn w:val="Index"/>
    <w:pPr>
      <w:tabs>
        <w:tab w:val="clear" w:pos="709"/>
        <w:tab w:val="right" w:pos="9638" w:leader="dot"/>
      </w:tabs>
      <w:ind w:start="283" w:end="0" w:hanging="0"/>
    </w:pPr>
    <w:rPr/>
  </w:style>
  <w:style w:type="paragraph" w:styleId="Contents3">
    <w:name w:val="TOC 3"/>
    <w:basedOn w:val="Index"/>
    <w:pPr>
      <w:tabs>
        <w:tab w:val="clear" w:pos="709"/>
        <w:tab w:val="right" w:pos="9638" w:leader="dot"/>
      </w:tabs>
      <w:ind w:start="567" w:end="0" w:hanging="0"/>
    </w:pPr>
    <w:rPr/>
  </w:style>
  <w:style w:type="paragraph" w:styleId="TableHeading">
    <w:name w:val="Table Heading"/>
    <w:basedOn w:val="TableContents"/>
    <w:qFormat/>
    <w:pPr>
      <w:suppressLineNumbers/>
      <w:shd w:fill="3D3D3D" w:val="clear"/>
      <w:jc w:val="start"/>
    </w:pPr>
    <w:rPr>
      <w:b/>
      <w:bCs/>
      <w:color w:val="FFFFFF"/>
      <w:shd w:fill="3D3D3D" w:val="clear"/>
    </w:rPr>
  </w:style>
  <w:style w:type="paragraph" w:styleId="Contents4">
    <w:name w:val="TOC 4"/>
    <w:basedOn w:val="Index"/>
    <w:pPr>
      <w:tabs>
        <w:tab w:val="clear" w:pos="709"/>
        <w:tab w:val="right" w:pos="9746" w:leader="dot"/>
      </w:tabs>
      <w:ind w:start="850" w:end="0" w:hanging="0"/>
    </w:pPr>
    <w:rPr/>
  </w:style>
  <w:style w:type="paragraph" w:styleId="BibliographyHeading">
    <w:name w:val="Table of Authorities"/>
    <w:basedOn w:val="IndexHeading"/>
    <w:pPr>
      <w:suppressLineNumbers/>
      <w:ind w:start="0" w:end="0" w:hanging="0"/>
    </w:pPr>
    <w:rPr/>
  </w:style>
  <w:style w:type="paragraph" w:styleId="FigureIndexHeading">
    <w:name w:val="Figure Index Heading"/>
    <w:basedOn w:val="IndexHeading"/>
    <w:qFormat/>
    <w:pPr>
      <w:suppressLineNumbers/>
      <w:ind w:start="0" w:end="0" w:hanging="0"/>
    </w:pPr>
    <w:rPr/>
  </w:style>
  <w:style w:type="paragraph" w:styleId="ObjectIndexHeading">
    <w:name w:val="Object Index Heading"/>
    <w:basedOn w:val="IndexHeading"/>
    <w:qFormat/>
    <w:pPr>
      <w:suppressLineNumbers/>
      <w:ind w:start="0" w:end="0" w:hanging="0"/>
    </w:pPr>
    <w:rPr/>
  </w:style>
  <w:style w:type="paragraph" w:styleId="TableIndexHeading">
    <w:name w:val="Table Index Heading"/>
    <w:basedOn w:val="IndexHeading"/>
    <w:qFormat/>
    <w:pPr>
      <w:suppressLineNumbers/>
      <w:ind w:start="0" w:end="0" w:hanging="0"/>
    </w:pPr>
    <w:rPr/>
  </w:style>
  <w:style w:type="paragraph" w:styleId="UserIndexHeading">
    <w:name w:val="User Index Heading"/>
    <w:basedOn w:val="IndexHeading"/>
    <w:qFormat/>
    <w:pPr>
      <w:suppressLineNumbers/>
      <w:ind w:start="0" w:end="0" w:hanging="0"/>
    </w:pPr>
    <w:rPr/>
  </w:style>
  <w:style w:type="paragraph" w:styleId="HeaderandFooter">
    <w:name w:val="Header and Footer"/>
    <w:basedOn w:val="Normal"/>
    <w:qFormat/>
    <w:pPr>
      <w:suppressLineNumbers/>
      <w:tabs>
        <w:tab w:val="clear" w:pos="709"/>
        <w:tab w:val="center" w:pos="4873" w:leader="none"/>
        <w:tab w:val="right" w:pos="9746" w:leader="none"/>
      </w:tabs>
    </w:pPr>
    <w:rPr/>
  </w:style>
  <w:style w:type="paragraph" w:styleId="Header">
    <w:name w:val="Header"/>
    <w:basedOn w:val="HeaderandFooter"/>
    <w:pPr>
      <w:suppressLineNumbers/>
    </w:pPr>
    <w:rPr/>
  </w:style>
  <w:style w:type="paragraph" w:styleId="List1">
    <w:name w:val="List 2"/>
    <w:basedOn w:val="List"/>
    <w:pPr>
      <w:spacing w:before="0" w:after="120"/>
      <w:ind w:start="950" w:end="0" w:hanging="360"/>
    </w:pPr>
    <w:rPr/>
  </w:style>
  <w:style w:type="paragraph" w:styleId="TableIndent">
    <w:name w:val="Table Indent"/>
    <w:basedOn w:val="Normal"/>
    <w:qFormat/>
    <w:pPr>
      <w:ind w:start="85" w:end="85" w:hanging="0"/>
      <w:jc w:val="start"/>
    </w:pPr>
    <w:rPr>
      <w:rFonts w:ascii="Calibri" w:hAnsi="Calibri"/>
      <w:b w:val="false"/>
      <w:bCs w:val="false"/>
      <w:i w:val="false"/>
      <w:iCs w:val="false"/>
      <w:strike w:val="false"/>
      <w:dstrike w:val="false"/>
      <w:outline w:val="false"/>
      <w:shadow w:val="false"/>
      <w:color w:val="000000"/>
      <w:sz w:val="24"/>
      <w:szCs w:val="24"/>
      <w:u w:val="none"/>
    </w:rPr>
  </w:style>
  <w:style w:type="paragraph" w:styleId="ListIndent">
    <w:name w:val="List Indent"/>
    <w:basedOn w:val="TextBody"/>
    <w:qFormat/>
    <w:pPr>
      <w:tabs>
        <w:tab w:val="clear" w:pos="709"/>
        <w:tab w:val="left" w:pos="2835" w:leader="none"/>
      </w:tabs>
      <w:ind w:start="2835" w:end="0" w:hanging="2551"/>
    </w:pPr>
    <w:rPr/>
  </w:style>
  <w:style w:type="paragraph" w:styleId="Numbering1">
    <w:name w:val="List 3"/>
    <w:basedOn w:val="List"/>
    <w:pPr>
      <w:numPr>
        <w:ilvl w:val="0"/>
        <w:numId w:val="2"/>
      </w:numPr>
      <w:spacing w:before="0" w:after="120"/>
      <w:ind w:start="950" w:end="0" w:hanging="360"/>
    </w:pPr>
    <w:rPr/>
  </w:style>
  <w:style w:type="paragraph" w:styleId="Contents5">
    <w:name w:val="TOC 5"/>
    <w:basedOn w:val="Index"/>
    <w:pPr>
      <w:tabs>
        <w:tab w:val="clear" w:pos="709"/>
        <w:tab w:val="right" w:pos="9746" w:leader="dot"/>
      </w:tabs>
      <w:ind w:start="1134" w:hanging="0"/>
    </w:pPr>
    <w:rPr/>
  </w:style>
  <w:style w:type="paragraph" w:styleId="Contents6">
    <w:name w:val="TOC 6"/>
    <w:basedOn w:val="Index"/>
    <w:pPr>
      <w:tabs>
        <w:tab w:val="clear" w:pos="709"/>
        <w:tab w:val="right" w:pos="9746" w:leader="dot"/>
      </w:tabs>
      <w:ind w:start="1417" w:hanging="0"/>
    </w:pPr>
    <w:rPr/>
  </w:style>
  <w:style w:type="numbering" w:styleId="Numbering123">
    <w:name w:val="Numbering 123"/>
    <w:qFormat/>
  </w:style>
  <w:style w:type="numbering" w:styleId="Bullet">
    <w:name w:val="Bullet •"/>
    <w:qFormat/>
  </w:style>
  <w:style w:type="numbering" w:styleId="Bullet1">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RedSecurity A4 Portrait (German)</Template>
  <TotalTime>6</TotalTime>
  <Application>LibreOffice/7.3.2.2$MacOSX_X86_64 LibreOffice_project/49f2b1bff42cfccbd8f788c8dc32c1c309559be0</Application>
  <AppVersion>15.0000</AppVersion>
  <Pages>6</Pages>
  <Words>458</Words>
  <Characters>3065</Characters>
  <CharactersWithSpaces>3463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2024-02-18T13:35:28Z</dcterms:created>
  <dc:creator>Dieter Steding</dc:creator>
  <dc:description/>
  <dc:language>de-DE</dc:language>
  <cp:lastModifiedBy>Dieter Steding</cp:lastModifiedBy>
  <dcterms:modified xsi:type="dcterms:W3CDTF">2024-02-18T13:42:15Z</dcterms:modified>
  <cp:revision>2</cp:revision>
  <dc:subject/>
  <dc:title>RedSecurity A4 Portrait (German)</dc:title>
</cp:coreProperties>
</file>