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D5F1" w14:textId="77777777" w:rsidR="001223F0" w:rsidRDefault="00000000">
      <w:pPr>
        <w:pStyle w:val="Title"/>
        <w:jc w:val="center"/>
        <w:rPr>
          <w:rFonts w:ascii="Google Sans" w:eastAsia="Google Sans" w:hAnsi="Google Sans" w:cs="Google Sans"/>
          <w:b/>
          <w:sz w:val="24"/>
          <w:szCs w:val="24"/>
        </w:rPr>
      </w:pPr>
      <w:bookmarkStart w:id="0" w:name="_kuduxtw0qwid" w:colFirst="0" w:colLast="0"/>
      <w:bookmarkEnd w:id="0"/>
      <w:proofErr w:type="spellStart"/>
      <w:r>
        <w:rPr>
          <w:rFonts w:ascii="Google Sans" w:eastAsia="Google Sans" w:hAnsi="Google Sans" w:cs="Google Sans"/>
          <w:b/>
          <w:color w:val="3C78D8"/>
        </w:rPr>
        <w:t>Botium</w:t>
      </w:r>
      <w:proofErr w:type="spellEnd"/>
      <w:r>
        <w:rPr>
          <w:rFonts w:ascii="Google Sans" w:eastAsia="Google Sans" w:hAnsi="Google Sans" w:cs="Google Sans"/>
          <w:b/>
          <w:color w:val="3C78D8"/>
        </w:rPr>
        <w:t xml:space="preserve"> Toys: Audit scope and goals </w:t>
      </w:r>
    </w:p>
    <w:p w14:paraId="7F9D6619" w14:textId="77777777" w:rsidR="001223F0"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331A5FBD" wp14:editId="15D7AED4">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5462CE7B" w14:textId="77777777" w:rsidR="001223F0" w:rsidRDefault="001223F0">
      <w:pPr>
        <w:rPr>
          <w:rFonts w:ascii="Google Sans" w:eastAsia="Google Sans" w:hAnsi="Google Sans" w:cs="Google Sans"/>
          <w:sz w:val="24"/>
          <w:szCs w:val="24"/>
        </w:rPr>
      </w:pPr>
    </w:p>
    <w:p w14:paraId="6D983932" w14:textId="77777777" w:rsidR="001223F0" w:rsidRDefault="00000000">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03D71E51" w14:textId="77777777" w:rsidR="001223F0"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0E5AB457" wp14:editId="48C51F5C">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6EB2B34F" w14:textId="77777777" w:rsidR="001223F0" w:rsidRDefault="00000000">
      <w:pPr>
        <w:pStyle w:val="Subtitle"/>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w:t>
      </w:r>
      <w:proofErr w:type="spellStart"/>
      <w:r>
        <w:rPr>
          <w:rFonts w:ascii="Google Sans" w:eastAsia="Google Sans" w:hAnsi="Google Sans" w:cs="Google Sans"/>
          <w:i/>
          <w:color w:val="434343"/>
          <w:sz w:val="24"/>
          <w:szCs w:val="24"/>
        </w:rPr>
        <w:t>Botium</w:t>
      </w:r>
      <w:proofErr w:type="spellEnd"/>
      <w:r>
        <w:rPr>
          <w:rFonts w:ascii="Google Sans" w:eastAsia="Google Sans" w:hAnsi="Google Sans" w:cs="Google Sans"/>
          <w:i/>
          <w:color w:val="434343"/>
          <w:sz w:val="24"/>
          <w:szCs w:val="24"/>
        </w:rPr>
        <w:t xml:space="preserve"> Toys. This means all assets need to be assessed alongside internal processes and procedures</w:t>
      </w:r>
      <w:r>
        <w:rPr>
          <w:rFonts w:ascii="Google Sans" w:eastAsia="Google Sans" w:hAnsi="Google Sans" w:cs="Google Sans"/>
          <w:color w:val="434343"/>
          <w:sz w:val="24"/>
          <w:szCs w:val="24"/>
        </w:rPr>
        <w:t>).</w:t>
      </w:r>
    </w:p>
    <w:p w14:paraId="5895CC24" w14:textId="77777777" w:rsidR="001223F0" w:rsidRDefault="00000000">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will assess the following:</w:t>
      </w:r>
    </w:p>
    <w:p w14:paraId="05C57765" w14:textId="77777777" w:rsidR="001223F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user permissions set in the following systems: accounting, end point detection, firewalls, intrusion detection system, security information and event management (SIEM) tool.</w:t>
      </w:r>
    </w:p>
    <w:p w14:paraId="038209E7" w14:textId="77777777" w:rsidR="001223F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2EC29CD7" w14:textId="77777777" w:rsidR="001223F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7B07A73D" w14:textId="77777777" w:rsidR="001223F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6FA7C5C5" w14:textId="77777777" w:rsidR="001223F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125B0517" w14:textId="77777777" w:rsidR="001223F0" w:rsidRDefault="00000000">
      <w:pPr>
        <w:pStyle w:val="Subtitle"/>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4D50D746" wp14:editId="315F83E1">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48DEF3D5" w14:textId="77777777" w:rsidR="001223F0" w:rsidRDefault="00000000">
      <w:pPr>
        <w:pStyle w:val="Subtitle"/>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2C3D203A" w14:textId="77777777" w:rsidR="001223F0"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goals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are:</w:t>
      </w:r>
    </w:p>
    <w:p w14:paraId="400A0F7C" w14:textId="77777777" w:rsidR="001223F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5D00EDA6" w14:textId="77777777" w:rsidR="001223F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compliant </w:t>
      </w:r>
    </w:p>
    <w:p w14:paraId="07A9DED6" w14:textId="77777777" w:rsidR="001223F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Fortify system controls</w:t>
      </w:r>
    </w:p>
    <w:p w14:paraId="1AD66FF1" w14:textId="77777777" w:rsidR="001223F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management </w:t>
      </w:r>
    </w:p>
    <w:p w14:paraId="2F912CDF" w14:textId="77777777" w:rsidR="001223F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playbooks </w:t>
      </w:r>
    </w:p>
    <w:p w14:paraId="6F7322F4" w14:textId="77777777" w:rsidR="001223F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requirements </w:t>
      </w:r>
    </w:p>
    <w:p w14:paraId="2F10D078" w14:textId="77777777" w:rsidR="001223F0" w:rsidRDefault="001223F0">
      <w:pPr>
        <w:rPr>
          <w:rFonts w:ascii="Google Sans" w:eastAsia="Google Sans" w:hAnsi="Google Sans" w:cs="Google Sans"/>
        </w:rPr>
      </w:pPr>
    </w:p>
    <w:sectPr w:rsidR="001223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024"/>
    <w:multiLevelType w:val="multilevel"/>
    <w:tmpl w:val="03588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CC3084"/>
    <w:multiLevelType w:val="multilevel"/>
    <w:tmpl w:val="D87C8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1745344">
    <w:abstractNumId w:val="1"/>
  </w:num>
  <w:num w:numId="2" w16cid:durableId="30489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3F0"/>
    <w:rsid w:val="001223F0"/>
    <w:rsid w:val="00B478F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FE99"/>
  <w15:docId w15:val="{37D94971-F938-49B9-B2D0-7485EB2F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supplement/I8hEO/more-about-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2</cp:revision>
  <dcterms:created xsi:type="dcterms:W3CDTF">2024-01-05T00:32:00Z</dcterms:created>
  <dcterms:modified xsi:type="dcterms:W3CDTF">2024-01-05T00:32:00Z</dcterms:modified>
</cp:coreProperties>
</file>