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CD4A" w14:textId="5B2DD37A" w:rsidR="008259A2" w:rsidRPr="008259A2" w:rsidRDefault="00000000" w:rsidP="008259A2">
      <w:pPr>
        <w:pStyle w:val="Heading1"/>
        <w:spacing w:before="240" w:after="240"/>
        <w:jc w:val="center"/>
        <w:rPr>
          <w:rFonts w:ascii="Google Sans" w:eastAsia="Google Sans" w:hAnsi="Google Sans" w:cs="Google Sans"/>
          <w:u w:val="single"/>
        </w:rPr>
      </w:pPr>
      <w:bookmarkStart w:id="0" w:name="_o96gg215rrau" w:colFirst="0" w:colLast="0"/>
      <w:bookmarkEnd w:id="0"/>
      <w:r w:rsidRPr="008259A2">
        <w:rPr>
          <w:rFonts w:ascii="Google Sans" w:eastAsia="Google Sans" w:hAnsi="Google Sans" w:cs="Google Sans"/>
          <w:u w:val="single"/>
        </w:rPr>
        <w:t>Compliance checklist</w:t>
      </w:r>
      <w:r w:rsidRPr="008259A2">
        <w:rPr>
          <w:rFonts w:ascii="Google Sans" w:eastAsia="Google Sans" w:hAnsi="Google Sans" w:cs="Google Sans"/>
          <w:u w:val="single"/>
        </w:rPr>
        <w:br/>
      </w:r>
      <w:bookmarkStart w:id="1" w:name="_2c30zvmj8t6" w:colFirst="0" w:colLast="0"/>
      <w:bookmarkEnd w:id="1"/>
    </w:p>
    <w:p w14:paraId="00000002" w14:textId="6C2A097C" w:rsidR="002C1BF9" w:rsidRPr="008259A2" w:rsidRDefault="00000000" w:rsidP="008259A2">
      <w:pPr>
        <w:pStyle w:val="Heading1"/>
        <w:spacing w:before="240" w:after="240"/>
        <w:jc w:val="center"/>
        <w:rPr>
          <w:rFonts w:ascii="Google Sans" w:eastAsia="Google Sans" w:hAnsi="Google Sans" w:cs="Google Sans"/>
        </w:rPr>
      </w:pPr>
      <w:r>
        <w:rPr>
          <w:rFonts w:ascii="Google Sans" w:eastAsia="Google Sans" w:hAnsi="Google Sans" w:cs="Google Sans"/>
          <w:b/>
          <w:sz w:val="24"/>
          <w:szCs w:val="24"/>
        </w:rPr>
        <w:t>The Federal Energy Regulatory Commission - North American Electric</w:t>
      </w:r>
    </w:p>
    <w:p w14:paraId="00000003" w14:textId="77777777" w:rsidR="002C1BF9" w:rsidRDefault="00000000">
      <w:pPr>
        <w:spacing w:before="240" w:after="240"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4" w14:textId="050839B6"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This regulation applies to organizations that work with electricity or that </w:t>
      </w:r>
      <w:r w:rsidR="008259A2">
        <w:rPr>
          <w:rFonts w:ascii="Google Sans" w:eastAsia="Google Sans" w:hAnsi="Google Sans" w:cs="Google Sans"/>
          <w:sz w:val="24"/>
          <w:szCs w:val="24"/>
        </w:rPr>
        <w:t>are involved</w:t>
      </w:r>
      <w:r>
        <w:rPr>
          <w:rFonts w:ascii="Google Sans" w:eastAsia="Google Sans" w:hAnsi="Google Sans" w:cs="Google Sans"/>
          <w:sz w:val="24"/>
          <w:szCs w:val="24"/>
        </w:rPr>
        <w:t xml:space="preserve">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14:paraId="00000005" w14:textId="33CF2373"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N</w:t>
      </w:r>
      <w:r w:rsidR="008259A2">
        <w:rPr>
          <w:rFonts w:ascii="Google Sans" w:eastAsia="Google Sans" w:hAnsi="Google Sans" w:cs="Google Sans"/>
          <w:sz w:val="24"/>
          <w:szCs w:val="24"/>
        </w:rPr>
        <w:t>/</w:t>
      </w:r>
      <w:r>
        <w:rPr>
          <w:rFonts w:ascii="Google Sans" w:eastAsia="Google Sans" w:hAnsi="Google Sans" w:cs="Google Sans"/>
          <w:sz w:val="24"/>
          <w:szCs w:val="24"/>
        </w:rPr>
        <w:t>A</w:t>
      </w:r>
    </w:p>
    <w:p w14:paraId="00000006" w14:textId="004D4927" w:rsidR="002C1BF9" w:rsidRPr="008259A2" w:rsidRDefault="00000000" w:rsidP="008259A2">
      <w:pPr>
        <w:pStyle w:val="ListParagraph"/>
        <w:numPr>
          <w:ilvl w:val="0"/>
          <w:numId w:val="1"/>
        </w:numPr>
        <w:pBdr>
          <w:bottom w:val="none" w:sz="0" w:space="10" w:color="auto"/>
        </w:pBdr>
        <w:spacing w:before="240" w:after="240" w:line="360" w:lineRule="auto"/>
        <w:rPr>
          <w:rFonts w:ascii="Google Sans" w:eastAsia="Google Sans" w:hAnsi="Google Sans" w:cs="Google Sans"/>
          <w:b/>
          <w:sz w:val="24"/>
          <w:szCs w:val="24"/>
        </w:rPr>
      </w:pPr>
      <w:r w:rsidRPr="008259A2">
        <w:rPr>
          <w:rFonts w:ascii="Google Sans" w:eastAsia="Google Sans" w:hAnsi="Google Sans" w:cs="Google Sans"/>
          <w:b/>
          <w:sz w:val="24"/>
          <w:szCs w:val="24"/>
        </w:rPr>
        <w:t>General Data Protection Regulation (GDPR)</w:t>
      </w:r>
    </w:p>
    <w:p w14:paraId="00000007" w14:textId="77777777"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8" w14:textId="77777777"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GDPR because they conduct business and collect personal information from people worldwide, including the E.U.</w:t>
      </w:r>
    </w:p>
    <w:p w14:paraId="00000009" w14:textId="3D9E0984" w:rsidR="002C1BF9" w:rsidRPr="008259A2" w:rsidRDefault="00000000" w:rsidP="008259A2">
      <w:pPr>
        <w:pStyle w:val="ListParagraph"/>
        <w:numPr>
          <w:ilvl w:val="0"/>
          <w:numId w:val="1"/>
        </w:numPr>
        <w:pBdr>
          <w:bottom w:val="none" w:sz="0" w:space="10" w:color="auto"/>
        </w:pBdr>
        <w:spacing w:before="240" w:after="240" w:line="360" w:lineRule="auto"/>
        <w:rPr>
          <w:rFonts w:ascii="Google Sans" w:eastAsia="Google Sans" w:hAnsi="Google Sans" w:cs="Google Sans"/>
          <w:b/>
          <w:sz w:val="24"/>
          <w:szCs w:val="24"/>
        </w:rPr>
      </w:pPr>
      <w:r w:rsidRPr="008259A2">
        <w:rPr>
          <w:rFonts w:ascii="Google Sans" w:eastAsia="Google Sans" w:hAnsi="Google Sans" w:cs="Google Sans"/>
          <w:b/>
          <w:sz w:val="24"/>
          <w:szCs w:val="24"/>
        </w:rPr>
        <w:t>Payment Card Industry Data Security Standard (PCI DSS)</w:t>
      </w:r>
    </w:p>
    <w:p w14:paraId="0000000A" w14:textId="77777777"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PCI DSS is an international security standard meant to ensure that organizations storing, accepting, processing, and transmitting credit card information do so in a secure environment.</w:t>
      </w:r>
    </w:p>
    <w:p w14:paraId="0000000B" w14:textId="77777777"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PCI DSS because they store, accept, process, and transmit credit card information in person and online.</w:t>
      </w:r>
    </w:p>
    <w:p w14:paraId="0000000C" w14:textId="215815E0" w:rsidR="002C1BF9" w:rsidRDefault="00000000" w:rsidP="008259A2">
      <w:pPr>
        <w:pBdr>
          <w:bottom w:val="none" w:sz="0" w:space="10" w:color="auto"/>
        </w:pBdr>
        <w:spacing w:before="240" w:after="240" w:line="360" w:lineRule="auto"/>
        <w:ind w:firstLine="720"/>
        <w:rPr>
          <w:rFonts w:ascii="Google Sans" w:eastAsia="Google Sans" w:hAnsi="Google Sans" w:cs="Google Sans"/>
          <w:b/>
          <w:sz w:val="24"/>
          <w:szCs w:val="24"/>
        </w:rPr>
      </w:pPr>
      <w:r>
        <w:rPr>
          <w:rFonts w:ascii="Google Sans" w:eastAsia="Google Sans" w:hAnsi="Google Sans" w:cs="Google Sans"/>
          <w:b/>
          <w:sz w:val="24"/>
          <w:szCs w:val="24"/>
        </w:rPr>
        <w:t>The Health Insurance Portability and Accountability Act (HIPAA)</w:t>
      </w:r>
    </w:p>
    <w:p w14:paraId="0000000D" w14:textId="77777777"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established in 1996 to protect U.S. patients' health information. This law prohibits patient information from being shared without their consent. Organizations have a legal obligation to inform patients of a breach.</w:t>
      </w:r>
    </w:p>
    <w:p w14:paraId="0000000E" w14:textId="4B4BEB78"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w:t>
      </w:r>
      <w:r w:rsidR="008259A2">
        <w:rPr>
          <w:rFonts w:ascii="Google Sans" w:eastAsia="Google Sans" w:hAnsi="Google Sans" w:cs="Google Sans"/>
          <w:sz w:val="24"/>
          <w:szCs w:val="24"/>
        </w:rPr>
        <w:t>/</w:t>
      </w:r>
      <w:r>
        <w:rPr>
          <w:rFonts w:ascii="Google Sans" w:eastAsia="Google Sans" w:hAnsi="Google Sans" w:cs="Google Sans"/>
          <w:sz w:val="24"/>
          <w:szCs w:val="24"/>
        </w:rPr>
        <w:t>A</w:t>
      </w:r>
    </w:p>
    <w:p w14:paraId="0000000F" w14:textId="6253E61E" w:rsidR="002C1BF9" w:rsidRPr="008259A2" w:rsidRDefault="00000000" w:rsidP="008259A2">
      <w:pPr>
        <w:pStyle w:val="ListParagraph"/>
        <w:numPr>
          <w:ilvl w:val="0"/>
          <w:numId w:val="1"/>
        </w:numPr>
        <w:pBdr>
          <w:bottom w:val="none" w:sz="0" w:space="10" w:color="auto"/>
        </w:pBdr>
        <w:spacing w:before="240" w:after="240" w:line="360" w:lineRule="auto"/>
        <w:rPr>
          <w:rFonts w:ascii="Google Sans" w:eastAsia="Google Sans" w:hAnsi="Google Sans" w:cs="Google Sans"/>
          <w:b/>
          <w:sz w:val="24"/>
          <w:szCs w:val="24"/>
        </w:rPr>
      </w:pPr>
      <w:r w:rsidRPr="008259A2">
        <w:rPr>
          <w:rFonts w:ascii="Google Sans" w:eastAsia="Google Sans" w:hAnsi="Google Sans" w:cs="Google Sans"/>
          <w:b/>
          <w:sz w:val="24"/>
          <w:szCs w:val="24"/>
        </w:rPr>
        <w:t>System and Organizations Controls (SOC type 1, SOC type 2)</w:t>
      </w:r>
    </w:p>
    <w:p w14:paraId="00000010" w14:textId="77777777"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1" w14:textId="77777777" w:rsidR="002C1BF9" w:rsidRDefault="00000000">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establish and enforce appropriate user access for internal and external (third-party vendor) personnel to mitigate risk and ensure data safety.</w:t>
      </w:r>
    </w:p>
    <w:p w14:paraId="00000012" w14:textId="77777777" w:rsidR="002C1BF9" w:rsidRDefault="002C1BF9">
      <w:pPr>
        <w:rPr>
          <w:rFonts w:ascii="Google Sans" w:eastAsia="Google Sans" w:hAnsi="Google Sans" w:cs="Google Sans"/>
        </w:rPr>
      </w:pPr>
    </w:p>
    <w:sectPr w:rsidR="002C1B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35BD7"/>
    <w:multiLevelType w:val="hybridMultilevel"/>
    <w:tmpl w:val="4F42272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599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BF9"/>
    <w:rsid w:val="002C1BF9"/>
    <w:rsid w:val="008259A2"/>
    <w:rsid w:val="00C45F0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4A99"/>
  <w15:docId w15:val="{37D94971-F938-49B9-B2D0-7485EB2F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25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Victor David</cp:lastModifiedBy>
  <cp:revision>3</cp:revision>
  <dcterms:created xsi:type="dcterms:W3CDTF">2024-01-05T00:14:00Z</dcterms:created>
  <dcterms:modified xsi:type="dcterms:W3CDTF">2024-01-05T00:17:00Z</dcterms:modified>
</cp:coreProperties>
</file>