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O demógrafo José Eustáquio Diniz Alves apresenta dados da ONU sobre as projeções populacionais para o mundo e o Brasil, falando de uma tendência exponencial de desaceleração e envelhecimento populacional global. Ele destaca a queda extrema da população chinesa devido à política do filho único e analisa a realidade brasileira, que deve atingir o pico populacional em 2042 e sofrer um envelhecimento acelerado. Do qual, ele abordou pontos de ótimo destaque: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425.19685039370086" w:right="384.3307086614186" w:hanging="15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população mundial, que cresceu muito elevada nos últimos 12.000 </w:t>
      </w:r>
      <w:r w:rsidDel="00000000" w:rsidR="00000000" w:rsidRPr="00000000">
        <w:rPr>
          <w:rtl w:val="0"/>
        </w:rPr>
        <w:t xml:space="preserve">anos, com isso</w:t>
      </w:r>
      <w:r w:rsidDel="00000000" w:rsidR="00000000" w:rsidRPr="00000000">
        <w:rPr>
          <w:rtl w:val="0"/>
        </w:rPr>
        <w:t xml:space="preserve">, deve parar de crescer no século 21 e começar a deixar de crescer nas últimas décadas do </w:t>
      </w:r>
      <w:r w:rsidDel="00000000" w:rsidR="00000000" w:rsidRPr="00000000">
        <w:rPr>
          <w:rtl w:val="0"/>
        </w:rPr>
        <w:t xml:space="preserve">século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425.19685039370086" w:right="384.3307086614186" w:hanging="15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China, que foi o país mais populoso do mundo por muitos anos, deve perder mais de 800 milhões de habitantes até 2100.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425.19685039370086" w:right="384.3307086614186" w:hanging="15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Brasil deve atingir o pico populacional em 2042 e, a partir de então, sua população deve diminuir, atingindo cerca de 163 milhões de habitantes em 2100.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425.19685039370086" w:right="384.3307086614186" w:hanging="15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envelhecimento populacional é um fenômeno global, e o Brasil deve se tornar um país principalmente de maior população com idosos até 2100, com 40% da população com mais de 60 anos.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425.19685039370086" w:right="384.3307086614186" w:hanging="15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demógrafo pontua que o envelhecimento populacional não é um problema, mas uma nova realidade que exige uma adaptação nas políticas públicas e na sociedade para que essa fase seja transformada em uma “primavera social e ambiental”.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