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29E628" w14:textId="77777777" w:rsidR="00BC057E" w:rsidRPr="005A49E4" w:rsidRDefault="00BC057E" w:rsidP="00631A7A">
      <w:pPr>
        <w:pStyle w:val="Corpodetexto"/>
        <w:rPr>
          <w:b w:val="0"/>
          <w:caps/>
          <w:sz w:val="28"/>
          <w:szCs w:val="28"/>
          <w:lang w:val="pt-BR"/>
        </w:rPr>
      </w:pPr>
    </w:p>
    <w:p w14:paraId="126F8AF0" w14:textId="77777777" w:rsidR="00BC057E" w:rsidRPr="005A49E4" w:rsidRDefault="00BC057E">
      <w:pPr>
        <w:pStyle w:val="Corpodetexto"/>
        <w:rPr>
          <w:b w:val="0"/>
          <w:caps/>
          <w:sz w:val="28"/>
          <w:szCs w:val="28"/>
          <w:lang w:val="pt-BR"/>
        </w:rPr>
      </w:pPr>
    </w:p>
    <w:p w14:paraId="7FFDCAF9" w14:textId="35D18A40" w:rsidR="00BC057E" w:rsidRPr="0048744F" w:rsidRDefault="0048744F" w:rsidP="00605982">
      <w:pPr>
        <w:jc w:val="center"/>
        <w:rPr>
          <w:b/>
          <w:sz w:val="28"/>
          <w:szCs w:val="28"/>
        </w:rPr>
      </w:pPr>
      <w:r>
        <w:rPr>
          <w:b/>
        </w:rPr>
        <w:t xml:space="preserve">INFLUÊNCIA DA RESOLUÇÃO TEMPORAL NA </w:t>
      </w:r>
      <w:r w:rsidR="00EB089D" w:rsidRPr="0048744F">
        <w:rPr>
          <w:b/>
        </w:rPr>
        <w:t>AN</w:t>
      </w:r>
      <w:r w:rsidRPr="0048744F">
        <w:rPr>
          <w:b/>
        </w:rPr>
        <w:t>Á</w:t>
      </w:r>
      <w:r w:rsidR="00EB089D" w:rsidRPr="0048744F">
        <w:rPr>
          <w:b/>
        </w:rPr>
        <w:t>LISE D</w:t>
      </w:r>
      <w:r>
        <w:rPr>
          <w:b/>
        </w:rPr>
        <w:t>E</w:t>
      </w:r>
      <w:r w:rsidR="00EB089D" w:rsidRPr="0048744F">
        <w:rPr>
          <w:b/>
        </w:rPr>
        <w:t xml:space="preserve"> EVENTOS DE SOBREIRRADIÂNCIA NA CIDADE DE SOUSA </w:t>
      </w:r>
      <w:r w:rsidR="00EB089D" w:rsidRPr="004C3EBF">
        <w:rPr>
          <w:b/>
        </w:rPr>
        <w:t xml:space="preserve">- </w:t>
      </w:r>
      <w:r w:rsidR="00333828" w:rsidRPr="004C3EBF">
        <w:rPr>
          <w:b/>
        </w:rPr>
        <w:t>PARAÍBA</w:t>
      </w:r>
    </w:p>
    <w:p w14:paraId="51A813A8" w14:textId="77777777" w:rsidR="00BC057E" w:rsidRPr="005A49E4" w:rsidRDefault="00BC057E"/>
    <w:p w14:paraId="7F169C34" w14:textId="2370B8BD" w:rsidR="00BC057E" w:rsidRPr="005A49E4" w:rsidRDefault="00BC057E" w:rsidP="00CD09D2">
      <w:pPr>
        <w:pStyle w:val="TextoAbstract"/>
      </w:pPr>
      <w:r w:rsidRPr="00C309C7">
        <w:rPr>
          <w:b/>
        </w:rPr>
        <w:t>Resumo</w:t>
      </w:r>
      <w:r w:rsidR="006253E8">
        <w:rPr>
          <w:b/>
        </w:rPr>
        <w:t>.</w:t>
      </w:r>
      <w:r w:rsidRPr="005A49E4">
        <w:t xml:space="preserve"> </w:t>
      </w:r>
      <w:r w:rsidR="006A1765" w:rsidRPr="00F0579A">
        <w:t>O crescimento dos sistemas fotovoltaicos tem sido notável em escala mundial e, no Brasil, não seria diferente, visto que o país possui uma excelente disponibilidade do recurso solar, com um grande número de sistemas fotovoltaicos espalhados por todo Brasil, somada a geração centralizada e a distribuída</w:t>
      </w:r>
      <w:r w:rsidR="006A1765" w:rsidRPr="004C3EBF">
        <w:t xml:space="preserve">, a </w:t>
      </w:r>
      <w:r w:rsidR="00AB7718" w:rsidRPr="004C3EBF">
        <w:t xml:space="preserve">geração </w:t>
      </w:r>
      <w:r w:rsidR="009A2470" w:rsidRPr="004C3EBF">
        <w:t>fotovoltaica</w:t>
      </w:r>
      <w:r w:rsidR="006A1765" w:rsidRPr="00F0579A">
        <w:t xml:space="preserve"> já atingiu a marca de 24 GW de potência instalada no Brasil, representando cerca de 5,39%</w:t>
      </w:r>
      <w:r w:rsidR="00020E1A">
        <w:t xml:space="preserve"> da matriz energética</w:t>
      </w:r>
      <w:r w:rsidR="006A1765" w:rsidRPr="00F0579A">
        <w:t xml:space="preserve">. </w:t>
      </w:r>
      <w:r w:rsidR="006A1765" w:rsidRPr="00820EE7">
        <w:t>Com o grande número de instalações de sistemas fotovoltaicos, para diferentes regiões o fenômeno conhecido como sobreirradiância</w:t>
      </w:r>
      <w:r w:rsidR="008329C3">
        <w:t>, do qual</w:t>
      </w:r>
      <w:r w:rsidR="006A1765" w:rsidRPr="00820EE7">
        <w:t xml:space="preserve"> o valor da irradiância solar medida supera o valor da irradiância incidente do topo </w:t>
      </w:r>
      <w:r w:rsidR="008329C3">
        <w:t>d</w:t>
      </w:r>
      <w:r w:rsidR="006A1765" w:rsidRPr="00820EE7">
        <w:t>a atmosfera, em um curto período</w:t>
      </w:r>
      <w:r w:rsidR="006A1765">
        <w:t xml:space="preserve">. </w:t>
      </w:r>
      <w:r w:rsidR="006A1765" w:rsidRPr="00F0579A">
        <w:t xml:space="preserve">Neste contexto, o objetivo deste artigo é analisar os eventos de sobreirradiância ocorridos </w:t>
      </w:r>
      <w:r w:rsidR="006A1765" w:rsidRPr="00820EE7">
        <w:t xml:space="preserve">no ano de </w:t>
      </w:r>
      <w:r w:rsidR="006A1765" w:rsidRPr="00F0579A">
        <w:t xml:space="preserve">2022 </w:t>
      </w:r>
      <w:r w:rsidR="006A1765">
        <w:t>no município de</w:t>
      </w:r>
      <w:r w:rsidR="006A1765" w:rsidRPr="00F0579A">
        <w:t xml:space="preserve"> </w:t>
      </w:r>
      <w:r w:rsidR="006A1765">
        <w:t>Sousa, no estado da Paraíba</w:t>
      </w:r>
      <w:r w:rsidR="006A1765" w:rsidRPr="007B6850">
        <w:t xml:space="preserve">. </w:t>
      </w:r>
      <w:r w:rsidR="006A1765" w:rsidRPr="007B6850">
        <w:rPr>
          <w:color w:val="000000" w:themeColor="text1"/>
        </w:rPr>
        <w:t>Os dados radiométricos são coletados a cada segundo e as demais variáveis os dados são a cada minuto, juntamente do valor médio, máximo e mínimo. Para analisar a diferença entre os eventos de sobreirradiância quando registrados em segundos e minutos, os dados da GHI também foram registrados a cada minuto.</w:t>
      </w:r>
      <w:r w:rsidR="006A1765">
        <w:rPr>
          <w:color w:val="000000" w:themeColor="text1"/>
        </w:rPr>
        <w:t xml:space="preserve"> Como resultado, </w:t>
      </w:r>
      <w:r w:rsidR="006A1765" w:rsidRPr="00F0579A">
        <w:rPr>
          <w:color w:val="000000" w:themeColor="text1"/>
        </w:rPr>
        <w:t xml:space="preserve">os meses de março, abril e agosto apresentaram a maior quantidade de eventos de </w:t>
      </w:r>
      <w:r w:rsidR="006A1765">
        <w:rPr>
          <w:color w:val="000000" w:themeColor="text1"/>
        </w:rPr>
        <w:t>sobreirradiância em</w:t>
      </w:r>
      <w:r w:rsidR="006A1765" w:rsidRPr="00F0579A">
        <w:rPr>
          <w:color w:val="000000" w:themeColor="text1"/>
        </w:rPr>
        <w:t xml:space="preserve"> minutos, enquanto na resolução de segundos os meses de abril, junho e agosto apresentaram as maiores quantidades de ocorrências, com o mês de agosto registrand</w:t>
      </w:r>
      <w:r w:rsidR="006A1765">
        <w:rPr>
          <w:color w:val="000000" w:themeColor="text1"/>
        </w:rPr>
        <w:t xml:space="preserve">o 768 ocorrências de </w:t>
      </w:r>
      <w:r w:rsidR="006A1765" w:rsidRPr="00F0579A">
        <w:rPr>
          <w:color w:val="000000" w:themeColor="text1"/>
        </w:rPr>
        <w:t>sobreirradiância superiores a 1000 W/m². Também</w:t>
      </w:r>
      <w:r w:rsidR="006A1765">
        <w:rPr>
          <w:color w:val="000000" w:themeColor="text1"/>
        </w:rPr>
        <w:t xml:space="preserve">, </w:t>
      </w:r>
      <w:r w:rsidR="006A1765" w:rsidRPr="00F0579A">
        <w:rPr>
          <w:color w:val="000000" w:themeColor="text1"/>
        </w:rPr>
        <w:t xml:space="preserve">foi registrado </w:t>
      </w:r>
      <w:r w:rsidR="006A1765">
        <w:rPr>
          <w:color w:val="000000" w:themeColor="text1"/>
        </w:rPr>
        <w:t>às intensidades dos eventos, de</w:t>
      </w:r>
      <w:r w:rsidR="006A1765" w:rsidRPr="00F0579A">
        <w:rPr>
          <w:color w:val="000000" w:themeColor="text1"/>
        </w:rPr>
        <w:t xml:space="preserve"> 1521 W/m² na resolução de minutos e </w:t>
      </w:r>
      <w:r w:rsidR="00701298">
        <w:rPr>
          <w:color w:val="000000" w:themeColor="text1"/>
        </w:rPr>
        <w:t xml:space="preserve">de </w:t>
      </w:r>
      <w:r w:rsidR="006A1765" w:rsidRPr="00F0579A">
        <w:rPr>
          <w:color w:val="000000" w:themeColor="text1"/>
        </w:rPr>
        <w:t>1654 W/m² na res</w:t>
      </w:r>
      <w:r w:rsidR="006A1765">
        <w:rPr>
          <w:color w:val="000000" w:themeColor="text1"/>
        </w:rPr>
        <w:t xml:space="preserve">olução de segundos, no dia </w:t>
      </w:r>
      <w:r w:rsidR="006A1765" w:rsidRPr="00F0579A">
        <w:rPr>
          <w:color w:val="000000" w:themeColor="text1"/>
        </w:rPr>
        <w:t>5</w:t>
      </w:r>
      <w:r w:rsidR="006A1765">
        <w:rPr>
          <w:color w:val="000000" w:themeColor="text1"/>
        </w:rPr>
        <w:t xml:space="preserve"> de novembro de 2022, como </w:t>
      </w:r>
      <w:r w:rsidR="006A1765" w:rsidRPr="00F0579A">
        <w:rPr>
          <w:color w:val="000000" w:themeColor="text1"/>
        </w:rPr>
        <w:t>o evento de maior intensidade registrado durante a campanha de medição na estação</w:t>
      </w:r>
      <w:r w:rsidR="006A1765">
        <w:rPr>
          <w:color w:val="000000" w:themeColor="text1"/>
        </w:rPr>
        <w:t>. Adicionalmente,</w:t>
      </w:r>
      <w:r w:rsidR="006A1765" w:rsidRPr="00F0579A">
        <w:rPr>
          <w:color w:val="000000" w:themeColor="text1"/>
        </w:rPr>
        <w:t xml:space="preserve"> no dia 16 de abril de 2022, o evento com maior duração, possuindo um tempo de 326 segundos.</w:t>
      </w:r>
    </w:p>
    <w:p w14:paraId="64ACD10C" w14:textId="093919D8" w:rsidR="00BC057E" w:rsidRDefault="00BC057E">
      <w:pPr>
        <w:rPr>
          <w:rStyle w:val="TextoAbstractChar"/>
        </w:rPr>
      </w:pPr>
      <w:r w:rsidRPr="005A49E4">
        <w:rPr>
          <w:b/>
          <w:i/>
        </w:rPr>
        <w:t>Palavras-chave:</w:t>
      </w:r>
      <w:r w:rsidRPr="005A49E4">
        <w:rPr>
          <w:i/>
        </w:rPr>
        <w:t xml:space="preserve"> </w:t>
      </w:r>
      <w:r w:rsidR="008967D3">
        <w:rPr>
          <w:rStyle w:val="TextoAbstractChar"/>
        </w:rPr>
        <w:t>Sobreirradiância</w:t>
      </w:r>
      <w:r w:rsidR="00CD0320" w:rsidRPr="00C309C7">
        <w:rPr>
          <w:rStyle w:val="TextoAbstractChar"/>
        </w:rPr>
        <w:t xml:space="preserve">, </w:t>
      </w:r>
      <w:r w:rsidR="008967D3">
        <w:rPr>
          <w:rStyle w:val="TextoAbstractChar"/>
        </w:rPr>
        <w:t>Energia Solar</w:t>
      </w:r>
      <w:r w:rsidR="00CD0320" w:rsidRPr="00C309C7">
        <w:rPr>
          <w:rStyle w:val="TextoAbstractChar"/>
        </w:rPr>
        <w:t xml:space="preserve">, </w:t>
      </w:r>
      <w:r w:rsidR="008967D3">
        <w:rPr>
          <w:rStyle w:val="TextoAbstractChar"/>
        </w:rPr>
        <w:t>Resolução de dados</w:t>
      </w:r>
    </w:p>
    <w:p w14:paraId="6315BA3B" w14:textId="06B4B507" w:rsidR="00785EAC" w:rsidRDefault="00785EAC">
      <w:pPr>
        <w:rPr>
          <w:rStyle w:val="TextoAbstractChar"/>
        </w:rPr>
      </w:pPr>
    </w:p>
    <w:p w14:paraId="54DCB630" w14:textId="77777777" w:rsidR="00BC057E" w:rsidRPr="005A49E4" w:rsidRDefault="00BC057E"/>
    <w:p w14:paraId="324640CE" w14:textId="77777777" w:rsidR="00BC057E" w:rsidRPr="007E3CB4" w:rsidRDefault="00BC057E" w:rsidP="007E3CB4">
      <w:pPr>
        <w:pStyle w:val="Sesso1"/>
      </w:pPr>
      <w:r w:rsidRPr="007E3CB4">
        <w:t>INTRODUÇÃO</w:t>
      </w:r>
    </w:p>
    <w:p w14:paraId="4C30F1DB" w14:textId="77777777" w:rsidR="00BC057E" w:rsidRPr="005A49E4" w:rsidRDefault="00BC057E">
      <w:pPr>
        <w:tabs>
          <w:tab w:val="left" w:pos="284"/>
        </w:tabs>
      </w:pPr>
    </w:p>
    <w:p w14:paraId="000A98C6" w14:textId="631337F0" w:rsidR="00C5134C" w:rsidRDefault="00C5134C" w:rsidP="00C5134C">
      <w:pPr>
        <w:pStyle w:val="CorpodoTexto"/>
      </w:pPr>
      <w:r>
        <w:tab/>
        <w:t xml:space="preserve">O sol, como fonte inesgotável de energia limpa, desempenha um papel fundamental na busca para reduzir as emissões de Gases do Efeito Estufa (GGE) e é uma das principais fontes de </w:t>
      </w:r>
      <w:r w:rsidRPr="001D5E24">
        <w:t xml:space="preserve">energia para a transição energética de um país que busca uma matriz elétrica sustentável e uma economia de baixo carbono. </w:t>
      </w:r>
      <w:r w:rsidR="009A2470" w:rsidRPr="001D5E24">
        <w:t xml:space="preserve">O </w:t>
      </w:r>
      <w:r w:rsidR="00333828" w:rsidRPr="001D5E24">
        <w:t>S</w:t>
      </w:r>
      <w:r w:rsidR="009A2470" w:rsidRPr="001D5E24">
        <w:t>ol é a maior fonte de energia para a Terra</w:t>
      </w:r>
      <w:r w:rsidR="005449E1" w:rsidRPr="001D5E24">
        <w:t>,</w:t>
      </w:r>
      <w:r w:rsidR="005449E1">
        <w:t xml:space="preserve"> </w:t>
      </w:r>
      <w:r>
        <w:t>fornecendo anualmente para a atmosfera terrestre 1,5125x10</w:t>
      </w:r>
      <w:r w:rsidRPr="00EF1948">
        <w:rPr>
          <w:vertAlign w:val="superscript"/>
        </w:rPr>
        <w:t>18</w:t>
      </w:r>
      <w:r>
        <w:t xml:space="preserve"> kWh de energia e</w:t>
      </w:r>
      <w:r w:rsidR="00935F86">
        <w:t>,</w:t>
      </w:r>
      <w:r>
        <w:t xml:space="preserve"> essa energia</w:t>
      </w:r>
      <w:r w:rsidR="00935F86">
        <w:t>,</w:t>
      </w:r>
      <w:r>
        <w:t xml:space="preserve"> é transmitida na forma de radiação eletromagnética, que, ao penetrar na atmosfera terrestre, sofre o efeito da difração de acordo com a teoria de espalhamento de Rayleight </w:t>
      </w:r>
      <w:r w:rsidRPr="002B2C22">
        <w:t>(Belusso e Cainelli, 2015).</w:t>
      </w:r>
      <w:r>
        <w:t xml:space="preserve"> Além do espalhamento por Rayleigh, a radiação sofre alterações na sua intensidade e polarização por meio de vários processos causados por moléculas de gases, gotas de água, poeira e partículas de aerossóis. Mesmo sofrendo atenuações, a radiação solar que chega na superfície tem intensidade suficiente para converter a radiação solar em eletricidade por meio do efeito fotovoltaico. </w:t>
      </w:r>
    </w:p>
    <w:p w14:paraId="31938247" w14:textId="2AF023F2" w:rsidR="00C5134C" w:rsidRDefault="00C5134C" w:rsidP="00C5134C">
      <w:pPr>
        <w:pStyle w:val="CorpodoTexto"/>
      </w:pPr>
      <w:r>
        <w:tab/>
        <w:t>O crescimento dos sistemas fotovoltaicos tem sido notável em escala mundial e, no Brasil, não seria diferente, visto que o país possui uma excelente disponibilidade do recu</w:t>
      </w:r>
      <w:r w:rsidRPr="003F397C">
        <w:t xml:space="preserve">rso solar, tendo o potencial maior que muitos países da Europa, onde a tecnologia solar fotovoltaica é mais difundida (Pereira et. al, 2017).  Esse alto potencial do recurso solar é evidenciado com o grande número de sistemas fotovoltaicos espalhados por todo Brasil, </w:t>
      </w:r>
      <w:r w:rsidR="00935F86" w:rsidRPr="003F397C">
        <w:t>somada a geração centralizada e a distribuída</w:t>
      </w:r>
      <w:r w:rsidRPr="003F397C">
        <w:t xml:space="preserve">, a </w:t>
      </w:r>
      <w:r w:rsidR="00AB7718">
        <w:t>geração FV</w:t>
      </w:r>
      <w:r w:rsidRPr="003F397C">
        <w:t xml:space="preserve"> já atingiu a marca de 24 GW de potência instalada no Brasil</w:t>
      </w:r>
      <w:r w:rsidR="00935F86" w:rsidRPr="003F397C">
        <w:t>, representando</w:t>
      </w:r>
      <w:r w:rsidRPr="003F397C">
        <w:t xml:space="preserve"> cerca de 5,39% da matriz energética brasileira (ANEEL,2023). </w:t>
      </w:r>
      <w:r w:rsidR="00EF1948">
        <w:t>Um evento que tem chamado a atenção na operação principalmente de grandes usinas fotovoltaicas em d</w:t>
      </w:r>
      <w:r w:rsidRPr="00EF1948">
        <w:t xml:space="preserve">iferentes regiões do Brasil </w:t>
      </w:r>
      <w:r w:rsidR="00EF1948">
        <w:t xml:space="preserve">é </w:t>
      </w:r>
      <w:r w:rsidRPr="00EF1948">
        <w:t>o fenômeno conhecido com sobreirradiância.</w:t>
      </w:r>
    </w:p>
    <w:p w14:paraId="4F0DA254" w14:textId="4EA6BB3A" w:rsidR="00623649" w:rsidRDefault="00C5134C" w:rsidP="00C5134C">
      <w:pPr>
        <w:pStyle w:val="CorpodoTexto"/>
      </w:pPr>
      <w:r>
        <w:tab/>
        <w:t>A sobreirr</w:t>
      </w:r>
      <w:r w:rsidR="00271CDD">
        <w:t>a</w:t>
      </w:r>
      <w:r>
        <w:t xml:space="preserve">diância é um fenômeno que acontece com </w:t>
      </w:r>
      <w:r w:rsidR="00EF1948">
        <w:t xml:space="preserve">a </w:t>
      </w:r>
      <w:r>
        <w:t xml:space="preserve">irradiância solar, na qual o valor da irradiância medida supera o valor da irradiância incidente do topo da atmosfera, em um curto período. Tal efeito, pode ser caracterizado em dias </w:t>
      </w:r>
      <w:r w:rsidR="00EF1948">
        <w:t>em que há a</w:t>
      </w:r>
      <w:r>
        <w:t xml:space="preserve"> presença de nuvens, </w:t>
      </w:r>
      <w:r w:rsidR="00DC377A">
        <w:t>onde</w:t>
      </w:r>
      <w:r>
        <w:t xml:space="preserve"> ocorre um aumento da própria irradiância solar que é medid</w:t>
      </w:r>
      <w:r w:rsidR="00935F86">
        <w:t>a</w:t>
      </w:r>
      <w:r>
        <w:t xml:space="preserve"> na superfície da Terra. Segundo </w:t>
      </w:r>
      <w:r w:rsidR="00027572">
        <w:t>(</w:t>
      </w:r>
      <w:proofErr w:type="spellStart"/>
      <w:r w:rsidR="00027572" w:rsidRPr="00EF1948">
        <w:rPr>
          <w:color w:val="222222"/>
          <w:shd w:val="clear" w:color="auto" w:fill="FFFFFF"/>
        </w:rPr>
        <w:t>Gueymard</w:t>
      </w:r>
      <w:proofErr w:type="spellEnd"/>
      <w:r w:rsidR="00027572" w:rsidRPr="00EF1948">
        <w:rPr>
          <w:rFonts w:ascii="Arial" w:hAnsi="Arial" w:cs="Arial"/>
          <w:color w:val="222222"/>
          <w:shd w:val="clear" w:color="auto" w:fill="FFFFFF"/>
        </w:rPr>
        <w:t>,</w:t>
      </w:r>
      <w:r w:rsidR="00027572" w:rsidRPr="00EF1948" w:rsidDel="00027572">
        <w:t xml:space="preserve"> </w:t>
      </w:r>
      <w:r w:rsidR="00027572" w:rsidRPr="00EF1948">
        <w:t>2017</w:t>
      </w:r>
      <w:r w:rsidRPr="003F397C">
        <w:t>),</w:t>
      </w:r>
      <w:r>
        <w:t xml:space="preserve"> tais eventos são relacionados ao efeito b</w:t>
      </w:r>
      <w:r w:rsidR="00935F86">
        <w:t>o</w:t>
      </w:r>
      <w:r>
        <w:t>rda de nuve</w:t>
      </w:r>
      <w:r w:rsidR="00935F86">
        <w:t>ns</w:t>
      </w:r>
      <w:r>
        <w:t xml:space="preserve"> que produz incremento na irradiação difusa</w:t>
      </w:r>
      <w:r w:rsidR="00271CDD">
        <w:t>,</w:t>
      </w:r>
      <w:r>
        <w:t xml:space="preserve"> o que faz elevar a irradiância global</w:t>
      </w:r>
      <w:r w:rsidR="00935F86">
        <w:t xml:space="preserve">, podendo </w:t>
      </w:r>
      <w:r>
        <w:t xml:space="preserve">ocorrer em diversas localidades da superfície da Terra. O estudo realizado </w:t>
      </w:r>
      <w:r w:rsidRPr="00F26DDB">
        <w:t>por</w:t>
      </w:r>
      <w:r w:rsidR="00271CDD" w:rsidRPr="00F26DDB">
        <w:t xml:space="preserve"> (Martins, </w:t>
      </w:r>
      <w:proofErr w:type="spellStart"/>
      <w:r w:rsidR="00271CDD" w:rsidRPr="00F26DDB">
        <w:t>Mantelli</w:t>
      </w:r>
      <w:proofErr w:type="spellEnd"/>
      <w:r w:rsidR="00271CDD" w:rsidRPr="00F26DDB">
        <w:t xml:space="preserve"> e </w:t>
      </w:r>
      <w:proofErr w:type="spellStart"/>
      <w:r w:rsidR="00271CDD" w:rsidRPr="00F26DDB">
        <w:t>Rüther</w:t>
      </w:r>
      <w:proofErr w:type="spellEnd"/>
      <w:r w:rsidR="00271CDD" w:rsidRPr="00F26DDB">
        <w:t>, 2022),</w:t>
      </w:r>
      <w:r w:rsidR="00271CDD">
        <w:t xml:space="preserve"> além de avaliar o desempenho dos piranômetros nas ocorrências de eventos de sobreirradiância, também mapeou os eventos com maiores intensidades, no qual foi atribuído ao estudo realizado </w:t>
      </w:r>
      <w:r w:rsidR="00271CDD" w:rsidRPr="00F26DDB">
        <w:t>por (Gueymard, 2017)</w:t>
      </w:r>
      <w:r w:rsidR="00271CDD">
        <w:t xml:space="preserve"> o registro do maior valor medido, </w:t>
      </w:r>
      <w:r w:rsidR="00DC377A">
        <w:t>onde</w:t>
      </w:r>
      <w:r w:rsidR="00271CDD">
        <w:t xml:space="preserve"> a irradiância atingiu a marca de 1891W/m² no estado do Colorado, Estados Unidos da América. </w:t>
      </w:r>
      <w:r>
        <w:t xml:space="preserve">No Brasil, </w:t>
      </w:r>
      <w:r w:rsidR="00623649">
        <w:t>o maior evento registrado</w:t>
      </w:r>
      <w:r w:rsidR="00571E92">
        <w:t xml:space="preserve"> </w:t>
      </w:r>
      <w:r w:rsidR="00623649">
        <w:t>foi de 184</w:t>
      </w:r>
      <w:r w:rsidR="00571E92">
        <w:t xml:space="preserve">5,5 W/m² na cidade de Florianópolis, no estado de Santa Catarina (Martins, </w:t>
      </w:r>
      <w:proofErr w:type="spellStart"/>
      <w:r w:rsidR="00571E92">
        <w:t>Mantelli</w:t>
      </w:r>
      <w:proofErr w:type="spellEnd"/>
      <w:r w:rsidR="00571E92">
        <w:t xml:space="preserve"> e </w:t>
      </w:r>
      <w:proofErr w:type="spellStart"/>
      <w:r w:rsidR="00571E92" w:rsidRPr="00271CDD">
        <w:t>Rüther</w:t>
      </w:r>
      <w:proofErr w:type="spellEnd"/>
      <w:r w:rsidR="00571E92">
        <w:t xml:space="preserve">, 2022). Outros estudos também relataram eventos de sobreirradiância no Brasil </w:t>
      </w:r>
      <w:r w:rsidR="00571E92" w:rsidRPr="00DB1FE4">
        <w:t xml:space="preserve">(Almeida, </w:t>
      </w:r>
      <w:proofErr w:type="spellStart"/>
      <w:r w:rsidR="00571E92" w:rsidRPr="00DB1FE4">
        <w:t>Zilles</w:t>
      </w:r>
      <w:proofErr w:type="spellEnd"/>
      <w:r w:rsidR="00571E92" w:rsidRPr="00DB1FE4">
        <w:t xml:space="preserve"> e Lorenzo, 2015; de Andrade e Tiba, 2016; do Nascimento et al., 2019</w:t>
      </w:r>
      <w:r w:rsidR="00EF1948">
        <w:t>, Costa et al., 2021</w:t>
      </w:r>
      <w:r w:rsidR="00571E92" w:rsidRPr="00DB1FE4">
        <w:t>).</w:t>
      </w:r>
    </w:p>
    <w:p w14:paraId="031F61A9" w14:textId="4D2A0FDD" w:rsidR="00C5134C" w:rsidRDefault="00C5134C" w:rsidP="00C5134C">
      <w:pPr>
        <w:pStyle w:val="CorpodoTexto"/>
      </w:pPr>
      <w:r>
        <w:tab/>
        <w:t>Os sistemas fotovoltaicos são otimizados para produzir a máxima energia quando recebem 1000</w:t>
      </w:r>
      <w:r w:rsidR="00EF1948">
        <w:t xml:space="preserve"> </w:t>
      </w:r>
      <w:r>
        <w:t xml:space="preserve">W/m², </w:t>
      </w:r>
      <w:r w:rsidR="009A2470" w:rsidRPr="001D5E24">
        <w:t xml:space="preserve">com a temperatura da célula </w:t>
      </w:r>
      <w:r w:rsidRPr="001D5E24">
        <w:t>de 25 °C e recebendo a radiação</w:t>
      </w:r>
      <w:r w:rsidR="00EF1948" w:rsidRPr="001D5E24">
        <w:t xml:space="preserve"> solar</w:t>
      </w:r>
      <w:r w:rsidRPr="001D5E24">
        <w:t xml:space="preserve"> com a distribuição espectral AM 1.5, sendo essas características conhecidas como </w:t>
      </w:r>
      <w:r w:rsidR="009A2470" w:rsidRPr="001D5E24">
        <w:t xml:space="preserve">condições padrão de ensaio (do termo inglês, </w:t>
      </w:r>
      <w:r w:rsidR="009A2470" w:rsidRPr="001D5E24">
        <w:rPr>
          <w:i/>
        </w:rPr>
        <w:t xml:space="preserve">Standard Test </w:t>
      </w:r>
      <w:proofErr w:type="spellStart"/>
      <w:r w:rsidR="009A2470" w:rsidRPr="001D5E24">
        <w:rPr>
          <w:i/>
        </w:rPr>
        <w:t>Conditions</w:t>
      </w:r>
      <w:proofErr w:type="spellEnd"/>
      <w:r w:rsidR="009A2470" w:rsidRPr="001D5E24">
        <w:t>)</w:t>
      </w:r>
      <w:r w:rsidRPr="001D5E24">
        <w:t>,</w:t>
      </w:r>
      <w:r>
        <w:t xml:space="preserve"> conforme o estabelecido na norma IEC 60904-1:2020. Contudo, durante os eventos de sobreirradiância, os módulos experimentam intensidades de radiação superiores a 1367</w:t>
      </w:r>
      <w:r w:rsidR="00EF1948">
        <w:t xml:space="preserve"> </w:t>
      </w:r>
      <w:r>
        <w:t xml:space="preserve">W/m², valor médio da constante solar. Essa alta intensidade da irradiância pode causar sobrecarga nos inversores, queima de fusíveis e desligamento dos dispositivos de proteção, o que prejudica a operação dos sistemas </w:t>
      </w:r>
      <w:r w:rsidRPr="00082AFE">
        <w:t xml:space="preserve">fotovoltaicos </w:t>
      </w:r>
      <w:r w:rsidR="00EF1948">
        <w:t>(</w:t>
      </w:r>
      <w:r w:rsidRPr="00082AFE">
        <w:t>Martins et al.</w:t>
      </w:r>
      <w:r w:rsidR="00EF1948">
        <w:t>,</w:t>
      </w:r>
      <w:r w:rsidRPr="00082AFE">
        <w:t xml:space="preserve"> 2022).</w:t>
      </w:r>
    </w:p>
    <w:p w14:paraId="0671B135" w14:textId="568CEDE3" w:rsidR="00203033" w:rsidRDefault="00F17CF2" w:rsidP="00C5134C">
      <w:pPr>
        <w:pStyle w:val="CorpodoTexto"/>
      </w:pPr>
      <w:r>
        <w:lastRenderedPageBreak/>
        <w:tab/>
      </w:r>
      <w:r w:rsidR="00995447">
        <w:t xml:space="preserve">Neste contexto, </w:t>
      </w:r>
      <w:r w:rsidR="00203033">
        <w:t>o objetivo deste artigo é analisar quantitativamente os eventos de sobreirradiância ocorridos em Sousa, no estado da Paraíba. Assim, é analisado a duração, frequência e ocorrência para todos os eventos de sobreirradiância ocorridos durante o período de 01 de janeiro de 2022 a 31 de dezembro de 2022. Para tanto, os dados foram obtidos de uma estação solarimétrica equipada com dois piranômetros classe A, medindo a irradiância global horizontal na resolução de segundos.</w:t>
      </w:r>
    </w:p>
    <w:p w14:paraId="7BDFBC86" w14:textId="51BD90FA" w:rsidR="00616CDF" w:rsidRPr="005A49E4" w:rsidRDefault="00616CDF" w:rsidP="00C5134C">
      <w:pPr>
        <w:pStyle w:val="CorpodoTexto"/>
      </w:pPr>
    </w:p>
    <w:p w14:paraId="5150605B" w14:textId="77777777" w:rsidR="00BC057E" w:rsidRPr="005A49E4" w:rsidRDefault="00BC057E">
      <w:pPr>
        <w:tabs>
          <w:tab w:val="left" w:pos="426"/>
        </w:tabs>
      </w:pPr>
    </w:p>
    <w:p w14:paraId="34289316" w14:textId="14F75534" w:rsidR="00BC057E" w:rsidRDefault="00C5134C" w:rsidP="00A801ED">
      <w:pPr>
        <w:pStyle w:val="Sesso1"/>
        <w:tabs>
          <w:tab w:val="clear" w:pos="420"/>
          <w:tab w:val="left" w:pos="426"/>
        </w:tabs>
      </w:pPr>
      <w:r>
        <w:t>METODOLOGIA</w:t>
      </w:r>
    </w:p>
    <w:p w14:paraId="6F8C5C97" w14:textId="77777777" w:rsidR="00C5134C" w:rsidRPr="005A49E4" w:rsidRDefault="00C5134C" w:rsidP="00C5134C">
      <w:pPr>
        <w:pStyle w:val="Sesso1"/>
        <w:numPr>
          <w:ilvl w:val="0"/>
          <w:numId w:val="0"/>
        </w:numPr>
        <w:tabs>
          <w:tab w:val="left" w:pos="426"/>
        </w:tabs>
        <w:ind w:left="420"/>
      </w:pPr>
    </w:p>
    <w:p w14:paraId="05F680DE" w14:textId="04C78613" w:rsidR="00C5134C" w:rsidRDefault="00C5134C" w:rsidP="00C5134C">
      <w:pPr>
        <w:pStyle w:val="Sesso2"/>
        <w:numPr>
          <w:ilvl w:val="1"/>
          <w:numId w:val="5"/>
        </w:numPr>
        <w:tabs>
          <w:tab w:val="left" w:pos="420"/>
        </w:tabs>
      </w:pPr>
      <w:r>
        <w:t>Estação solarimétrica</w:t>
      </w:r>
    </w:p>
    <w:p w14:paraId="756F33DB" w14:textId="77777777" w:rsidR="00C5134C" w:rsidRDefault="00C5134C" w:rsidP="00C5134C">
      <w:pPr>
        <w:tabs>
          <w:tab w:val="left" w:pos="426"/>
        </w:tabs>
        <w:ind w:left="420" w:right="562"/>
        <w:jc w:val="both"/>
      </w:pPr>
    </w:p>
    <w:p w14:paraId="28B29C1B" w14:textId="38B0B707" w:rsidR="00C5134C" w:rsidRDefault="008967D3" w:rsidP="00EF1948">
      <w:pPr>
        <w:tabs>
          <w:tab w:val="left" w:pos="426"/>
        </w:tabs>
        <w:jc w:val="both"/>
        <w:rPr>
          <w:color w:val="000000" w:themeColor="text1"/>
        </w:rPr>
      </w:pPr>
      <w:r>
        <w:rPr>
          <w:color w:val="000000" w:themeColor="text1"/>
        </w:rPr>
        <w:tab/>
      </w:r>
      <w:r w:rsidR="00C5134C" w:rsidRPr="00EF4895">
        <w:rPr>
          <w:color w:val="000000" w:themeColor="text1"/>
        </w:rPr>
        <w:t xml:space="preserve">No desenvolvimento desse estudo é utilizado os dados da irradiância global horizontal (GHI, do termo inglês </w:t>
      </w:r>
      <w:r w:rsidR="00C5134C" w:rsidRPr="00DC377A">
        <w:rPr>
          <w:i/>
          <w:color w:val="000000" w:themeColor="text1"/>
        </w:rPr>
        <w:t xml:space="preserve">Global Horizontal </w:t>
      </w:r>
      <w:proofErr w:type="spellStart"/>
      <w:r w:rsidR="00C5134C" w:rsidRPr="00DC377A">
        <w:rPr>
          <w:i/>
          <w:color w:val="000000" w:themeColor="text1"/>
        </w:rPr>
        <w:t>Irradiance</w:t>
      </w:r>
      <w:proofErr w:type="spellEnd"/>
      <w:r w:rsidR="00C5134C" w:rsidRPr="00EF4895">
        <w:rPr>
          <w:color w:val="000000" w:themeColor="text1"/>
        </w:rPr>
        <w:t xml:space="preserve">), adquirida </w:t>
      </w:r>
      <w:r w:rsidR="00EF1948" w:rsidRPr="00EF4895">
        <w:rPr>
          <w:color w:val="000000" w:themeColor="text1"/>
        </w:rPr>
        <w:t>p</w:t>
      </w:r>
      <w:r w:rsidR="00EF1948">
        <w:rPr>
          <w:color w:val="000000" w:themeColor="text1"/>
        </w:rPr>
        <w:t>or uma</w:t>
      </w:r>
      <w:r w:rsidR="00EF1948" w:rsidRPr="00EF4895">
        <w:rPr>
          <w:color w:val="000000" w:themeColor="text1"/>
        </w:rPr>
        <w:t xml:space="preserve"> </w:t>
      </w:r>
      <w:r w:rsidR="00C5134C" w:rsidRPr="00EF4895">
        <w:rPr>
          <w:color w:val="000000" w:themeColor="text1"/>
        </w:rPr>
        <w:t>estação solarimétrica</w:t>
      </w:r>
      <w:r w:rsidR="00EF1948">
        <w:rPr>
          <w:color w:val="000000" w:themeColor="text1"/>
        </w:rPr>
        <w:t xml:space="preserve"> pertencente ao</w:t>
      </w:r>
      <w:r w:rsidR="00C5134C" w:rsidRPr="00EF4895">
        <w:rPr>
          <w:color w:val="000000" w:themeColor="text1"/>
        </w:rPr>
        <w:t xml:space="preserve"> Instituto SENAI de Inovação em Energias Renováveis (ISI-ER), instalada na cidade de Sousa no estado da Paraíba. </w:t>
      </w:r>
      <w:r w:rsidR="00C5134C">
        <w:rPr>
          <w:color w:val="000000" w:themeColor="text1"/>
        </w:rPr>
        <w:t>A estação está instalada nas coordenadas 9,275°</w:t>
      </w:r>
      <w:r w:rsidR="00EF1948">
        <w:rPr>
          <w:color w:val="000000" w:themeColor="text1"/>
        </w:rPr>
        <w:t>S</w:t>
      </w:r>
      <w:r w:rsidR="00C5134C">
        <w:rPr>
          <w:color w:val="000000" w:themeColor="text1"/>
        </w:rPr>
        <w:t>,</w:t>
      </w:r>
      <w:r w:rsidR="00EF1948">
        <w:rPr>
          <w:color w:val="000000" w:themeColor="text1"/>
        </w:rPr>
        <w:t xml:space="preserve"> </w:t>
      </w:r>
      <w:r w:rsidR="00C5134C">
        <w:rPr>
          <w:color w:val="000000" w:themeColor="text1"/>
        </w:rPr>
        <w:t>41,0380°</w:t>
      </w:r>
      <w:r w:rsidR="00EF1948">
        <w:rPr>
          <w:color w:val="000000" w:themeColor="text1"/>
        </w:rPr>
        <w:t>O</w:t>
      </w:r>
      <w:r w:rsidR="00C5134C">
        <w:rPr>
          <w:color w:val="000000" w:themeColor="text1"/>
        </w:rPr>
        <w:t xml:space="preserve"> com uma altitude 402 metros acima do nível do mar. </w:t>
      </w:r>
    </w:p>
    <w:p w14:paraId="671B6F1B" w14:textId="0AC2F63B" w:rsidR="00C5134C" w:rsidRPr="00EF4895" w:rsidRDefault="00EF1948" w:rsidP="00EF1948">
      <w:pPr>
        <w:tabs>
          <w:tab w:val="left" w:pos="426"/>
        </w:tabs>
        <w:jc w:val="both"/>
      </w:pPr>
      <w:r>
        <w:rPr>
          <w:color w:val="000000" w:themeColor="text1"/>
        </w:rPr>
        <w:tab/>
        <w:t xml:space="preserve">O </w:t>
      </w:r>
      <w:r w:rsidR="00C5134C">
        <w:rPr>
          <w:color w:val="000000" w:themeColor="text1"/>
        </w:rPr>
        <w:t xml:space="preserve">clima </w:t>
      </w:r>
      <w:r>
        <w:t>d</w:t>
      </w:r>
      <w:r w:rsidR="00C5134C" w:rsidRPr="00EF4895">
        <w:t>a cidade de Sousa</w:t>
      </w:r>
      <w:r w:rsidR="00203033">
        <w:t>/</w:t>
      </w:r>
      <w:r w:rsidR="00C5134C" w:rsidRPr="00EF4895">
        <w:t xml:space="preserve">PB, </w:t>
      </w:r>
      <w:r>
        <w:t>é</w:t>
      </w:r>
      <w:r w:rsidR="00C5134C">
        <w:t xml:space="preserve"> classificad</w:t>
      </w:r>
      <w:r>
        <w:t>o</w:t>
      </w:r>
      <w:r w:rsidR="00C5134C">
        <w:t xml:space="preserve"> por (Koppen,1918), </w:t>
      </w:r>
      <w:r>
        <w:t>como</w:t>
      </w:r>
      <w:r w:rsidR="00C5134C">
        <w:t xml:space="preserve"> uma região semiárida quente (BSh), com uma temperatura média de 27,9</w:t>
      </w:r>
      <w:r>
        <w:t xml:space="preserve"> </w:t>
      </w:r>
      <w:r w:rsidR="00C5134C">
        <w:t>°</w:t>
      </w:r>
      <w:r>
        <w:t xml:space="preserve">C </w:t>
      </w:r>
      <w:r w:rsidR="00C5134C">
        <w:t>e pluviosidade de 528</w:t>
      </w:r>
      <w:r>
        <w:t xml:space="preserve"> </w:t>
      </w:r>
      <w:r w:rsidR="00C5134C">
        <w:t xml:space="preserve">mm ao ano, sendo uma região com baixo nível de pluviosidade anual. A cidade encontra-se próximo ao extremo Oeste do estado da Paraíba esta, sendo pontuados nas demarcações de localidade em seu território como vegetação de Caatinga. Na Fig. 1 está o mapa da localização do município de Sousa e </w:t>
      </w:r>
      <w:r w:rsidR="00203033">
        <w:t>é ilustrada a</w:t>
      </w:r>
      <w:r w:rsidR="00C5134C">
        <w:t xml:space="preserve"> estação solarimétrica.</w:t>
      </w:r>
    </w:p>
    <w:p w14:paraId="790EC69C" w14:textId="77777777" w:rsidR="00C5134C" w:rsidRDefault="00C5134C" w:rsidP="00631A7A">
      <w:pPr>
        <w:tabs>
          <w:tab w:val="left" w:pos="426"/>
        </w:tabs>
        <w:jc w:val="both"/>
      </w:pPr>
    </w:p>
    <w:p w14:paraId="59AC4412" w14:textId="5205AB9A" w:rsidR="00C5134C" w:rsidRDefault="00C429DC" w:rsidP="00C5134C">
      <w:pPr>
        <w:keepNext/>
        <w:jc w:val="center"/>
      </w:pPr>
      <w:r>
        <w:rPr>
          <w:noProof/>
        </w:rPr>
        <w:drawing>
          <wp:inline distT="0" distB="0" distL="0" distR="0" wp14:anchorId="3E950AB0" wp14:editId="44E57B43">
            <wp:extent cx="5296204" cy="3687398"/>
            <wp:effectExtent l="0" t="0" r="0" b="8890"/>
            <wp:docPr id="1587393555" name="Imagem 1" descr="Map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93555" name="Imagem 1" descr="Mapa&#10;&#10;Descrição gerada automa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05876" cy="3694132"/>
                    </a:xfrm>
                    <a:prstGeom prst="rect">
                      <a:avLst/>
                    </a:prstGeom>
                  </pic:spPr>
                </pic:pic>
              </a:graphicData>
            </a:graphic>
          </wp:inline>
        </w:drawing>
      </w:r>
    </w:p>
    <w:p w14:paraId="68C8719F" w14:textId="265E1484" w:rsidR="00BC057E" w:rsidRDefault="00C5134C" w:rsidP="00C5134C">
      <w:pPr>
        <w:pStyle w:val="Legendas"/>
      </w:pPr>
      <w:r>
        <w:t xml:space="preserve">Figura </w:t>
      </w:r>
      <w:fldSimple w:instr=" SEQ Figura \* ARABIC ">
        <w:r w:rsidR="006023DA">
          <w:rPr>
            <w:noProof/>
          </w:rPr>
          <w:t>1</w:t>
        </w:r>
      </w:fldSimple>
      <w:r>
        <w:t xml:space="preserve"> - </w:t>
      </w:r>
      <w:r w:rsidR="00203033" w:rsidRPr="00203033">
        <w:t xml:space="preserve">Mapa de </w:t>
      </w:r>
      <w:r w:rsidR="008967D3">
        <w:t>l</w:t>
      </w:r>
      <w:r w:rsidR="00203033" w:rsidRPr="00203033">
        <w:t xml:space="preserve">ocalização do município de estudo e </w:t>
      </w:r>
      <w:r w:rsidR="008967D3">
        <w:t xml:space="preserve">na qual está instalada </w:t>
      </w:r>
      <w:r w:rsidR="00203033" w:rsidRPr="00203033">
        <w:t xml:space="preserve">a estação </w:t>
      </w:r>
      <w:r w:rsidR="00203033">
        <w:t>solarimétrica.</w:t>
      </w:r>
    </w:p>
    <w:p w14:paraId="6E842AF0" w14:textId="51A0EA52" w:rsidR="00203033" w:rsidRDefault="00203033" w:rsidP="00C5134C">
      <w:pPr>
        <w:pStyle w:val="Legendas"/>
      </w:pPr>
    </w:p>
    <w:p w14:paraId="27C38147" w14:textId="77777777" w:rsidR="00C5134C" w:rsidRDefault="00C5134C" w:rsidP="00C429DC"/>
    <w:p w14:paraId="38A95B92" w14:textId="1B8C0246" w:rsidR="00987A7E" w:rsidRDefault="00046284" w:rsidP="00EF1948">
      <w:pPr>
        <w:tabs>
          <w:tab w:val="left" w:pos="426"/>
        </w:tabs>
        <w:jc w:val="both"/>
        <w:rPr>
          <w:color w:val="000000" w:themeColor="text1"/>
        </w:rPr>
      </w:pPr>
      <w:r>
        <w:rPr>
          <w:color w:val="000000" w:themeColor="text1"/>
        </w:rPr>
        <w:tab/>
      </w:r>
      <w:r w:rsidR="00C5134C" w:rsidRPr="00C5134C">
        <w:rPr>
          <w:color w:val="000000" w:themeColor="text1"/>
        </w:rPr>
        <w:t xml:space="preserve">A estação solarimétrica é composta por 2 piranômetros do modelo CMP11 da </w:t>
      </w:r>
      <w:proofErr w:type="spellStart"/>
      <w:r w:rsidR="00C5134C" w:rsidRPr="00C5134C">
        <w:rPr>
          <w:color w:val="000000" w:themeColor="text1"/>
        </w:rPr>
        <w:t>Kipp</w:t>
      </w:r>
      <w:proofErr w:type="spellEnd"/>
      <w:r w:rsidR="00C5134C" w:rsidRPr="00C5134C">
        <w:rPr>
          <w:color w:val="000000" w:themeColor="text1"/>
        </w:rPr>
        <w:t xml:space="preserve"> e </w:t>
      </w:r>
      <w:proofErr w:type="spellStart"/>
      <w:r w:rsidR="00C5134C" w:rsidRPr="00C5134C">
        <w:rPr>
          <w:color w:val="000000" w:themeColor="text1"/>
        </w:rPr>
        <w:t>Zonen</w:t>
      </w:r>
      <w:proofErr w:type="spellEnd"/>
      <w:r w:rsidR="00C5134C" w:rsidRPr="00C5134C">
        <w:rPr>
          <w:color w:val="000000" w:themeColor="text1"/>
        </w:rPr>
        <w:t xml:space="preserve"> classificados como classe A pela ISO 9060</w:t>
      </w:r>
      <w:r w:rsidR="008967D3">
        <w:rPr>
          <w:color w:val="000000" w:themeColor="text1"/>
        </w:rPr>
        <w:t>:2018</w:t>
      </w:r>
      <w:r w:rsidR="00EF1948">
        <w:rPr>
          <w:color w:val="000000" w:themeColor="text1"/>
        </w:rPr>
        <w:t xml:space="preserve">, calibrados e mantidos com manutenções preventivas frequentes pelo ISI-ER. </w:t>
      </w:r>
      <w:r w:rsidR="00987A7E">
        <w:rPr>
          <w:color w:val="000000" w:themeColor="text1"/>
        </w:rPr>
        <w:t>T</w:t>
      </w:r>
      <w:r w:rsidR="00C5134C" w:rsidRPr="00C5134C">
        <w:rPr>
          <w:color w:val="000000" w:themeColor="text1"/>
        </w:rPr>
        <w:t>ais piranômetros possuem um baixo tempo de resposta</w:t>
      </w:r>
      <w:r w:rsidR="00AB2CF1">
        <w:rPr>
          <w:color w:val="000000" w:themeColor="text1"/>
        </w:rPr>
        <w:t xml:space="preserve"> </w:t>
      </w:r>
      <w:r w:rsidR="00AB2CF1" w:rsidRPr="001D5E24">
        <w:rPr>
          <w:color w:val="000000" w:themeColor="text1"/>
        </w:rPr>
        <w:t>(menor que 5 segundos)</w:t>
      </w:r>
      <w:r w:rsidR="00C5134C" w:rsidRPr="001D5E24">
        <w:rPr>
          <w:color w:val="000000" w:themeColor="text1"/>
        </w:rPr>
        <w:t xml:space="preserve"> e uma alta precisão</w:t>
      </w:r>
      <w:r w:rsidR="00AB2CF1" w:rsidRPr="001D5E24">
        <w:rPr>
          <w:color w:val="000000" w:themeColor="text1"/>
        </w:rPr>
        <w:t>, ou seja</w:t>
      </w:r>
      <w:r w:rsidR="00D846E6" w:rsidRPr="001D5E24">
        <w:rPr>
          <w:color w:val="000000" w:themeColor="text1"/>
        </w:rPr>
        <w:t>, possui uma baixa variação anual na sua responsividade (menor que 0,5%)</w:t>
      </w:r>
      <w:r w:rsidR="00C5134C" w:rsidRPr="001D5E24">
        <w:rPr>
          <w:color w:val="000000" w:themeColor="text1"/>
        </w:rPr>
        <w:t>.</w:t>
      </w:r>
      <w:r w:rsidR="00C5134C" w:rsidRPr="00C5134C">
        <w:rPr>
          <w:color w:val="000000" w:themeColor="text1"/>
        </w:rPr>
        <w:t xml:space="preserve"> Também, estão instalados na estação sensores de temperatura e umidade relativa do ar, velocidade do vento e </w:t>
      </w:r>
      <w:r w:rsidR="008967D3">
        <w:rPr>
          <w:color w:val="000000" w:themeColor="text1"/>
        </w:rPr>
        <w:t>precipitação</w:t>
      </w:r>
      <w:r w:rsidR="00C5134C" w:rsidRPr="00C5134C">
        <w:rPr>
          <w:color w:val="000000" w:themeColor="text1"/>
        </w:rPr>
        <w:t xml:space="preserve">. </w:t>
      </w:r>
      <w:r w:rsidR="00EF1948">
        <w:rPr>
          <w:color w:val="000000" w:themeColor="text1"/>
        </w:rPr>
        <w:t xml:space="preserve">A estação solarimétrica coleta os dados a cada segundo e registra os valores médios, máximos, mínimos e desvio padrão a cada minuto em um </w:t>
      </w:r>
      <w:proofErr w:type="spellStart"/>
      <w:r w:rsidR="00EF1948">
        <w:rPr>
          <w:color w:val="000000" w:themeColor="text1"/>
        </w:rPr>
        <w:t>datalogger</w:t>
      </w:r>
      <w:proofErr w:type="spellEnd"/>
      <w:r w:rsidR="00EF1948">
        <w:rPr>
          <w:color w:val="000000" w:themeColor="text1"/>
        </w:rPr>
        <w:t xml:space="preserve"> CR1000X.  </w:t>
      </w:r>
      <w:r w:rsidR="00987A7E">
        <w:rPr>
          <w:color w:val="000000" w:themeColor="text1"/>
        </w:rPr>
        <w:t xml:space="preserve">Para analisar a diferença </w:t>
      </w:r>
      <w:r w:rsidR="000D5321">
        <w:rPr>
          <w:color w:val="000000" w:themeColor="text1"/>
        </w:rPr>
        <w:t xml:space="preserve">entre os eventos de sobreirradiância quando registrados em segundos e minutos, os dados da GHI também foram registrados a cada </w:t>
      </w:r>
      <w:r w:rsidR="00EF1948">
        <w:rPr>
          <w:color w:val="000000" w:themeColor="text1"/>
        </w:rPr>
        <w:t>segundo</w:t>
      </w:r>
      <w:r w:rsidR="000D5321">
        <w:rPr>
          <w:color w:val="000000" w:themeColor="text1"/>
        </w:rPr>
        <w:t xml:space="preserve">. </w:t>
      </w:r>
    </w:p>
    <w:p w14:paraId="02DD37AE" w14:textId="7BADD025" w:rsidR="00C5134C" w:rsidRDefault="00C5134C" w:rsidP="00C5134C">
      <w:pPr>
        <w:tabs>
          <w:tab w:val="left" w:pos="426"/>
        </w:tabs>
        <w:ind w:right="562"/>
        <w:jc w:val="both"/>
        <w:rPr>
          <w:color w:val="000000" w:themeColor="text1"/>
        </w:rPr>
      </w:pPr>
    </w:p>
    <w:p w14:paraId="561715A7" w14:textId="055AB0F6" w:rsidR="00C5134C" w:rsidRDefault="00C5134C" w:rsidP="004B0B3C">
      <w:pPr>
        <w:pStyle w:val="Sesso2"/>
        <w:numPr>
          <w:ilvl w:val="1"/>
          <w:numId w:val="5"/>
        </w:numPr>
      </w:pPr>
      <w:r w:rsidRPr="00C5134C">
        <w:t>Caracterização do evento de sobreirradiância</w:t>
      </w:r>
    </w:p>
    <w:p w14:paraId="034379F4" w14:textId="0DA7A746" w:rsidR="00C5134C" w:rsidRDefault="00C5134C" w:rsidP="004B0B3C">
      <w:pPr>
        <w:pStyle w:val="Sesso1"/>
        <w:numPr>
          <w:ilvl w:val="0"/>
          <w:numId w:val="0"/>
        </w:numPr>
        <w:ind w:left="420"/>
      </w:pPr>
    </w:p>
    <w:p w14:paraId="3734EF77" w14:textId="5021058E" w:rsidR="000B06A3" w:rsidRDefault="00702F21" w:rsidP="004B0B3C">
      <w:pPr>
        <w:tabs>
          <w:tab w:val="left" w:pos="426"/>
        </w:tabs>
        <w:jc w:val="both"/>
      </w:pPr>
      <w:r>
        <w:rPr>
          <w:lang w:eastAsia="en-US"/>
        </w:rPr>
        <w:tab/>
      </w:r>
      <w:r w:rsidR="00C05904" w:rsidRPr="00BF5185">
        <w:rPr>
          <w:lang w:eastAsia="en-US"/>
        </w:rPr>
        <w:t xml:space="preserve">A sobreirradiância é caracterizado pelo aumento </w:t>
      </w:r>
      <w:r w:rsidR="00BF5185" w:rsidRPr="00BF5185">
        <w:rPr>
          <w:lang w:eastAsia="en-US"/>
        </w:rPr>
        <w:t>a</w:t>
      </w:r>
      <w:r w:rsidR="00C05904" w:rsidRPr="00BF5185">
        <w:rPr>
          <w:lang w:eastAsia="en-US"/>
        </w:rPr>
        <w:t xml:space="preserve"> curto prazo da irradiância solar que atinge a superfície terrestre, sendo es</w:t>
      </w:r>
      <w:r w:rsidR="000B06A3" w:rsidRPr="00BF5185">
        <w:rPr>
          <w:lang w:eastAsia="en-US"/>
        </w:rPr>
        <w:t>t</w:t>
      </w:r>
      <w:r w:rsidR="00C05904" w:rsidRPr="00BF5185">
        <w:rPr>
          <w:lang w:eastAsia="en-US"/>
        </w:rPr>
        <w:t>a</w:t>
      </w:r>
      <w:r w:rsidR="000B06A3" w:rsidRPr="00BF5185">
        <w:rPr>
          <w:lang w:eastAsia="en-US"/>
        </w:rPr>
        <w:t>,</w:t>
      </w:r>
      <w:r w:rsidR="00C05904" w:rsidRPr="00BF5185">
        <w:rPr>
          <w:lang w:eastAsia="en-US"/>
        </w:rPr>
        <w:t xml:space="preserve"> superior a irradiância que chega no topo da atmosfera (</w:t>
      </w:r>
      <m:oMath>
        <m:sSub>
          <m:sSubPr>
            <m:ctrlPr>
              <w:rPr>
                <w:rFonts w:ascii="Cambria Math" w:hAnsi="Cambria Math"/>
                <w:i/>
              </w:rPr>
            </m:ctrlPr>
          </m:sSubPr>
          <m:e>
            <m:r>
              <w:rPr>
                <w:rFonts w:ascii="Cambria Math" w:hAnsi="Cambria Math"/>
              </w:rPr>
              <m:t>I</m:t>
            </m:r>
          </m:e>
          <m:sub>
            <m:r>
              <w:rPr>
                <w:rFonts w:ascii="Cambria Math" w:hAnsi="Cambria Math"/>
              </w:rPr>
              <m:t>oh</m:t>
            </m:r>
          </m:sub>
        </m:sSub>
      </m:oMath>
      <w:r w:rsidR="00C05904" w:rsidRPr="00BF5185">
        <w:rPr>
          <w:lang w:eastAsia="en-US"/>
        </w:rPr>
        <w:t xml:space="preserve">). Assim, para caracterizar os eventos de </w:t>
      </w:r>
      <w:r w:rsidR="00C05904" w:rsidRPr="00BF5185">
        <w:rPr>
          <w:lang w:eastAsia="en-US"/>
        </w:rPr>
        <w:lastRenderedPageBreak/>
        <w:t xml:space="preserve">sobreirradiância é necessário </w:t>
      </w:r>
      <w:r w:rsidR="000B06A3" w:rsidRPr="00BF5185">
        <w:rPr>
          <w:lang w:eastAsia="en-US"/>
        </w:rPr>
        <w:t xml:space="preserve">verificar quais instantes a radiação medida supera a </w:t>
      </w:r>
      <w:r w:rsidR="00022D50">
        <w:rPr>
          <w:lang w:eastAsia="en-US"/>
        </w:rPr>
        <w:t>(</w:t>
      </w:r>
      <m:oMath>
        <m:sSub>
          <m:sSubPr>
            <m:ctrlPr>
              <w:rPr>
                <w:rFonts w:ascii="Cambria Math" w:hAnsi="Cambria Math"/>
                <w:i/>
              </w:rPr>
            </m:ctrlPr>
          </m:sSubPr>
          <m:e>
            <m:r>
              <w:rPr>
                <w:rFonts w:ascii="Cambria Math" w:hAnsi="Cambria Math"/>
              </w:rPr>
              <m:t>I</m:t>
            </m:r>
          </m:e>
          <m:sub>
            <m:r>
              <w:rPr>
                <w:rFonts w:ascii="Cambria Math" w:hAnsi="Cambria Math"/>
              </w:rPr>
              <m:t>oh</m:t>
            </m:r>
          </m:sub>
        </m:sSub>
      </m:oMath>
      <w:r w:rsidR="00022D50" w:rsidRPr="00BF5185">
        <w:rPr>
          <w:lang w:eastAsia="en-US"/>
        </w:rPr>
        <w:t xml:space="preserve">). </w:t>
      </w:r>
      <w:r w:rsidR="000B06A3" w:rsidRPr="00BF5185">
        <w:rPr>
          <w:lang w:eastAsia="en-US"/>
        </w:rPr>
        <w:t xml:space="preserve"> Para tanto, são caracterizadas as curvas da </w:t>
      </w:r>
      <m:oMath>
        <m:sSub>
          <m:sSubPr>
            <m:ctrlPr>
              <w:rPr>
                <w:rFonts w:ascii="Cambria Math" w:hAnsi="Cambria Math"/>
                <w:i/>
              </w:rPr>
            </m:ctrlPr>
          </m:sSubPr>
          <m:e>
            <m:r>
              <w:rPr>
                <w:rFonts w:ascii="Cambria Math" w:hAnsi="Cambria Math"/>
              </w:rPr>
              <m:t>I</m:t>
            </m:r>
          </m:e>
          <m:sub>
            <m:r>
              <w:rPr>
                <w:rFonts w:ascii="Cambria Math" w:hAnsi="Cambria Math"/>
              </w:rPr>
              <m:t>oh</m:t>
            </m:r>
          </m:sub>
        </m:sSub>
      </m:oMath>
      <w:r w:rsidR="0091209B">
        <w:rPr>
          <w:lang w:eastAsia="en-US"/>
        </w:rPr>
        <w:t xml:space="preserve">, </w:t>
      </w:r>
      <w:r w:rsidR="00333828">
        <w:rPr>
          <w:lang w:eastAsia="en-US"/>
        </w:rPr>
        <w:t>segund</w:t>
      </w:r>
      <w:r w:rsidR="00333828" w:rsidRPr="001D5E24">
        <w:rPr>
          <w:lang w:eastAsia="en-US"/>
        </w:rPr>
        <w:t>o</w:t>
      </w:r>
      <w:r w:rsidR="00333828" w:rsidRPr="001D5E24">
        <w:t xml:space="preserve"> Costa et al. (2021),</w:t>
      </w:r>
      <w:r w:rsidR="00333828">
        <w:rPr>
          <w:lang w:eastAsia="en-US"/>
        </w:rPr>
        <w:t xml:space="preserve"> </w:t>
      </w:r>
      <w:r w:rsidR="0091209B">
        <w:rPr>
          <w:lang w:eastAsia="en-US"/>
        </w:rPr>
        <w:t>conforme a Eq. (1)</w:t>
      </w:r>
      <w:r w:rsidR="000B06A3" w:rsidRPr="00BF5185">
        <w:rPr>
          <w:lang w:eastAsia="en-US"/>
        </w:rPr>
        <w:t>:</w:t>
      </w:r>
    </w:p>
    <w:p w14:paraId="749826AE" w14:textId="77777777" w:rsidR="00BF5185" w:rsidRPr="00BF5185" w:rsidRDefault="00BF5185" w:rsidP="004B0B3C">
      <w:pPr>
        <w:tabs>
          <w:tab w:val="left" w:pos="426"/>
        </w:tabs>
        <w:jc w:val="both"/>
        <w:rPr>
          <w:lang w:eastAsia="en-US"/>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505"/>
        <w:gridCol w:w="562"/>
      </w:tblGrid>
      <w:tr w:rsidR="000B06A3" w14:paraId="1A694108" w14:textId="77777777" w:rsidTr="00604B17">
        <w:trPr>
          <w:trHeight w:val="624"/>
        </w:trPr>
        <w:tc>
          <w:tcPr>
            <w:tcW w:w="562" w:type="dxa"/>
            <w:vAlign w:val="center"/>
          </w:tcPr>
          <w:p w14:paraId="40C93C4B" w14:textId="77777777" w:rsidR="000B06A3" w:rsidRDefault="000B06A3" w:rsidP="00604B17">
            <w:pPr>
              <w:tabs>
                <w:tab w:val="left" w:pos="426"/>
              </w:tabs>
              <w:jc w:val="center"/>
            </w:pPr>
          </w:p>
        </w:tc>
        <w:tc>
          <w:tcPr>
            <w:tcW w:w="8505" w:type="dxa"/>
            <w:vAlign w:val="center"/>
          </w:tcPr>
          <w:p w14:paraId="031AE749" w14:textId="77777777" w:rsidR="000B06A3" w:rsidRDefault="00000000" w:rsidP="00604B17">
            <w:pPr>
              <w:tabs>
                <w:tab w:val="left" w:pos="426"/>
              </w:tabs>
              <w:jc w:val="center"/>
            </w:pPr>
            <m:oMathPara>
              <m:oMath>
                <m:sSub>
                  <m:sSubPr>
                    <m:ctrlPr>
                      <w:rPr>
                        <w:rFonts w:ascii="Cambria Math" w:hAnsi="Cambria Math"/>
                        <w:i/>
                      </w:rPr>
                    </m:ctrlPr>
                  </m:sSubPr>
                  <m:e>
                    <m:r>
                      <w:rPr>
                        <w:rFonts w:ascii="Cambria Math" w:hAnsi="Cambria Math"/>
                      </w:rPr>
                      <m:t>I</m:t>
                    </m:r>
                  </m:e>
                  <m:sub>
                    <m:r>
                      <w:rPr>
                        <w:rFonts w:ascii="Cambria Math" w:hAnsi="Cambria Math"/>
                      </w:rPr>
                      <m:t>oh</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SC</m:t>
                    </m:r>
                  </m:sub>
                </m:sSub>
                <m:sSub>
                  <m:sSubPr>
                    <m:ctrlPr>
                      <w:rPr>
                        <w:rFonts w:ascii="Cambria Math" w:hAnsi="Cambria Math"/>
                        <w:i/>
                      </w:rPr>
                    </m:ctrlPr>
                  </m:sSubPr>
                  <m:e>
                    <m:r>
                      <w:rPr>
                        <w:rFonts w:ascii="Cambria Math" w:hAnsi="Cambria Math"/>
                      </w:rPr>
                      <m:t>.ε</m:t>
                    </m:r>
                  </m:e>
                  <m:sub>
                    <m:r>
                      <w:rPr>
                        <w:rFonts w:ascii="Cambria Math" w:hAnsi="Cambria Math"/>
                      </w:rPr>
                      <m:t>o</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z</m:t>
                    </m:r>
                  </m:sub>
                </m:sSub>
                <m:r>
                  <w:rPr>
                    <w:rFonts w:ascii="Cambria Math" w:hAnsi="Cambria Math"/>
                  </w:rPr>
                  <m:t>,</m:t>
                </m:r>
              </m:oMath>
            </m:oMathPara>
          </w:p>
        </w:tc>
        <w:tc>
          <w:tcPr>
            <w:tcW w:w="562" w:type="dxa"/>
            <w:vAlign w:val="center"/>
          </w:tcPr>
          <w:p w14:paraId="3A278D6C" w14:textId="54283B5A" w:rsidR="000B06A3" w:rsidRDefault="000B06A3" w:rsidP="00604B17">
            <w:pPr>
              <w:tabs>
                <w:tab w:val="left" w:pos="426"/>
              </w:tabs>
              <w:jc w:val="center"/>
            </w:pPr>
            <w:r>
              <w:t>(1)</w:t>
            </w:r>
          </w:p>
        </w:tc>
      </w:tr>
    </w:tbl>
    <w:p w14:paraId="41FDD507" w14:textId="77777777" w:rsidR="000B06A3" w:rsidRDefault="000B06A3" w:rsidP="004B0B3C">
      <w:pPr>
        <w:tabs>
          <w:tab w:val="left" w:pos="426"/>
        </w:tabs>
        <w:jc w:val="both"/>
        <w:rPr>
          <w:color w:val="C00000"/>
          <w:highlight w:val="yellow"/>
        </w:rPr>
      </w:pPr>
    </w:p>
    <w:p w14:paraId="0DFD5570" w14:textId="2D5D09A1" w:rsidR="000B06A3" w:rsidRDefault="000B06A3" w:rsidP="000B06A3">
      <w:pPr>
        <w:pStyle w:val="CorpodoTexto"/>
      </w:pPr>
      <w:r>
        <w:t xml:space="preserve">em que </w:t>
      </w:r>
      <w:r>
        <w:rPr>
          <w:rFonts w:ascii="Cambria Math" w:hAnsi="Cambria Math" w:cs="Cambria Math"/>
        </w:rPr>
        <w:t>𝐼</w:t>
      </w:r>
      <w:r w:rsidRPr="00112F2A">
        <w:rPr>
          <w:rFonts w:ascii="Cambria Math" w:hAnsi="Cambria Math" w:cs="Cambria Math"/>
          <w:vertAlign w:val="subscript"/>
        </w:rPr>
        <w:t>𝑆𝐶</w:t>
      </w:r>
      <w:r>
        <w:t xml:space="preserve"> é a constante solar igual a 1367 W/m², </w:t>
      </w:r>
      <w:r>
        <w:rPr>
          <w:rFonts w:ascii="Cambria Math" w:hAnsi="Cambria Math" w:cs="Cambria Math"/>
        </w:rPr>
        <w:t>𝜀</w:t>
      </w:r>
      <w:r w:rsidRPr="00112F2A">
        <w:rPr>
          <w:rFonts w:ascii="Cambria Math" w:hAnsi="Cambria Math" w:cs="Cambria Math"/>
          <w:vertAlign w:val="subscript"/>
        </w:rPr>
        <w:t>𝑜</w:t>
      </w:r>
      <w:r>
        <w:t xml:space="preserve"> é a excentricidade da órbita da Terra e cos</w:t>
      </w:r>
      <w:r>
        <w:rPr>
          <w:rFonts w:ascii="Cambria Math" w:hAnsi="Cambria Math" w:cs="Cambria Math"/>
        </w:rPr>
        <w:t>𝜃</w:t>
      </w:r>
      <w:r w:rsidRPr="00112F2A">
        <w:rPr>
          <w:rFonts w:ascii="Cambria Math" w:hAnsi="Cambria Math" w:cs="Cambria Math"/>
          <w:vertAlign w:val="subscript"/>
        </w:rPr>
        <w:t>𝑍</w:t>
      </w:r>
      <w:r>
        <w:t xml:space="preserve"> é o cosseno do ângulo zenital. Com base nas curvas de </w:t>
      </w:r>
      <m:oMath>
        <m:sSub>
          <m:sSubPr>
            <m:ctrlPr>
              <w:rPr>
                <w:rFonts w:ascii="Cambria Math" w:hAnsi="Cambria Math"/>
                <w:i/>
              </w:rPr>
            </m:ctrlPr>
          </m:sSubPr>
          <m:e>
            <m:r>
              <w:rPr>
                <w:rFonts w:ascii="Cambria Math" w:hAnsi="Cambria Math"/>
              </w:rPr>
              <m:t>I</m:t>
            </m:r>
          </m:e>
          <m:sub>
            <m:r>
              <w:rPr>
                <w:rFonts w:ascii="Cambria Math" w:hAnsi="Cambria Math"/>
              </w:rPr>
              <m:t>oh</m:t>
            </m:r>
          </m:sub>
        </m:sSub>
      </m:oMath>
      <w:r>
        <w:t xml:space="preserve">, é verificado os instantes da GHI medida supera a </w:t>
      </w:r>
      <m:oMath>
        <m:sSub>
          <m:sSubPr>
            <m:ctrlPr>
              <w:rPr>
                <w:rFonts w:ascii="Cambria Math" w:hAnsi="Cambria Math"/>
                <w:i/>
              </w:rPr>
            </m:ctrlPr>
          </m:sSubPr>
          <m:e>
            <m:r>
              <w:rPr>
                <w:rFonts w:ascii="Cambria Math" w:hAnsi="Cambria Math"/>
              </w:rPr>
              <m:t>I</m:t>
            </m:r>
          </m:e>
          <m:sub>
            <m:r>
              <w:rPr>
                <w:rFonts w:ascii="Cambria Math" w:hAnsi="Cambria Math"/>
              </w:rPr>
              <m:t>oh</m:t>
            </m:r>
          </m:sub>
        </m:sSub>
      </m:oMath>
      <w:r>
        <w:t xml:space="preserve"> e esse instante é contabilizado como um evento de sobreirradiância</w:t>
      </w:r>
      <w:r w:rsidR="00D810D5">
        <w:t xml:space="preserve"> </w:t>
      </w:r>
      <w:r w:rsidR="00D810D5" w:rsidRPr="001D5E24">
        <w:t>(Costa</w:t>
      </w:r>
      <w:r w:rsidR="00333828" w:rsidRPr="001D5E24">
        <w:t xml:space="preserve"> et al.</w:t>
      </w:r>
      <w:r w:rsidR="00D810D5" w:rsidRPr="001D5E24">
        <w:t>, 2021)</w:t>
      </w:r>
      <w:r w:rsidRPr="001D5E24">
        <w:t>.</w:t>
      </w:r>
      <w:r>
        <w:t xml:space="preserve"> Na Fig. </w:t>
      </w:r>
      <w:r w:rsidR="00575EBF">
        <w:t>2</w:t>
      </w:r>
      <w:r>
        <w:t xml:space="preserve"> é ilustrado um evento de sobreirrradiância</w:t>
      </w:r>
      <w:r w:rsidR="00BF5185">
        <w:t>, destacado na cor vermelha</w:t>
      </w:r>
      <w:r>
        <w:t xml:space="preserve">, na qual é possível verificar que a GHI medida supera a </w:t>
      </w:r>
      <m:oMath>
        <m:sSub>
          <m:sSubPr>
            <m:ctrlPr>
              <w:rPr>
                <w:rFonts w:ascii="Cambria Math" w:hAnsi="Cambria Math"/>
                <w:i/>
              </w:rPr>
            </m:ctrlPr>
          </m:sSubPr>
          <m:e>
            <m:r>
              <w:rPr>
                <w:rFonts w:ascii="Cambria Math" w:hAnsi="Cambria Math"/>
              </w:rPr>
              <m:t>I</m:t>
            </m:r>
          </m:e>
          <m:sub>
            <m:r>
              <w:rPr>
                <w:rFonts w:ascii="Cambria Math" w:hAnsi="Cambria Math"/>
              </w:rPr>
              <m:t>oh</m:t>
            </m:r>
          </m:sub>
        </m:sSub>
      </m:oMath>
      <w:r>
        <w:t xml:space="preserve"> por alguns instantes.</w:t>
      </w:r>
      <w:r w:rsidR="00BF5185">
        <w:t xml:space="preserve"> Os eventos de sobreirradiância podem ocorrer em vários períodos do dia, mas alguns eventos apresentam valores muito menores que 1000</w:t>
      </w:r>
      <w:r w:rsidR="00EF1948">
        <w:t xml:space="preserve"> </w:t>
      </w:r>
      <w:r w:rsidR="00BF5185">
        <w:t xml:space="preserve">W/m², intensidade esta que os módulos são certificados, não apresentando relevância ou problemas para a operação de sistemas fotovoltaicos (do Nascimento et al, 2019). Desta forma, nesse estudo só é verificado os eventos de sobreirradiância superiores a 1000 W/m². </w:t>
      </w:r>
    </w:p>
    <w:p w14:paraId="65D6767E" w14:textId="6F8CBCFA" w:rsidR="006B1C24" w:rsidRDefault="006B1C24" w:rsidP="000B06A3">
      <w:pPr>
        <w:pStyle w:val="CorpodoTexto"/>
      </w:pPr>
    </w:p>
    <w:p w14:paraId="053AB0AB" w14:textId="37984EB0" w:rsidR="006B1C24" w:rsidRDefault="006B1C24" w:rsidP="000B06A3">
      <w:pPr>
        <w:pStyle w:val="CorpodoTexto"/>
      </w:pPr>
    </w:p>
    <w:p w14:paraId="0CAE80EC" w14:textId="545B0C5C" w:rsidR="006023DA" w:rsidRDefault="006B1C24" w:rsidP="006023DA">
      <w:pPr>
        <w:pStyle w:val="CorpodoTexto"/>
        <w:keepNext/>
        <w:jc w:val="center"/>
      </w:pPr>
      <w:r>
        <w:rPr>
          <w:noProof/>
          <w:lang w:eastAsia="pt-BR"/>
        </w:rPr>
        <w:drawing>
          <wp:inline distT="0" distB="0" distL="0" distR="0" wp14:anchorId="363542BA" wp14:editId="47DAA247">
            <wp:extent cx="2954478" cy="2307984"/>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05563" cy="2347891"/>
                    </a:xfrm>
                    <a:prstGeom prst="rect">
                      <a:avLst/>
                    </a:prstGeom>
                    <a:noFill/>
                    <a:ln>
                      <a:noFill/>
                    </a:ln>
                  </pic:spPr>
                </pic:pic>
              </a:graphicData>
            </a:graphic>
          </wp:inline>
        </w:drawing>
      </w:r>
    </w:p>
    <w:p w14:paraId="43F5FF7C" w14:textId="77777777" w:rsidR="00702F21" w:rsidRDefault="00702F21" w:rsidP="006023DA">
      <w:pPr>
        <w:pStyle w:val="CorpodoTexto"/>
        <w:keepNext/>
        <w:jc w:val="center"/>
      </w:pPr>
    </w:p>
    <w:p w14:paraId="690F831D" w14:textId="1FB54952" w:rsidR="006B1C24" w:rsidRDefault="006023DA" w:rsidP="006023DA">
      <w:pPr>
        <w:pStyle w:val="Legendas"/>
      </w:pPr>
      <w:r>
        <w:t xml:space="preserve">Figura </w:t>
      </w:r>
      <w:r w:rsidR="00575EBF">
        <w:t>2</w:t>
      </w:r>
      <w:r>
        <w:t xml:space="preserve"> - Representação de um evento de sobreirradiância.</w:t>
      </w:r>
    </w:p>
    <w:p w14:paraId="2C2F7399" w14:textId="33729038" w:rsidR="006B1C24" w:rsidRDefault="006B1C24" w:rsidP="000B06A3">
      <w:pPr>
        <w:pStyle w:val="CorpodoTexto"/>
      </w:pPr>
    </w:p>
    <w:p w14:paraId="4D1393CD" w14:textId="031A090D" w:rsidR="006B1C24" w:rsidRDefault="006B1C24" w:rsidP="000B06A3">
      <w:pPr>
        <w:pStyle w:val="CorpodoTexto"/>
      </w:pPr>
    </w:p>
    <w:p w14:paraId="60D708B0" w14:textId="344667CD" w:rsidR="00C5134C" w:rsidRPr="00C5134C" w:rsidRDefault="00C5134C" w:rsidP="004B0B3C">
      <w:pPr>
        <w:pStyle w:val="Sesso2"/>
        <w:numPr>
          <w:ilvl w:val="1"/>
          <w:numId w:val="5"/>
        </w:numPr>
        <w:jc w:val="both"/>
      </w:pPr>
      <w:r w:rsidRPr="00C5134C">
        <w:t>Tratamento dos dados</w:t>
      </w:r>
    </w:p>
    <w:p w14:paraId="0C08F9B8" w14:textId="02E1A46F" w:rsidR="00C5134C" w:rsidRDefault="00C5134C" w:rsidP="004B0B3C">
      <w:pPr>
        <w:tabs>
          <w:tab w:val="left" w:pos="426"/>
        </w:tabs>
        <w:jc w:val="both"/>
        <w:rPr>
          <w:color w:val="000000" w:themeColor="text1"/>
        </w:rPr>
      </w:pPr>
    </w:p>
    <w:p w14:paraId="31A1504D" w14:textId="24158480" w:rsidR="00BF5185" w:rsidRDefault="00702F21" w:rsidP="004B0B3C">
      <w:pPr>
        <w:tabs>
          <w:tab w:val="left" w:pos="426"/>
        </w:tabs>
        <w:jc w:val="both"/>
      </w:pPr>
      <w:r>
        <w:tab/>
      </w:r>
      <w:r w:rsidR="00BF5185">
        <w:t>Os dados obtidos a partir da estação solarimétrica, tanto na resolução de minutos quanto na resolução de segundos, foram processados</w:t>
      </w:r>
      <w:r w:rsidR="009D79DB">
        <w:t>, verificando a existência de lacunas ou duplicidades nas medições. Posteriormente esses dados foram consolidados e submetidos ao controle de qualidade de dados radiométricos existente no ISI-ER. Nesse controle de qualidade os dados são avaliados em testes globais, testes físicos</w:t>
      </w:r>
      <w:r w:rsidR="00EF1948">
        <w:t>, testes comparativos</w:t>
      </w:r>
      <w:r w:rsidR="009D79DB">
        <w:t xml:space="preserve"> e testes de refinamento. Após esse rigoroso controle de validade dos dados, é contabilizado os eventos de sobreirradiância, observando a hora da ocorrência, a intensidade máxima e média da irradiância durante o evento. Posteriormente, é realizada a consolidação dos eventos ocorridos durante o período analisado, destacando os eventos com maiores intensidades e maiores durações.</w:t>
      </w:r>
    </w:p>
    <w:p w14:paraId="2837B58A" w14:textId="2C139295" w:rsidR="00C5134C" w:rsidRPr="00A50A2C" w:rsidRDefault="00C5134C" w:rsidP="00A41C78">
      <w:pPr>
        <w:tabs>
          <w:tab w:val="left" w:pos="426"/>
        </w:tabs>
        <w:jc w:val="both"/>
      </w:pPr>
      <w:r w:rsidRPr="00A50A2C">
        <w:t xml:space="preserve">                      </w:t>
      </w:r>
    </w:p>
    <w:p w14:paraId="44D1FBAD" w14:textId="77777777" w:rsidR="00C5134C" w:rsidRPr="005A49E4" w:rsidRDefault="00C5134C"/>
    <w:p w14:paraId="19C88049" w14:textId="20CD2120" w:rsidR="00BC057E" w:rsidRDefault="00C5134C" w:rsidP="00C5134C">
      <w:pPr>
        <w:pStyle w:val="Sesso1"/>
      </w:pPr>
      <w:r>
        <w:t>RESULTADOS</w:t>
      </w:r>
    </w:p>
    <w:p w14:paraId="7C7F869B" w14:textId="77777777" w:rsidR="000D5321" w:rsidRDefault="000D5321" w:rsidP="004B0B3C">
      <w:pPr>
        <w:tabs>
          <w:tab w:val="left" w:pos="426"/>
        </w:tabs>
        <w:jc w:val="both"/>
        <w:rPr>
          <w:color w:val="C00000"/>
          <w:highlight w:val="yellow"/>
        </w:rPr>
      </w:pPr>
    </w:p>
    <w:p w14:paraId="238DBAAA" w14:textId="1125B3E4" w:rsidR="00014075" w:rsidRPr="00311C79" w:rsidRDefault="00F879C9" w:rsidP="005100F0">
      <w:pPr>
        <w:tabs>
          <w:tab w:val="left" w:pos="426"/>
        </w:tabs>
        <w:jc w:val="both"/>
        <w:rPr>
          <w:color w:val="000000" w:themeColor="text1"/>
        </w:rPr>
      </w:pPr>
      <w:r>
        <w:rPr>
          <w:color w:val="000000" w:themeColor="text1"/>
        </w:rPr>
        <w:tab/>
      </w:r>
      <w:r w:rsidR="006A18FB" w:rsidRPr="00311C79">
        <w:rPr>
          <w:color w:val="000000" w:themeColor="text1"/>
        </w:rPr>
        <w:t xml:space="preserve">A presença de nuvens é o principal fator </w:t>
      </w:r>
      <w:r w:rsidR="000D5321" w:rsidRPr="00311C79">
        <w:rPr>
          <w:color w:val="000000" w:themeColor="text1"/>
        </w:rPr>
        <w:t>que ocasiona a alta variabilidade da irradiância durante o dia</w:t>
      </w:r>
      <w:r w:rsidR="00311C79">
        <w:rPr>
          <w:color w:val="000000" w:themeColor="text1"/>
        </w:rPr>
        <w:t xml:space="preserve"> e, s</w:t>
      </w:r>
      <w:r w:rsidR="006A18FB" w:rsidRPr="00311C79">
        <w:rPr>
          <w:color w:val="000000" w:themeColor="text1"/>
        </w:rPr>
        <w:t>egundo (Andrade e Tiba,</w:t>
      </w:r>
      <w:r w:rsidR="000D5321" w:rsidRPr="00311C79">
        <w:rPr>
          <w:color w:val="000000" w:themeColor="text1"/>
        </w:rPr>
        <w:t xml:space="preserve"> </w:t>
      </w:r>
      <w:r w:rsidR="006A18FB" w:rsidRPr="00311C79">
        <w:rPr>
          <w:color w:val="000000" w:themeColor="text1"/>
        </w:rPr>
        <w:t xml:space="preserve">2016), a aparição de nuvens do tipo cumulus, aumenta a probabilidade de elevados valores de irradiância, </w:t>
      </w:r>
      <w:r w:rsidR="00EE75C8" w:rsidRPr="00311C79">
        <w:rPr>
          <w:color w:val="000000" w:themeColor="text1"/>
        </w:rPr>
        <w:t>como consequência</w:t>
      </w:r>
      <w:r w:rsidR="006A18FB" w:rsidRPr="00311C79">
        <w:rPr>
          <w:color w:val="000000" w:themeColor="text1"/>
        </w:rPr>
        <w:t xml:space="preserve"> </w:t>
      </w:r>
      <w:r w:rsidR="00EE75C8" w:rsidRPr="00311C79">
        <w:rPr>
          <w:color w:val="000000" w:themeColor="text1"/>
        </w:rPr>
        <w:t>d</w:t>
      </w:r>
      <w:r w:rsidR="006A18FB" w:rsidRPr="00311C79">
        <w:rPr>
          <w:color w:val="000000" w:themeColor="text1"/>
        </w:rPr>
        <w:t>o fenômeno de refletividade d</w:t>
      </w:r>
      <w:r w:rsidR="000D5321" w:rsidRPr="00311C79">
        <w:rPr>
          <w:color w:val="000000" w:themeColor="text1"/>
        </w:rPr>
        <w:t>as</w:t>
      </w:r>
      <w:r w:rsidR="006A18FB" w:rsidRPr="00311C79">
        <w:rPr>
          <w:color w:val="000000" w:themeColor="text1"/>
        </w:rPr>
        <w:t xml:space="preserve"> bordas de nuvens. </w:t>
      </w:r>
      <w:r w:rsidR="00311C79">
        <w:rPr>
          <w:color w:val="000000" w:themeColor="text1"/>
        </w:rPr>
        <w:t xml:space="preserve">Assim, para avaliar os eventos de sobreirradiância precisa-se levar em conta </w:t>
      </w:r>
      <w:r w:rsidR="00715202" w:rsidRPr="00173229">
        <w:rPr>
          <w:color w:val="000000" w:themeColor="text1"/>
        </w:rPr>
        <w:t>a alta variabilidade temporal</w:t>
      </w:r>
      <w:r w:rsidR="00311C79" w:rsidRPr="00173229">
        <w:rPr>
          <w:color w:val="000000" w:themeColor="text1"/>
        </w:rPr>
        <w:t>.</w:t>
      </w:r>
      <w:r w:rsidR="00715202" w:rsidRPr="00173229">
        <w:rPr>
          <w:color w:val="000000" w:themeColor="text1"/>
        </w:rPr>
        <w:t xml:space="preserve"> </w:t>
      </w:r>
      <w:r w:rsidR="00311C79" w:rsidRPr="00173229">
        <w:rPr>
          <w:color w:val="000000" w:themeColor="text1"/>
        </w:rPr>
        <w:t>Na Fig.</w:t>
      </w:r>
      <w:r w:rsidR="00575EBF">
        <w:rPr>
          <w:color w:val="000000" w:themeColor="text1"/>
        </w:rPr>
        <w:t xml:space="preserve"> 3</w:t>
      </w:r>
      <w:r w:rsidR="00311C79" w:rsidRPr="00173229">
        <w:rPr>
          <w:color w:val="000000" w:themeColor="text1"/>
        </w:rPr>
        <w:t xml:space="preserve"> é ilustrada a comparação entre o perfil diário da irradiância quando registrada a cada minuto em comparação quando é registrada a cada segundo, em um dia que apresentou alta variabilidade da irradiância.</w:t>
      </w:r>
      <w:r w:rsidR="005100F0" w:rsidRPr="00173229">
        <w:rPr>
          <w:color w:val="000000" w:themeColor="text1"/>
        </w:rPr>
        <w:t xml:space="preserve"> Ao realizar a comparação dos perfis, há uma certa variação de percentuais de máximos e mínimos registrados, com os dados de minutos apresentando uma suavização em seu perfil. Entretanto, no perfil de segundos, é possível visualizar uma maior variabilidade, com extremos mais proeminentes, isso deve-se ao registro em curto tempo. Ao analisar o valor máximo da irradiância na resolução de minutos, ilustrado na Fig. </w:t>
      </w:r>
      <w:r w:rsidR="00575EBF">
        <w:rPr>
          <w:color w:val="000000" w:themeColor="text1"/>
        </w:rPr>
        <w:t>3</w:t>
      </w:r>
      <w:r w:rsidR="005100F0" w:rsidRPr="00173229">
        <w:rPr>
          <w:color w:val="000000" w:themeColor="text1"/>
        </w:rPr>
        <w:t xml:space="preserve">a, observa-se o valor de </w:t>
      </w:r>
      <w:r w:rsidR="00464E87" w:rsidRPr="00173229">
        <w:rPr>
          <w:color w:val="000000" w:themeColor="text1"/>
        </w:rPr>
        <w:t>1377</w:t>
      </w:r>
      <w:r w:rsidR="00173229" w:rsidRPr="00173229">
        <w:rPr>
          <w:color w:val="000000" w:themeColor="text1"/>
        </w:rPr>
        <w:t xml:space="preserve"> W/m², já ao analisar o valor máximo medido na resolução de segundos, apresentado na Fig. </w:t>
      </w:r>
      <w:r w:rsidR="00575EBF">
        <w:rPr>
          <w:color w:val="000000" w:themeColor="text1"/>
        </w:rPr>
        <w:t>3</w:t>
      </w:r>
      <w:r w:rsidR="00173229" w:rsidRPr="00173229">
        <w:rPr>
          <w:color w:val="000000" w:themeColor="text1"/>
        </w:rPr>
        <w:t>b, o valor é de 15</w:t>
      </w:r>
      <w:r w:rsidR="00DC377A">
        <w:rPr>
          <w:color w:val="000000" w:themeColor="text1"/>
        </w:rPr>
        <w:t>51</w:t>
      </w:r>
      <w:r w:rsidR="00173229" w:rsidRPr="00173229">
        <w:rPr>
          <w:color w:val="000000" w:themeColor="text1"/>
        </w:rPr>
        <w:t xml:space="preserve"> W/m², o que representa uma diferença de 10% na intensidade do evento de sobreirradiância. </w:t>
      </w:r>
    </w:p>
    <w:p w14:paraId="38947AB5" w14:textId="610FB83D" w:rsidR="0003043E" w:rsidRDefault="0003043E">
      <w:pPr>
        <w:tabs>
          <w:tab w:val="left" w:pos="426"/>
        </w:tabs>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20"/>
      </w:tblGrid>
      <w:tr w:rsidR="00030C78" w14:paraId="2BF0A21E" w14:textId="77777777" w:rsidTr="00EF4895">
        <w:trPr>
          <w:trHeight w:val="3576"/>
        </w:trPr>
        <w:tc>
          <w:tcPr>
            <w:tcW w:w="4889" w:type="dxa"/>
            <w:vAlign w:val="center"/>
          </w:tcPr>
          <w:p w14:paraId="7D1A514D" w14:textId="67E74E96" w:rsidR="00030C78" w:rsidRDefault="00030C78" w:rsidP="00EF4895">
            <w:pPr>
              <w:tabs>
                <w:tab w:val="left" w:pos="426"/>
              </w:tabs>
              <w:jc w:val="center"/>
            </w:pPr>
            <w:r>
              <w:rPr>
                <w:noProof/>
              </w:rPr>
              <w:lastRenderedPageBreak/>
              <w:drawing>
                <wp:inline distT="0" distB="0" distL="0" distR="0" wp14:anchorId="76386110" wp14:editId="71C5AF15">
                  <wp:extent cx="2519040" cy="2159177"/>
                  <wp:effectExtent l="0" t="0" r="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519040" cy="2159177"/>
                          </a:xfrm>
                          <a:prstGeom prst="rect">
                            <a:avLst/>
                          </a:prstGeom>
                          <a:noFill/>
                          <a:ln>
                            <a:noFill/>
                          </a:ln>
                        </pic:spPr>
                      </pic:pic>
                    </a:graphicData>
                  </a:graphic>
                </wp:inline>
              </w:drawing>
            </w:r>
          </w:p>
        </w:tc>
        <w:tc>
          <w:tcPr>
            <w:tcW w:w="4890" w:type="dxa"/>
            <w:vAlign w:val="center"/>
          </w:tcPr>
          <w:p w14:paraId="75ADE9D6" w14:textId="4F44F5FC" w:rsidR="00030C78" w:rsidRDefault="00030C78" w:rsidP="00EF4895">
            <w:pPr>
              <w:tabs>
                <w:tab w:val="left" w:pos="426"/>
              </w:tabs>
              <w:jc w:val="center"/>
            </w:pPr>
            <w:r>
              <w:rPr>
                <w:noProof/>
              </w:rPr>
              <w:drawing>
                <wp:inline distT="0" distB="0" distL="0" distR="0" wp14:anchorId="12EA61B7" wp14:editId="45516BF9">
                  <wp:extent cx="2519040" cy="2159177"/>
                  <wp:effectExtent l="0" t="0" r="0"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519040" cy="2159177"/>
                          </a:xfrm>
                          <a:prstGeom prst="rect">
                            <a:avLst/>
                          </a:prstGeom>
                          <a:noFill/>
                          <a:ln>
                            <a:noFill/>
                          </a:ln>
                        </pic:spPr>
                      </pic:pic>
                    </a:graphicData>
                  </a:graphic>
                </wp:inline>
              </w:drawing>
            </w:r>
          </w:p>
        </w:tc>
      </w:tr>
      <w:tr w:rsidR="00030C78" w14:paraId="3BAB2FD9" w14:textId="77777777" w:rsidTr="00EF4895">
        <w:tc>
          <w:tcPr>
            <w:tcW w:w="4889" w:type="dxa"/>
            <w:vAlign w:val="center"/>
          </w:tcPr>
          <w:p w14:paraId="4988179D" w14:textId="77777777" w:rsidR="00030C78" w:rsidRDefault="00030C78" w:rsidP="00EF4895">
            <w:pPr>
              <w:tabs>
                <w:tab w:val="left" w:pos="426"/>
              </w:tabs>
              <w:jc w:val="center"/>
            </w:pPr>
            <w:r>
              <w:t>(a)</w:t>
            </w:r>
          </w:p>
        </w:tc>
        <w:tc>
          <w:tcPr>
            <w:tcW w:w="4890" w:type="dxa"/>
            <w:vAlign w:val="center"/>
          </w:tcPr>
          <w:p w14:paraId="04FEBD27" w14:textId="77777777" w:rsidR="00030C78" w:rsidRDefault="00030C78" w:rsidP="00F35595">
            <w:pPr>
              <w:keepNext/>
              <w:tabs>
                <w:tab w:val="left" w:pos="426"/>
              </w:tabs>
              <w:jc w:val="center"/>
            </w:pPr>
            <w:r>
              <w:t>(b)</w:t>
            </w:r>
          </w:p>
        </w:tc>
      </w:tr>
    </w:tbl>
    <w:p w14:paraId="6CBAC705" w14:textId="5C38419A" w:rsidR="0003043E" w:rsidRDefault="00F35595" w:rsidP="00F35595">
      <w:pPr>
        <w:pStyle w:val="Legendas"/>
      </w:pPr>
      <w:r>
        <w:t xml:space="preserve">Figura </w:t>
      </w:r>
      <w:r w:rsidR="00575EBF">
        <w:t>3</w:t>
      </w:r>
      <w:r>
        <w:t xml:space="preserve"> - Comparação do perfil da radiação solar registrada (a) em minutos e (b) em segundos</w:t>
      </w:r>
      <w:r w:rsidR="00EF1948">
        <w:t xml:space="preserve"> registradas pela estação solarimétrica do ISI-ER instalada em Sousa-PB no dia </w:t>
      </w:r>
      <w:r w:rsidR="008113E6" w:rsidRPr="008113E6">
        <w:t>24</w:t>
      </w:r>
      <w:r w:rsidR="00EF1948" w:rsidRPr="008113E6">
        <w:t>/</w:t>
      </w:r>
      <w:r w:rsidR="008113E6" w:rsidRPr="008113E6">
        <w:t>12</w:t>
      </w:r>
      <w:r w:rsidR="00EF1948" w:rsidRPr="008113E6">
        <w:t>/</w:t>
      </w:r>
      <w:r w:rsidR="008113E6" w:rsidRPr="008113E6">
        <w:t>2022</w:t>
      </w:r>
      <w:r w:rsidRPr="008113E6">
        <w:t>.</w:t>
      </w:r>
    </w:p>
    <w:p w14:paraId="13B8528A" w14:textId="77777777" w:rsidR="00F35595" w:rsidRDefault="00F35595" w:rsidP="00F35595">
      <w:pPr>
        <w:pStyle w:val="Legendas"/>
      </w:pPr>
    </w:p>
    <w:p w14:paraId="3307140E" w14:textId="457D15AA" w:rsidR="0003043E" w:rsidRPr="00F35595" w:rsidRDefault="00F879C9" w:rsidP="00B71D2B">
      <w:pPr>
        <w:tabs>
          <w:tab w:val="left" w:pos="426"/>
        </w:tabs>
        <w:jc w:val="both"/>
        <w:rPr>
          <w:color w:val="000000" w:themeColor="text1"/>
        </w:rPr>
      </w:pPr>
      <w:r>
        <w:rPr>
          <w:color w:val="000000" w:themeColor="text1"/>
        </w:rPr>
        <w:tab/>
      </w:r>
      <w:r w:rsidR="006B56ED">
        <w:rPr>
          <w:color w:val="000000" w:themeColor="text1"/>
        </w:rPr>
        <w:t xml:space="preserve">Na Fig. </w:t>
      </w:r>
      <w:r w:rsidR="007B0A30">
        <w:rPr>
          <w:color w:val="000000" w:themeColor="text1"/>
        </w:rPr>
        <w:t>4</w:t>
      </w:r>
      <w:r w:rsidR="0003043E" w:rsidRPr="00F35595">
        <w:rPr>
          <w:color w:val="000000" w:themeColor="text1"/>
        </w:rPr>
        <w:t xml:space="preserve"> é representado os registros das ocorrências dos eventos de sobreirradiância nas escalas de minutos e segundos </w:t>
      </w:r>
      <w:r w:rsidR="00EF1948">
        <w:rPr>
          <w:color w:val="000000" w:themeColor="text1"/>
        </w:rPr>
        <w:t>ao longo do período de análise</w:t>
      </w:r>
      <w:r w:rsidR="0003043E" w:rsidRPr="00F35595">
        <w:rPr>
          <w:color w:val="000000" w:themeColor="text1"/>
        </w:rPr>
        <w:t xml:space="preserve">. Ao analisar os registros em minutos, associado a coloração vermelha, os maiores valores foram registrados nos meses de março, abril, agosto e setembro, </w:t>
      </w:r>
      <w:r w:rsidR="00EF1948">
        <w:rPr>
          <w:color w:val="000000" w:themeColor="text1"/>
        </w:rPr>
        <w:t>t</w:t>
      </w:r>
      <w:r w:rsidR="0003043E" w:rsidRPr="00F35595">
        <w:rPr>
          <w:color w:val="000000" w:themeColor="text1"/>
        </w:rPr>
        <w:t>endo o mês de agosto registrado 41 ocorrências. Já os meses de outubro e novembro registraram as menores quantidades de eventos. Na resolução de segundos,</w:t>
      </w:r>
      <w:r w:rsidR="006B56ED">
        <w:rPr>
          <w:color w:val="000000" w:themeColor="text1"/>
        </w:rPr>
        <w:t xml:space="preserve"> ilustrado na cor azul na Fig. </w:t>
      </w:r>
      <w:r w:rsidR="007B0A30">
        <w:rPr>
          <w:color w:val="000000" w:themeColor="text1"/>
        </w:rPr>
        <w:t>4</w:t>
      </w:r>
      <w:r w:rsidR="0003043E" w:rsidRPr="00F35595">
        <w:rPr>
          <w:color w:val="000000" w:themeColor="text1"/>
        </w:rPr>
        <w:t xml:space="preserve">, é possível verificar que a ocorrência de eventos é mais expressiva que na resolução de minutos. </w:t>
      </w:r>
      <w:r w:rsidR="0003043E" w:rsidRPr="00F879C9">
        <w:rPr>
          <w:color w:val="000000" w:themeColor="text1"/>
        </w:rPr>
        <w:t xml:space="preserve">Esse fato, está relacionado a duração dos eventos de sobreirradiância que, em muitas ocasiões, acontecem na resolução de segundos, assim </w:t>
      </w:r>
      <w:r w:rsidR="00EF1948">
        <w:rPr>
          <w:color w:val="000000" w:themeColor="text1"/>
        </w:rPr>
        <w:t xml:space="preserve">quando registrados na resolução de minutos </w:t>
      </w:r>
      <w:r w:rsidR="0003043E" w:rsidRPr="00F879C9">
        <w:rPr>
          <w:color w:val="000000" w:themeColor="text1"/>
        </w:rPr>
        <w:t>tais eventos acabam não sendo registrados. Isto pode ser verificado ao analisar a quantidade de eventos dos meses de novembro e dezembro, no qual o mês de dezembro apresentou uma maior quantidade de eventos</w:t>
      </w:r>
      <w:r w:rsidR="00EF1948">
        <w:rPr>
          <w:color w:val="000000" w:themeColor="text1"/>
        </w:rPr>
        <w:t xml:space="preserve"> (17 ocorrências)</w:t>
      </w:r>
      <w:r w:rsidR="0003043E" w:rsidRPr="00F879C9">
        <w:rPr>
          <w:color w:val="000000" w:themeColor="text1"/>
        </w:rPr>
        <w:t xml:space="preserve"> que o mês de novembro</w:t>
      </w:r>
      <w:r w:rsidR="00EF1948">
        <w:rPr>
          <w:color w:val="000000" w:themeColor="text1"/>
        </w:rPr>
        <w:t xml:space="preserve"> (9 ocorrências)</w:t>
      </w:r>
      <w:r w:rsidR="0003043E" w:rsidRPr="00F879C9">
        <w:rPr>
          <w:color w:val="000000" w:themeColor="text1"/>
        </w:rPr>
        <w:t xml:space="preserve"> na resolução de minutos, mas na resolução de segundos é registrado o inverso</w:t>
      </w:r>
      <w:r w:rsidR="00B81095">
        <w:rPr>
          <w:color w:val="000000" w:themeColor="text1"/>
        </w:rPr>
        <w:t>,</w:t>
      </w:r>
      <w:r w:rsidR="00EF1948">
        <w:rPr>
          <w:color w:val="000000" w:themeColor="text1"/>
        </w:rPr>
        <w:t xml:space="preserve"> 288 ocorrências em dezembro e 337 em novembro</w:t>
      </w:r>
      <w:r w:rsidR="0003043E" w:rsidRPr="00F35595">
        <w:rPr>
          <w:color w:val="000000" w:themeColor="text1"/>
        </w:rPr>
        <w:t xml:space="preserve">. Tal acontecimento, pode estar relacionado a duração dos eventos do mês de novembro que, em sua maioria, aconteceu com um tempo inferior a 1 minuto. Também, o mês de agosto apresentou a maior quantidade de ocorrências na resolução de segundos (768), sendo esse valor correspondente a 1870% maior que as ocorrências registradas em minutos. Ademais, março, abril, </w:t>
      </w:r>
      <w:r w:rsidR="00A16FD1">
        <w:rPr>
          <w:color w:val="000000" w:themeColor="text1"/>
        </w:rPr>
        <w:t xml:space="preserve">junho, </w:t>
      </w:r>
      <w:r w:rsidR="0003043E" w:rsidRPr="00F35595">
        <w:rPr>
          <w:color w:val="000000" w:themeColor="text1"/>
        </w:rPr>
        <w:t xml:space="preserve">julho </w:t>
      </w:r>
      <w:r w:rsidR="00A16FD1">
        <w:rPr>
          <w:color w:val="000000" w:themeColor="text1"/>
        </w:rPr>
        <w:t>e setembro apresentaram 466, 468</w:t>
      </w:r>
      <w:r w:rsidR="0003043E" w:rsidRPr="00F35595">
        <w:rPr>
          <w:color w:val="000000" w:themeColor="text1"/>
        </w:rPr>
        <w:t>,</w:t>
      </w:r>
      <w:r w:rsidR="00A16FD1">
        <w:rPr>
          <w:color w:val="000000" w:themeColor="text1"/>
        </w:rPr>
        <w:t xml:space="preserve"> 611,</w:t>
      </w:r>
      <w:r w:rsidR="0003043E" w:rsidRPr="00F35595">
        <w:rPr>
          <w:color w:val="000000" w:themeColor="text1"/>
        </w:rPr>
        <w:t xml:space="preserve"> 517 e 493 ocorrências, respectivamente.</w:t>
      </w:r>
    </w:p>
    <w:p w14:paraId="300FF008" w14:textId="6E784270" w:rsidR="0003043E" w:rsidRDefault="0003043E">
      <w:pPr>
        <w:tabs>
          <w:tab w:val="left" w:pos="426"/>
        </w:tabs>
      </w:pPr>
    </w:p>
    <w:p w14:paraId="798C729C" w14:textId="29E998C3" w:rsidR="00F35595" w:rsidRDefault="0003043E" w:rsidP="00F35595">
      <w:pPr>
        <w:keepNext/>
        <w:tabs>
          <w:tab w:val="left" w:pos="426"/>
        </w:tabs>
      </w:pPr>
      <w:r>
        <w:rPr>
          <w:noProof/>
        </w:rPr>
        <w:drawing>
          <wp:inline distT="0" distB="0" distL="0" distR="0" wp14:anchorId="061BC95D" wp14:editId="232AEC9E">
            <wp:extent cx="6120000" cy="1800000"/>
            <wp:effectExtent l="0" t="0" r="0" b="0"/>
            <wp:docPr id="2" name="Gráfico 2">
              <a:extLst xmlns:a="http://schemas.openxmlformats.org/drawingml/2006/main">
                <a:ext uri="{FF2B5EF4-FFF2-40B4-BE49-F238E27FC236}">
                  <a16:creationId xmlns:a16="http://schemas.microsoft.com/office/drawing/2014/main" id="{296F760B-06AC-40D9-A96C-2D985E8DA2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699B33C" w14:textId="63F38245" w:rsidR="0003043E" w:rsidRDefault="00F35595" w:rsidP="00F35595">
      <w:pPr>
        <w:pStyle w:val="Legendas"/>
      </w:pPr>
      <w:r>
        <w:t xml:space="preserve">Figura </w:t>
      </w:r>
      <w:r w:rsidR="007B0A30">
        <w:t>4</w:t>
      </w:r>
      <w:r>
        <w:t xml:space="preserve"> - Comparação entre o número da ocorrência de eventos de sobreirradiância quando </w:t>
      </w:r>
      <w:r w:rsidR="00EF1948">
        <w:t xml:space="preserve">o </w:t>
      </w:r>
      <w:r>
        <w:t>registro</w:t>
      </w:r>
      <w:r w:rsidR="00EF1948">
        <w:t xml:space="preserve"> é feito</w:t>
      </w:r>
      <w:r>
        <w:t xml:space="preserve"> em minutos comparados aos registrados em segundos.</w:t>
      </w:r>
    </w:p>
    <w:p w14:paraId="1A4B446E" w14:textId="5D420ED1" w:rsidR="0003043E" w:rsidRDefault="0003043E">
      <w:pPr>
        <w:tabs>
          <w:tab w:val="left" w:pos="426"/>
        </w:tabs>
      </w:pPr>
    </w:p>
    <w:p w14:paraId="5B2832F0" w14:textId="02A150C5" w:rsidR="0003043E" w:rsidRDefault="00EF1948" w:rsidP="00F879C9">
      <w:pPr>
        <w:tabs>
          <w:tab w:val="left" w:pos="426"/>
        </w:tabs>
        <w:jc w:val="both"/>
      </w:pPr>
      <w:r>
        <w:tab/>
      </w:r>
      <w:r w:rsidR="0003043E" w:rsidRPr="0003043E">
        <w:t xml:space="preserve">A frequência da ocorrência dos eventos de sobreirradiância na resolução minutos </w:t>
      </w:r>
      <w:r w:rsidR="006B56ED">
        <w:t xml:space="preserve">é ilustrada no gráfico da Fig. </w:t>
      </w:r>
      <w:r w:rsidR="007B0A30">
        <w:t>5</w:t>
      </w:r>
      <w:r w:rsidR="00022D50">
        <w:t>,</w:t>
      </w:r>
      <w:r w:rsidR="0003043E" w:rsidRPr="0003043E">
        <w:t xml:space="preserve"> na qual é verificado que no mês de fevereiro apresentou a</w:t>
      </w:r>
      <w:r>
        <w:t xml:space="preserve"> maior quantidade de ocorrências com duração maior que 2 minutos</w:t>
      </w:r>
      <w:r w:rsidR="0003043E" w:rsidRPr="0003043E">
        <w:t xml:space="preserve"> </w:t>
      </w:r>
      <w:r>
        <w:t xml:space="preserve">e a </w:t>
      </w:r>
      <w:r w:rsidR="0003043E" w:rsidRPr="0003043E">
        <w:t>menor quantidade de eventos com duração de até um minuto.</w:t>
      </w:r>
      <w:r w:rsidR="0003043E" w:rsidRPr="0068369C">
        <w:rPr>
          <w:color w:val="C00000"/>
        </w:rPr>
        <w:t xml:space="preserve"> </w:t>
      </w:r>
      <w:r>
        <w:t>O</w:t>
      </w:r>
      <w:r w:rsidR="0003043E" w:rsidRPr="00F879C9">
        <w:t xml:space="preserve"> mês de novembro apresentou a maior quantid</w:t>
      </w:r>
      <w:r w:rsidR="00927569" w:rsidRPr="00F879C9">
        <w:t xml:space="preserve">ade de eventos de até 1 minuto, </w:t>
      </w:r>
      <w:r w:rsidR="00DC2D20" w:rsidRPr="00F879C9">
        <w:t xml:space="preserve">sem eventos de duração de </w:t>
      </w:r>
      <w:r>
        <w:t xml:space="preserve">até </w:t>
      </w:r>
      <w:r w:rsidR="00DC2D20" w:rsidRPr="00F879C9">
        <w:t>dois minutos e um valor r</w:t>
      </w:r>
      <w:r w:rsidR="00B87611" w:rsidRPr="00F879C9">
        <w:t xml:space="preserve">elevante para as durações </w:t>
      </w:r>
      <w:r>
        <w:t xml:space="preserve">acima de dois </w:t>
      </w:r>
      <w:r w:rsidR="00DC2D20" w:rsidRPr="00F879C9">
        <w:t>minutos. Nos meses de maio a setembro</w:t>
      </w:r>
      <w:r w:rsidR="00864BE9" w:rsidRPr="00F879C9">
        <w:t>, houve o percentual de duração para todas as frequências</w:t>
      </w:r>
      <w:r w:rsidR="009963EC" w:rsidRPr="00F879C9">
        <w:t xml:space="preserve"> de minutos, contudo no outono </w:t>
      </w:r>
      <w:r w:rsidR="00F879C9" w:rsidRPr="00F879C9">
        <w:t xml:space="preserve">a ocorrência dos eventos </w:t>
      </w:r>
      <w:r>
        <w:t>acima de dois</w:t>
      </w:r>
      <w:r w:rsidR="00F879C9" w:rsidRPr="00F879C9">
        <w:t xml:space="preserve"> minutos é mais significativo. </w:t>
      </w:r>
    </w:p>
    <w:p w14:paraId="3BDB6B0B" w14:textId="6BA6498E" w:rsidR="0003043E" w:rsidRDefault="0003043E">
      <w:pPr>
        <w:tabs>
          <w:tab w:val="left" w:pos="426"/>
        </w:tabs>
      </w:pPr>
    </w:p>
    <w:p w14:paraId="5BE120F2" w14:textId="77777777" w:rsidR="00F35595" w:rsidRDefault="0003043E" w:rsidP="00F35595">
      <w:pPr>
        <w:keepNext/>
        <w:tabs>
          <w:tab w:val="left" w:pos="426"/>
        </w:tabs>
        <w:jc w:val="center"/>
      </w:pPr>
      <w:r>
        <w:rPr>
          <w:noProof/>
        </w:rPr>
        <w:lastRenderedPageBreak/>
        <w:drawing>
          <wp:inline distT="0" distB="0" distL="0" distR="0" wp14:anchorId="6B649F1F" wp14:editId="4A06A6A5">
            <wp:extent cx="6112380" cy="1800000"/>
            <wp:effectExtent l="0" t="0" r="3175" b="0"/>
            <wp:docPr id="3" name="Gráfico 3">
              <a:extLst xmlns:a="http://schemas.openxmlformats.org/drawingml/2006/main">
                <a:ext uri="{FF2B5EF4-FFF2-40B4-BE49-F238E27FC236}">
                  <a16:creationId xmlns:a16="http://schemas.microsoft.com/office/drawing/2014/main" id="{4F27403A-4D5F-40F3-8C15-D5BAD01B44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560AE24" w14:textId="36DB1D7D" w:rsidR="0003043E" w:rsidRDefault="00F35595" w:rsidP="00F35595">
      <w:pPr>
        <w:pStyle w:val="Legendas"/>
      </w:pPr>
      <w:r>
        <w:t xml:space="preserve">Figura </w:t>
      </w:r>
      <w:r w:rsidR="007B0A30">
        <w:t>5</w:t>
      </w:r>
      <w:r>
        <w:t xml:space="preserve"> - Percentual da composição da duração das ocorrências dos eventos de sobreirradiância quando registrados a cada minuto.</w:t>
      </w:r>
    </w:p>
    <w:p w14:paraId="65888FB9" w14:textId="2D1402D5" w:rsidR="0003043E" w:rsidRDefault="0003043E">
      <w:pPr>
        <w:tabs>
          <w:tab w:val="left" w:pos="426"/>
        </w:tabs>
      </w:pPr>
    </w:p>
    <w:p w14:paraId="6124490A" w14:textId="1D7AA35D" w:rsidR="00F879C9" w:rsidRPr="00AB6121" w:rsidRDefault="00AB6121" w:rsidP="00785750">
      <w:pPr>
        <w:tabs>
          <w:tab w:val="left" w:pos="426"/>
        </w:tabs>
        <w:jc w:val="both"/>
      </w:pPr>
      <w:r>
        <w:tab/>
      </w:r>
      <w:r w:rsidR="00785750" w:rsidRPr="00AB6121">
        <w:t>O percentual da duração das ocorrências dos eventos de sobreirradiância quando registrados a cada segundo é ilustrado na Fig.</w:t>
      </w:r>
      <w:r w:rsidR="007B0A30">
        <w:t>6</w:t>
      </w:r>
      <w:r w:rsidR="00F879C9" w:rsidRPr="00AB6121">
        <w:t xml:space="preserve">. Ao analisar o gráfico é observado que o mês de </w:t>
      </w:r>
      <w:r w:rsidR="008E7893" w:rsidRPr="00AB6121">
        <w:t>abril</w:t>
      </w:r>
      <w:r w:rsidR="00024371" w:rsidRPr="00AB6121">
        <w:t xml:space="preserve"> apresentou </w:t>
      </w:r>
      <w:r w:rsidR="005625A1" w:rsidRPr="00AB6121">
        <w:t xml:space="preserve">o menor </w:t>
      </w:r>
      <w:r w:rsidR="00F879C9" w:rsidRPr="00AB6121">
        <w:t xml:space="preserve">percentual de ocorrências maiores </w:t>
      </w:r>
      <w:r w:rsidR="00F879C9" w:rsidRPr="00EF1948">
        <w:t xml:space="preserve">que </w:t>
      </w:r>
      <w:r w:rsidR="00EF1948" w:rsidRPr="00EF1948">
        <w:t>dois minutos</w:t>
      </w:r>
      <w:r w:rsidRPr="00EF1948">
        <w:t>,</w:t>
      </w:r>
      <w:r w:rsidRPr="00AB6121">
        <w:t xml:space="preserve"> mas foi o mês que apresentou a maior quantidade de eventos de até 30 segundos, juntamente com os meses de março e agosto. Os meses de fevereiro e dezembro apresentaram a maior quantidade de ocorrências com duração superiores a </w:t>
      </w:r>
      <w:r w:rsidR="00EF1948">
        <w:t>dois minutos</w:t>
      </w:r>
      <w:r w:rsidRPr="00AB6121">
        <w:t xml:space="preserve">. Ao observar a Fig. </w:t>
      </w:r>
      <w:r w:rsidR="007B0A30">
        <w:t>6</w:t>
      </w:r>
      <w:r w:rsidRPr="00AB6121">
        <w:t xml:space="preserve"> é con</w:t>
      </w:r>
      <w:r w:rsidR="00EF1948">
        <w:t>s</w:t>
      </w:r>
      <w:r w:rsidRPr="00AB6121">
        <w:t xml:space="preserve">tatado que os eventos de sobreirradiância na região acontecem em um curto período de tempo e, sua grande maioria, acontece com uma duração inferior a 30 segundos. Esse fato é comprovado ao verificar que todos os meses mais de 80% dos eventos registrados possuem um tempo inferior a 30 segundos. </w:t>
      </w:r>
      <w:r>
        <w:t>Essa constatação, colabora para a premissa de se realizar as medições a cada se</w:t>
      </w:r>
      <w:r w:rsidR="00B53C39">
        <w:t>g</w:t>
      </w:r>
      <w:r>
        <w:t xml:space="preserve">undo, com o objetivo de </w:t>
      </w:r>
      <w:r w:rsidR="00B53C39">
        <w:t>mapear os eventos de sobreirradiância e os possíveis danos que tais eventos possam causar na operação de uma usina fotovoltaica</w:t>
      </w:r>
      <w:r w:rsidR="004C3EBF">
        <w:t xml:space="preserve"> (FV)</w:t>
      </w:r>
      <w:r w:rsidR="00B53C39">
        <w:t xml:space="preserve">. </w:t>
      </w:r>
    </w:p>
    <w:p w14:paraId="1A4ED2B4" w14:textId="77777777" w:rsidR="00F879C9" w:rsidRDefault="00F879C9" w:rsidP="00785750">
      <w:pPr>
        <w:tabs>
          <w:tab w:val="left" w:pos="426"/>
        </w:tabs>
        <w:jc w:val="both"/>
        <w:rPr>
          <w:color w:val="C00000"/>
          <w:highlight w:val="yellow"/>
        </w:rPr>
      </w:pPr>
    </w:p>
    <w:p w14:paraId="5B02356D" w14:textId="77777777" w:rsidR="00F35595" w:rsidRDefault="0003043E" w:rsidP="00F35595">
      <w:pPr>
        <w:keepNext/>
        <w:tabs>
          <w:tab w:val="left" w:pos="426"/>
        </w:tabs>
        <w:jc w:val="center"/>
      </w:pPr>
      <w:r>
        <w:rPr>
          <w:noProof/>
        </w:rPr>
        <w:drawing>
          <wp:inline distT="0" distB="0" distL="0" distR="0" wp14:anchorId="33969981" wp14:editId="1819F528">
            <wp:extent cx="6120765" cy="1800000"/>
            <wp:effectExtent l="0" t="0" r="0" b="0"/>
            <wp:docPr id="4" name="Gráfico 4">
              <a:extLst xmlns:a="http://schemas.openxmlformats.org/drawingml/2006/main">
                <a:ext uri="{FF2B5EF4-FFF2-40B4-BE49-F238E27FC236}">
                  <a16:creationId xmlns:a16="http://schemas.microsoft.com/office/drawing/2014/main" id="{0BF082D5-087E-4A6C-80C0-33934CB77D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D02172C" w14:textId="48CE0294" w:rsidR="0003043E" w:rsidRDefault="00F35595" w:rsidP="00F35595">
      <w:pPr>
        <w:pStyle w:val="Legendas"/>
      </w:pPr>
      <w:r>
        <w:t xml:space="preserve">Figura </w:t>
      </w:r>
      <w:r w:rsidR="007B0A30">
        <w:t>6</w:t>
      </w:r>
      <w:r>
        <w:t xml:space="preserve"> - </w:t>
      </w:r>
      <w:r w:rsidRPr="003E57BC">
        <w:t xml:space="preserve">Percentual da composição da duração das ocorrências dos eventos de sobreirradiância quando registrados a cada </w:t>
      </w:r>
      <w:r>
        <w:t>segundo</w:t>
      </w:r>
      <w:r w:rsidRPr="003E57BC">
        <w:t>.</w:t>
      </w:r>
    </w:p>
    <w:p w14:paraId="74430BEF" w14:textId="4BC95150" w:rsidR="0003043E" w:rsidRDefault="0003043E" w:rsidP="00EF1948">
      <w:pPr>
        <w:tabs>
          <w:tab w:val="left" w:pos="426"/>
        </w:tabs>
      </w:pPr>
    </w:p>
    <w:p w14:paraId="217DFB37" w14:textId="23038A30" w:rsidR="00B53C39" w:rsidRDefault="00702F21" w:rsidP="008D3A2B">
      <w:pPr>
        <w:tabs>
          <w:tab w:val="left" w:pos="426"/>
        </w:tabs>
        <w:jc w:val="both"/>
      </w:pPr>
      <w:r>
        <w:tab/>
      </w:r>
      <w:r w:rsidR="008D3A2B">
        <w:t>Na Tab</w:t>
      </w:r>
      <w:r w:rsidR="00022D50">
        <w:t>.</w:t>
      </w:r>
      <w:r w:rsidR="008D3A2B">
        <w:t xml:space="preserve"> 1 </w:t>
      </w:r>
      <w:r w:rsidR="00B53C39">
        <w:t>é apresentado a distribuição dos eventos de sobreirradiância em função das estações do ano, os quais foram divididos em eventos e eventos extremos. As ocorrências caracterizadas como “Eventos”, apresentaram a irradiância medida superior a irradiância extraterrestre, mas inferior a constante solar (1367 W/m²). Já as ocorrências classificadas como “Eventos Extremos”, apresentaram um valor superior ao da constante solar. Desta forma, é possível verificar que no inverno</w:t>
      </w:r>
      <w:r w:rsidR="001E203E">
        <w:t xml:space="preserve"> é a época do ano que apresenta a maior quantidade de eventos de sobreirradiância, contudo, tais eventos, apresentam uma baixa intensidade. Além disso, no verão e no outono, são as estações que apresentam os eventos com maiores intensidades.</w:t>
      </w:r>
    </w:p>
    <w:p w14:paraId="25E33EB0" w14:textId="77777777" w:rsidR="00B53C39" w:rsidRDefault="00B53C39" w:rsidP="008D3A2B">
      <w:pPr>
        <w:tabs>
          <w:tab w:val="left" w:pos="426"/>
        </w:tabs>
        <w:jc w:val="both"/>
      </w:pPr>
    </w:p>
    <w:p w14:paraId="52FF0634" w14:textId="77777777" w:rsidR="0003043E" w:rsidRDefault="0003043E" w:rsidP="0003043E">
      <w:pPr>
        <w:tabs>
          <w:tab w:val="left" w:pos="426"/>
        </w:tabs>
      </w:pPr>
    </w:p>
    <w:p w14:paraId="781B2B0E" w14:textId="6B858084" w:rsidR="00F35595" w:rsidRDefault="00F35595" w:rsidP="00F35595">
      <w:pPr>
        <w:pStyle w:val="Legendas"/>
      </w:pPr>
      <w:r>
        <w:t xml:space="preserve">Tabela </w:t>
      </w:r>
      <w:fldSimple w:instr=" SEQ Tabela \* ARABIC ">
        <w:r>
          <w:t>1</w:t>
        </w:r>
      </w:fldSimple>
      <w:r w:rsidRPr="00F35595">
        <w:t xml:space="preserve"> </w:t>
      </w:r>
      <w:r>
        <w:t>-</w:t>
      </w:r>
      <w:r w:rsidRPr="00F35595">
        <w:t xml:space="preserve"> </w:t>
      </w:r>
      <w:r>
        <w:t>D</w:t>
      </w:r>
      <w:r w:rsidRPr="00F35595">
        <w:t>istribuição dos eventos de sobreirradiância conforme a estação do ano e intensidade.</w:t>
      </w:r>
    </w:p>
    <w:p w14:paraId="7BA02F80" w14:textId="77777777" w:rsidR="00702F21" w:rsidRDefault="00702F21" w:rsidP="00F35595">
      <w:pPr>
        <w:pStyle w:val="Legendas"/>
      </w:pPr>
    </w:p>
    <w:tbl>
      <w:tblPr>
        <w:tblW w:w="5000" w:type="pct"/>
        <w:tblCellMar>
          <w:left w:w="70" w:type="dxa"/>
          <w:right w:w="70" w:type="dxa"/>
        </w:tblCellMar>
        <w:tblLook w:val="04A0" w:firstRow="1" w:lastRow="0" w:firstColumn="1" w:lastColumn="0" w:noHBand="0" w:noVBand="1"/>
      </w:tblPr>
      <w:tblGrid>
        <w:gridCol w:w="1037"/>
        <w:gridCol w:w="948"/>
        <w:gridCol w:w="1714"/>
        <w:gridCol w:w="1602"/>
        <w:gridCol w:w="187"/>
        <w:gridCol w:w="837"/>
        <w:gridCol w:w="1714"/>
        <w:gridCol w:w="1600"/>
      </w:tblGrid>
      <w:tr w:rsidR="0003043E" w:rsidRPr="0003043E" w14:paraId="53480414" w14:textId="77777777" w:rsidTr="00C40635">
        <w:trPr>
          <w:trHeight w:val="312"/>
        </w:trPr>
        <w:tc>
          <w:tcPr>
            <w:tcW w:w="538" w:type="pct"/>
            <w:tcBorders>
              <w:top w:val="double" w:sz="6" w:space="0" w:color="auto"/>
              <w:left w:val="nil"/>
              <w:bottom w:val="double" w:sz="6" w:space="0" w:color="auto"/>
              <w:right w:val="nil"/>
            </w:tcBorders>
            <w:shd w:val="clear" w:color="auto" w:fill="auto"/>
            <w:noWrap/>
            <w:vAlign w:val="center"/>
            <w:hideMark/>
          </w:tcPr>
          <w:p w14:paraId="64C8A4D2" w14:textId="7F5358D4" w:rsidR="0003043E" w:rsidRPr="0003043E" w:rsidRDefault="0003043E" w:rsidP="00C40635">
            <w:pPr>
              <w:jc w:val="center"/>
              <w:rPr>
                <w:color w:val="000000"/>
                <w:szCs w:val="22"/>
              </w:rPr>
            </w:pPr>
            <w:bookmarkStart w:id="0" w:name="_Hlk152074310"/>
          </w:p>
        </w:tc>
        <w:tc>
          <w:tcPr>
            <w:tcW w:w="2211" w:type="pct"/>
            <w:gridSpan w:val="3"/>
            <w:tcBorders>
              <w:top w:val="double" w:sz="6" w:space="0" w:color="auto"/>
              <w:left w:val="nil"/>
              <w:bottom w:val="double" w:sz="6" w:space="0" w:color="auto"/>
              <w:right w:val="nil"/>
            </w:tcBorders>
            <w:shd w:val="clear" w:color="auto" w:fill="auto"/>
            <w:noWrap/>
            <w:vAlign w:val="center"/>
            <w:hideMark/>
          </w:tcPr>
          <w:p w14:paraId="0067F5B8" w14:textId="77777777" w:rsidR="0003043E" w:rsidRPr="0003043E" w:rsidRDefault="0003043E" w:rsidP="00C40635">
            <w:pPr>
              <w:jc w:val="center"/>
              <w:rPr>
                <w:b/>
                <w:bCs/>
                <w:color w:val="000000"/>
                <w:szCs w:val="22"/>
              </w:rPr>
            </w:pPr>
            <w:r w:rsidRPr="0003043E">
              <w:rPr>
                <w:b/>
                <w:bCs/>
                <w:color w:val="000000"/>
                <w:szCs w:val="22"/>
              </w:rPr>
              <w:t>Minuto</w:t>
            </w:r>
          </w:p>
        </w:tc>
        <w:tc>
          <w:tcPr>
            <w:tcW w:w="97" w:type="pct"/>
            <w:tcBorders>
              <w:top w:val="double" w:sz="6" w:space="0" w:color="auto"/>
              <w:left w:val="nil"/>
              <w:bottom w:val="double" w:sz="6" w:space="0" w:color="auto"/>
              <w:right w:val="nil"/>
            </w:tcBorders>
            <w:shd w:val="clear" w:color="auto" w:fill="auto"/>
            <w:noWrap/>
            <w:vAlign w:val="center"/>
            <w:hideMark/>
          </w:tcPr>
          <w:p w14:paraId="2F4A423A" w14:textId="3B83C5AF" w:rsidR="0003043E" w:rsidRPr="0003043E" w:rsidRDefault="0003043E" w:rsidP="00C40635">
            <w:pPr>
              <w:jc w:val="center"/>
              <w:rPr>
                <w:b/>
                <w:bCs/>
                <w:color w:val="000000"/>
                <w:szCs w:val="22"/>
              </w:rPr>
            </w:pPr>
          </w:p>
        </w:tc>
        <w:tc>
          <w:tcPr>
            <w:tcW w:w="2153" w:type="pct"/>
            <w:gridSpan w:val="3"/>
            <w:tcBorders>
              <w:top w:val="double" w:sz="6" w:space="0" w:color="auto"/>
              <w:left w:val="nil"/>
              <w:bottom w:val="double" w:sz="6" w:space="0" w:color="auto"/>
              <w:right w:val="nil"/>
            </w:tcBorders>
            <w:shd w:val="clear" w:color="auto" w:fill="auto"/>
            <w:noWrap/>
            <w:vAlign w:val="center"/>
            <w:hideMark/>
          </w:tcPr>
          <w:p w14:paraId="4EDB6F42" w14:textId="77777777" w:rsidR="0003043E" w:rsidRPr="0003043E" w:rsidRDefault="0003043E" w:rsidP="00C40635">
            <w:pPr>
              <w:jc w:val="center"/>
              <w:rPr>
                <w:b/>
                <w:bCs/>
                <w:color w:val="000000"/>
                <w:szCs w:val="22"/>
              </w:rPr>
            </w:pPr>
            <w:r w:rsidRPr="0003043E">
              <w:rPr>
                <w:b/>
                <w:bCs/>
                <w:color w:val="000000"/>
                <w:szCs w:val="22"/>
              </w:rPr>
              <w:t>Segundo</w:t>
            </w:r>
          </w:p>
        </w:tc>
      </w:tr>
      <w:tr w:rsidR="00C40635" w:rsidRPr="00C40635" w14:paraId="310FD9FC" w14:textId="77777777" w:rsidTr="00C40635">
        <w:trPr>
          <w:trHeight w:val="300"/>
        </w:trPr>
        <w:tc>
          <w:tcPr>
            <w:tcW w:w="538" w:type="pct"/>
            <w:tcBorders>
              <w:top w:val="nil"/>
              <w:left w:val="nil"/>
              <w:bottom w:val="single" w:sz="4" w:space="0" w:color="auto"/>
              <w:right w:val="nil"/>
            </w:tcBorders>
            <w:shd w:val="clear" w:color="auto" w:fill="auto"/>
            <w:noWrap/>
            <w:vAlign w:val="center"/>
            <w:hideMark/>
          </w:tcPr>
          <w:p w14:paraId="0CD14996" w14:textId="4943B067" w:rsidR="0003043E" w:rsidRPr="0003043E" w:rsidRDefault="0003043E" w:rsidP="00C40635">
            <w:pPr>
              <w:jc w:val="center"/>
              <w:rPr>
                <w:color w:val="000000"/>
                <w:szCs w:val="22"/>
              </w:rPr>
            </w:pPr>
          </w:p>
        </w:tc>
        <w:tc>
          <w:tcPr>
            <w:tcW w:w="492" w:type="pct"/>
            <w:tcBorders>
              <w:top w:val="nil"/>
              <w:left w:val="nil"/>
              <w:bottom w:val="single" w:sz="4" w:space="0" w:color="auto"/>
              <w:right w:val="nil"/>
            </w:tcBorders>
            <w:shd w:val="clear" w:color="auto" w:fill="auto"/>
            <w:noWrap/>
            <w:vAlign w:val="center"/>
            <w:hideMark/>
          </w:tcPr>
          <w:p w14:paraId="5400BC8F" w14:textId="77777777" w:rsidR="0003043E" w:rsidRPr="0003043E" w:rsidRDefault="0003043E" w:rsidP="00C40635">
            <w:pPr>
              <w:jc w:val="center"/>
              <w:rPr>
                <w:color w:val="000000"/>
                <w:szCs w:val="22"/>
              </w:rPr>
            </w:pPr>
            <w:r w:rsidRPr="0003043E">
              <w:rPr>
                <w:color w:val="000000"/>
                <w:szCs w:val="22"/>
              </w:rPr>
              <w:t>Eventos</w:t>
            </w:r>
          </w:p>
        </w:tc>
        <w:tc>
          <w:tcPr>
            <w:tcW w:w="889" w:type="pct"/>
            <w:tcBorders>
              <w:top w:val="nil"/>
              <w:left w:val="nil"/>
              <w:bottom w:val="single" w:sz="4" w:space="0" w:color="auto"/>
              <w:right w:val="nil"/>
            </w:tcBorders>
            <w:shd w:val="clear" w:color="auto" w:fill="auto"/>
            <w:noWrap/>
            <w:vAlign w:val="center"/>
            <w:hideMark/>
          </w:tcPr>
          <w:p w14:paraId="3B4E9536" w14:textId="77777777" w:rsidR="0003043E" w:rsidRPr="0003043E" w:rsidRDefault="0003043E" w:rsidP="00C40635">
            <w:pPr>
              <w:jc w:val="center"/>
              <w:rPr>
                <w:color w:val="000000"/>
                <w:szCs w:val="22"/>
              </w:rPr>
            </w:pPr>
            <w:r w:rsidRPr="0003043E">
              <w:rPr>
                <w:color w:val="000000"/>
                <w:szCs w:val="22"/>
              </w:rPr>
              <w:t>Eventos Extremos</w:t>
            </w:r>
          </w:p>
        </w:tc>
        <w:tc>
          <w:tcPr>
            <w:tcW w:w="831" w:type="pct"/>
            <w:tcBorders>
              <w:top w:val="nil"/>
              <w:left w:val="nil"/>
              <w:bottom w:val="single" w:sz="4" w:space="0" w:color="auto"/>
              <w:right w:val="nil"/>
            </w:tcBorders>
            <w:shd w:val="clear" w:color="auto" w:fill="auto"/>
            <w:noWrap/>
            <w:vAlign w:val="center"/>
            <w:hideMark/>
          </w:tcPr>
          <w:p w14:paraId="50BF1B99" w14:textId="77777777" w:rsidR="0003043E" w:rsidRPr="0003043E" w:rsidRDefault="0003043E" w:rsidP="00C40635">
            <w:pPr>
              <w:jc w:val="center"/>
              <w:rPr>
                <w:color w:val="000000"/>
                <w:szCs w:val="22"/>
              </w:rPr>
            </w:pPr>
            <w:r w:rsidRPr="0003043E">
              <w:rPr>
                <w:color w:val="000000"/>
                <w:szCs w:val="22"/>
              </w:rPr>
              <w:t>Total de Eventos</w:t>
            </w:r>
          </w:p>
        </w:tc>
        <w:tc>
          <w:tcPr>
            <w:tcW w:w="97" w:type="pct"/>
            <w:tcBorders>
              <w:top w:val="nil"/>
              <w:left w:val="nil"/>
              <w:bottom w:val="single" w:sz="4" w:space="0" w:color="auto"/>
              <w:right w:val="nil"/>
            </w:tcBorders>
            <w:shd w:val="clear" w:color="auto" w:fill="auto"/>
            <w:noWrap/>
            <w:vAlign w:val="center"/>
            <w:hideMark/>
          </w:tcPr>
          <w:p w14:paraId="4E929466" w14:textId="44D3337D" w:rsidR="0003043E" w:rsidRPr="0003043E" w:rsidRDefault="0003043E" w:rsidP="00C40635">
            <w:pPr>
              <w:jc w:val="center"/>
              <w:rPr>
                <w:color w:val="000000"/>
                <w:szCs w:val="22"/>
              </w:rPr>
            </w:pPr>
          </w:p>
        </w:tc>
        <w:tc>
          <w:tcPr>
            <w:tcW w:w="434" w:type="pct"/>
            <w:tcBorders>
              <w:top w:val="nil"/>
              <w:left w:val="nil"/>
              <w:bottom w:val="single" w:sz="4" w:space="0" w:color="auto"/>
              <w:right w:val="nil"/>
            </w:tcBorders>
            <w:shd w:val="clear" w:color="auto" w:fill="auto"/>
            <w:noWrap/>
            <w:vAlign w:val="center"/>
            <w:hideMark/>
          </w:tcPr>
          <w:p w14:paraId="6853E265" w14:textId="77777777" w:rsidR="0003043E" w:rsidRPr="0003043E" w:rsidRDefault="0003043E" w:rsidP="00C40635">
            <w:pPr>
              <w:jc w:val="center"/>
              <w:rPr>
                <w:color w:val="000000"/>
                <w:szCs w:val="22"/>
              </w:rPr>
            </w:pPr>
            <w:r w:rsidRPr="0003043E">
              <w:rPr>
                <w:color w:val="000000"/>
                <w:szCs w:val="22"/>
              </w:rPr>
              <w:t>Eventos</w:t>
            </w:r>
          </w:p>
        </w:tc>
        <w:tc>
          <w:tcPr>
            <w:tcW w:w="889" w:type="pct"/>
            <w:tcBorders>
              <w:top w:val="nil"/>
              <w:left w:val="nil"/>
              <w:bottom w:val="single" w:sz="4" w:space="0" w:color="auto"/>
              <w:right w:val="nil"/>
            </w:tcBorders>
            <w:shd w:val="clear" w:color="auto" w:fill="auto"/>
            <w:noWrap/>
            <w:vAlign w:val="center"/>
            <w:hideMark/>
          </w:tcPr>
          <w:p w14:paraId="7521389F" w14:textId="77777777" w:rsidR="0003043E" w:rsidRPr="0003043E" w:rsidRDefault="0003043E" w:rsidP="00C40635">
            <w:pPr>
              <w:jc w:val="center"/>
              <w:rPr>
                <w:color w:val="000000"/>
                <w:szCs w:val="22"/>
              </w:rPr>
            </w:pPr>
            <w:r w:rsidRPr="0003043E">
              <w:rPr>
                <w:color w:val="000000"/>
                <w:szCs w:val="22"/>
              </w:rPr>
              <w:t>Eventos Extremos</w:t>
            </w:r>
          </w:p>
        </w:tc>
        <w:tc>
          <w:tcPr>
            <w:tcW w:w="831" w:type="pct"/>
            <w:tcBorders>
              <w:top w:val="nil"/>
              <w:left w:val="nil"/>
              <w:bottom w:val="single" w:sz="4" w:space="0" w:color="auto"/>
              <w:right w:val="nil"/>
            </w:tcBorders>
            <w:shd w:val="clear" w:color="auto" w:fill="auto"/>
            <w:noWrap/>
            <w:vAlign w:val="center"/>
            <w:hideMark/>
          </w:tcPr>
          <w:p w14:paraId="1686163D" w14:textId="77777777" w:rsidR="0003043E" w:rsidRPr="0003043E" w:rsidRDefault="0003043E" w:rsidP="00C40635">
            <w:pPr>
              <w:jc w:val="center"/>
              <w:rPr>
                <w:color w:val="000000"/>
                <w:szCs w:val="22"/>
              </w:rPr>
            </w:pPr>
            <w:r w:rsidRPr="0003043E">
              <w:rPr>
                <w:color w:val="000000"/>
                <w:szCs w:val="22"/>
              </w:rPr>
              <w:t>Total de Eventos</w:t>
            </w:r>
          </w:p>
        </w:tc>
      </w:tr>
      <w:tr w:rsidR="00C40635" w:rsidRPr="00C40635" w14:paraId="5CBFC0D7" w14:textId="77777777" w:rsidTr="00C40635">
        <w:trPr>
          <w:trHeight w:val="288"/>
        </w:trPr>
        <w:tc>
          <w:tcPr>
            <w:tcW w:w="538" w:type="pct"/>
            <w:tcBorders>
              <w:top w:val="nil"/>
              <w:left w:val="nil"/>
              <w:bottom w:val="nil"/>
              <w:right w:val="nil"/>
            </w:tcBorders>
            <w:shd w:val="clear" w:color="auto" w:fill="auto"/>
            <w:noWrap/>
            <w:vAlign w:val="center"/>
            <w:hideMark/>
          </w:tcPr>
          <w:p w14:paraId="482A5863" w14:textId="77777777" w:rsidR="0003043E" w:rsidRPr="0003043E" w:rsidRDefault="0003043E" w:rsidP="00C40635">
            <w:pPr>
              <w:jc w:val="center"/>
              <w:rPr>
                <w:color w:val="000000"/>
                <w:szCs w:val="22"/>
              </w:rPr>
            </w:pPr>
            <w:r w:rsidRPr="0003043E">
              <w:rPr>
                <w:color w:val="000000"/>
                <w:szCs w:val="22"/>
              </w:rPr>
              <w:t>Verão</w:t>
            </w:r>
          </w:p>
        </w:tc>
        <w:tc>
          <w:tcPr>
            <w:tcW w:w="492" w:type="pct"/>
            <w:tcBorders>
              <w:top w:val="nil"/>
              <w:left w:val="nil"/>
              <w:bottom w:val="nil"/>
              <w:right w:val="nil"/>
            </w:tcBorders>
            <w:shd w:val="clear" w:color="auto" w:fill="auto"/>
            <w:noWrap/>
            <w:vAlign w:val="center"/>
            <w:hideMark/>
          </w:tcPr>
          <w:p w14:paraId="1B8D9E84" w14:textId="77777777" w:rsidR="0003043E" w:rsidRPr="0003043E" w:rsidRDefault="0003043E" w:rsidP="00C40635">
            <w:pPr>
              <w:jc w:val="center"/>
              <w:rPr>
                <w:color w:val="000000"/>
                <w:szCs w:val="22"/>
              </w:rPr>
            </w:pPr>
            <w:r w:rsidRPr="0003043E">
              <w:rPr>
                <w:color w:val="000000"/>
                <w:szCs w:val="22"/>
              </w:rPr>
              <w:t>16,87%</w:t>
            </w:r>
          </w:p>
        </w:tc>
        <w:tc>
          <w:tcPr>
            <w:tcW w:w="889" w:type="pct"/>
            <w:tcBorders>
              <w:top w:val="nil"/>
              <w:left w:val="nil"/>
              <w:bottom w:val="nil"/>
              <w:right w:val="nil"/>
            </w:tcBorders>
            <w:shd w:val="clear" w:color="auto" w:fill="auto"/>
            <w:noWrap/>
            <w:vAlign w:val="center"/>
            <w:hideMark/>
          </w:tcPr>
          <w:p w14:paraId="2306EB8C" w14:textId="77777777" w:rsidR="0003043E" w:rsidRPr="0003043E" w:rsidRDefault="0003043E" w:rsidP="00C40635">
            <w:pPr>
              <w:jc w:val="center"/>
              <w:rPr>
                <w:color w:val="000000"/>
                <w:szCs w:val="22"/>
              </w:rPr>
            </w:pPr>
            <w:r w:rsidRPr="0003043E">
              <w:rPr>
                <w:color w:val="000000"/>
                <w:szCs w:val="22"/>
              </w:rPr>
              <w:t>44,83%</w:t>
            </w:r>
          </w:p>
        </w:tc>
        <w:tc>
          <w:tcPr>
            <w:tcW w:w="831" w:type="pct"/>
            <w:tcBorders>
              <w:top w:val="nil"/>
              <w:left w:val="nil"/>
              <w:bottom w:val="nil"/>
              <w:right w:val="nil"/>
            </w:tcBorders>
            <w:shd w:val="clear" w:color="auto" w:fill="auto"/>
            <w:noWrap/>
            <w:vAlign w:val="center"/>
            <w:hideMark/>
          </w:tcPr>
          <w:p w14:paraId="5B87192C" w14:textId="77777777" w:rsidR="0003043E" w:rsidRPr="0003043E" w:rsidRDefault="0003043E" w:rsidP="00C40635">
            <w:pPr>
              <w:jc w:val="center"/>
              <w:rPr>
                <w:color w:val="000000"/>
                <w:szCs w:val="22"/>
              </w:rPr>
            </w:pPr>
            <w:r w:rsidRPr="0003043E">
              <w:rPr>
                <w:color w:val="000000"/>
                <w:szCs w:val="22"/>
              </w:rPr>
              <w:t>22,26%</w:t>
            </w:r>
          </w:p>
        </w:tc>
        <w:tc>
          <w:tcPr>
            <w:tcW w:w="97" w:type="pct"/>
            <w:tcBorders>
              <w:top w:val="nil"/>
              <w:left w:val="nil"/>
              <w:bottom w:val="nil"/>
              <w:right w:val="nil"/>
            </w:tcBorders>
            <w:shd w:val="clear" w:color="auto" w:fill="auto"/>
            <w:noWrap/>
            <w:vAlign w:val="center"/>
            <w:hideMark/>
          </w:tcPr>
          <w:p w14:paraId="68DD997A" w14:textId="77777777" w:rsidR="0003043E" w:rsidRPr="0003043E" w:rsidRDefault="0003043E" w:rsidP="00C40635">
            <w:pPr>
              <w:jc w:val="center"/>
              <w:rPr>
                <w:color w:val="000000"/>
                <w:szCs w:val="22"/>
              </w:rPr>
            </w:pPr>
          </w:p>
        </w:tc>
        <w:tc>
          <w:tcPr>
            <w:tcW w:w="434" w:type="pct"/>
            <w:tcBorders>
              <w:top w:val="nil"/>
              <w:left w:val="nil"/>
              <w:bottom w:val="nil"/>
              <w:right w:val="nil"/>
            </w:tcBorders>
            <w:shd w:val="clear" w:color="auto" w:fill="auto"/>
            <w:noWrap/>
            <w:vAlign w:val="center"/>
            <w:hideMark/>
          </w:tcPr>
          <w:p w14:paraId="1855DE20" w14:textId="77777777" w:rsidR="0003043E" w:rsidRPr="0003043E" w:rsidRDefault="0003043E" w:rsidP="00C40635">
            <w:pPr>
              <w:jc w:val="center"/>
              <w:rPr>
                <w:color w:val="000000"/>
                <w:szCs w:val="22"/>
              </w:rPr>
            </w:pPr>
            <w:r w:rsidRPr="0003043E">
              <w:rPr>
                <w:color w:val="000000"/>
                <w:szCs w:val="22"/>
              </w:rPr>
              <w:t>11,65%</w:t>
            </w:r>
          </w:p>
        </w:tc>
        <w:tc>
          <w:tcPr>
            <w:tcW w:w="889" w:type="pct"/>
            <w:tcBorders>
              <w:top w:val="nil"/>
              <w:left w:val="nil"/>
              <w:bottom w:val="nil"/>
              <w:right w:val="nil"/>
            </w:tcBorders>
            <w:shd w:val="clear" w:color="auto" w:fill="auto"/>
            <w:noWrap/>
            <w:vAlign w:val="center"/>
            <w:hideMark/>
          </w:tcPr>
          <w:p w14:paraId="31372E51" w14:textId="77777777" w:rsidR="0003043E" w:rsidRPr="0003043E" w:rsidRDefault="0003043E" w:rsidP="00C40635">
            <w:pPr>
              <w:jc w:val="center"/>
              <w:rPr>
                <w:color w:val="000000"/>
                <w:szCs w:val="22"/>
              </w:rPr>
            </w:pPr>
            <w:r w:rsidRPr="0003043E">
              <w:rPr>
                <w:color w:val="000000"/>
                <w:szCs w:val="22"/>
              </w:rPr>
              <w:t>29,77%</w:t>
            </w:r>
          </w:p>
        </w:tc>
        <w:tc>
          <w:tcPr>
            <w:tcW w:w="831" w:type="pct"/>
            <w:tcBorders>
              <w:top w:val="nil"/>
              <w:left w:val="nil"/>
              <w:bottom w:val="nil"/>
              <w:right w:val="nil"/>
            </w:tcBorders>
            <w:shd w:val="clear" w:color="auto" w:fill="auto"/>
            <w:noWrap/>
            <w:vAlign w:val="center"/>
            <w:hideMark/>
          </w:tcPr>
          <w:p w14:paraId="2CF8B836" w14:textId="77777777" w:rsidR="0003043E" w:rsidRPr="0003043E" w:rsidRDefault="0003043E" w:rsidP="00C40635">
            <w:pPr>
              <w:jc w:val="center"/>
              <w:rPr>
                <w:color w:val="000000"/>
                <w:szCs w:val="22"/>
              </w:rPr>
            </w:pPr>
            <w:r w:rsidRPr="0003043E">
              <w:rPr>
                <w:color w:val="000000"/>
                <w:szCs w:val="22"/>
              </w:rPr>
              <w:t>14,68%</w:t>
            </w:r>
          </w:p>
        </w:tc>
      </w:tr>
      <w:tr w:rsidR="00C40635" w:rsidRPr="00C40635" w14:paraId="086B5023" w14:textId="77777777" w:rsidTr="00C40635">
        <w:trPr>
          <w:trHeight w:val="288"/>
        </w:trPr>
        <w:tc>
          <w:tcPr>
            <w:tcW w:w="538" w:type="pct"/>
            <w:tcBorders>
              <w:top w:val="nil"/>
              <w:left w:val="nil"/>
              <w:bottom w:val="nil"/>
              <w:right w:val="nil"/>
            </w:tcBorders>
            <w:shd w:val="clear" w:color="auto" w:fill="auto"/>
            <w:noWrap/>
            <w:vAlign w:val="center"/>
            <w:hideMark/>
          </w:tcPr>
          <w:p w14:paraId="4355CE0C" w14:textId="77777777" w:rsidR="0003043E" w:rsidRPr="0003043E" w:rsidRDefault="0003043E" w:rsidP="00C40635">
            <w:pPr>
              <w:jc w:val="center"/>
              <w:rPr>
                <w:color w:val="000000"/>
                <w:szCs w:val="22"/>
              </w:rPr>
            </w:pPr>
            <w:r w:rsidRPr="0003043E">
              <w:rPr>
                <w:color w:val="000000"/>
                <w:szCs w:val="22"/>
              </w:rPr>
              <w:t>Outono</w:t>
            </w:r>
          </w:p>
        </w:tc>
        <w:tc>
          <w:tcPr>
            <w:tcW w:w="492" w:type="pct"/>
            <w:tcBorders>
              <w:top w:val="nil"/>
              <w:left w:val="nil"/>
              <w:bottom w:val="nil"/>
              <w:right w:val="nil"/>
            </w:tcBorders>
            <w:shd w:val="clear" w:color="auto" w:fill="auto"/>
            <w:noWrap/>
            <w:vAlign w:val="center"/>
            <w:hideMark/>
          </w:tcPr>
          <w:p w14:paraId="4DCE894F" w14:textId="77777777" w:rsidR="0003043E" w:rsidRPr="0003043E" w:rsidRDefault="0003043E" w:rsidP="00C40635">
            <w:pPr>
              <w:jc w:val="center"/>
              <w:rPr>
                <w:color w:val="000000"/>
                <w:szCs w:val="22"/>
              </w:rPr>
            </w:pPr>
            <w:r w:rsidRPr="0003043E">
              <w:rPr>
                <w:color w:val="000000"/>
                <w:szCs w:val="22"/>
              </w:rPr>
              <w:t>29,22%</w:t>
            </w:r>
          </w:p>
        </w:tc>
        <w:tc>
          <w:tcPr>
            <w:tcW w:w="889" w:type="pct"/>
            <w:tcBorders>
              <w:top w:val="nil"/>
              <w:left w:val="nil"/>
              <w:bottom w:val="nil"/>
              <w:right w:val="nil"/>
            </w:tcBorders>
            <w:shd w:val="clear" w:color="auto" w:fill="auto"/>
            <w:noWrap/>
            <w:vAlign w:val="center"/>
            <w:hideMark/>
          </w:tcPr>
          <w:p w14:paraId="07768B92" w14:textId="77777777" w:rsidR="0003043E" w:rsidRPr="0003043E" w:rsidRDefault="0003043E" w:rsidP="00C40635">
            <w:pPr>
              <w:jc w:val="center"/>
              <w:rPr>
                <w:color w:val="000000"/>
                <w:szCs w:val="22"/>
              </w:rPr>
            </w:pPr>
            <w:r w:rsidRPr="0003043E">
              <w:rPr>
                <w:color w:val="000000"/>
                <w:szCs w:val="22"/>
              </w:rPr>
              <w:t>29,31%</w:t>
            </w:r>
          </w:p>
        </w:tc>
        <w:tc>
          <w:tcPr>
            <w:tcW w:w="831" w:type="pct"/>
            <w:tcBorders>
              <w:top w:val="nil"/>
              <w:left w:val="nil"/>
              <w:bottom w:val="nil"/>
              <w:right w:val="nil"/>
            </w:tcBorders>
            <w:shd w:val="clear" w:color="auto" w:fill="auto"/>
            <w:noWrap/>
            <w:vAlign w:val="center"/>
            <w:hideMark/>
          </w:tcPr>
          <w:p w14:paraId="69D51AC8" w14:textId="77777777" w:rsidR="0003043E" w:rsidRPr="0003043E" w:rsidRDefault="0003043E" w:rsidP="00C40635">
            <w:pPr>
              <w:jc w:val="center"/>
              <w:rPr>
                <w:color w:val="000000"/>
                <w:szCs w:val="22"/>
              </w:rPr>
            </w:pPr>
            <w:r w:rsidRPr="0003043E">
              <w:rPr>
                <w:color w:val="000000"/>
                <w:szCs w:val="22"/>
              </w:rPr>
              <w:t>29,24%</w:t>
            </w:r>
          </w:p>
        </w:tc>
        <w:tc>
          <w:tcPr>
            <w:tcW w:w="97" w:type="pct"/>
            <w:tcBorders>
              <w:top w:val="nil"/>
              <w:left w:val="nil"/>
              <w:bottom w:val="nil"/>
              <w:right w:val="nil"/>
            </w:tcBorders>
            <w:shd w:val="clear" w:color="auto" w:fill="auto"/>
            <w:noWrap/>
            <w:vAlign w:val="center"/>
            <w:hideMark/>
          </w:tcPr>
          <w:p w14:paraId="2F715415" w14:textId="77777777" w:rsidR="0003043E" w:rsidRPr="0003043E" w:rsidRDefault="0003043E" w:rsidP="00C40635">
            <w:pPr>
              <w:jc w:val="center"/>
              <w:rPr>
                <w:color w:val="000000"/>
                <w:szCs w:val="22"/>
              </w:rPr>
            </w:pPr>
          </w:p>
        </w:tc>
        <w:tc>
          <w:tcPr>
            <w:tcW w:w="434" w:type="pct"/>
            <w:tcBorders>
              <w:top w:val="nil"/>
              <w:left w:val="nil"/>
              <w:bottom w:val="nil"/>
              <w:right w:val="nil"/>
            </w:tcBorders>
            <w:shd w:val="clear" w:color="auto" w:fill="auto"/>
            <w:noWrap/>
            <w:vAlign w:val="center"/>
            <w:hideMark/>
          </w:tcPr>
          <w:p w14:paraId="29B372E9" w14:textId="77777777" w:rsidR="0003043E" w:rsidRPr="0003043E" w:rsidRDefault="0003043E" w:rsidP="00C40635">
            <w:pPr>
              <w:jc w:val="center"/>
              <w:rPr>
                <w:color w:val="000000"/>
                <w:szCs w:val="22"/>
              </w:rPr>
            </w:pPr>
            <w:r w:rsidRPr="0003043E">
              <w:rPr>
                <w:color w:val="000000"/>
                <w:szCs w:val="22"/>
              </w:rPr>
              <w:t>31,41%</w:t>
            </w:r>
          </w:p>
        </w:tc>
        <w:tc>
          <w:tcPr>
            <w:tcW w:w="889" w:type="pct"/>
            <w:tcBorders>
              <w:top w:val="nil"/>
              <w:left w:val="nil"/>
              <w:bottom w:val="nil"/>
              <w:right w:val="nil"/>
            </w:tcBorders>
            <w:shd w:val="clear" w:color="auto" w:fill="auto"/>
            <w:noWrap/>
            <w:vAlign w:val="center"/>
            <w:hideMark/>
          </w:tcPr>
          <w:p w14:paraId="644C20D8" w14:textId="77777777" w:rsidR="0003043E" w:rsidRPr="0003043E" w:rsidRDefault="0003043E" w:rsidP="00C40635">
            <w:pPr>
              <w:jc w:val="center"/>
              <w:rPr>
                <w:color w:val="000000"/>
                <w:szCs w:val="22"/>
              </w:rPr>
            </w:pPr>
            <w:r w:rsidRPr="0003043E">
              <w:rPr>
                <w:color w:val="000000"/>
                <w:szCs w:val="22"/>
              </w:rPr>
              <w:t>31,32%</w:t>
            </w:r>
          </w:p>
        </w:tc>
        <w:tc>
          <w:tcPr>
            <w:tcW w:w="831" w:type="pct"/>
            <w:tcBorders>
              <w:top w:val="nil"/>
              <w:left w:val="nil"/>
              <w:bottom w:val="nil"/>
              <w:right w:val="nil"/>
            </w:tcBorders>
            <w:shd w:val="clear" w:color="auto" w:fill="auto"/>
            <w:noWrap/>
            <w:vAlign w:val="center"/>
            <w:hideMark/>
          </w:tcPr>
          <w:p w14:paraId="5794F441" w14:textId="77777777" w:rsidR="0003043E" w:rsidRPr="0003043E" w:rsidRDefault="0003043E" w:rsidP="00C40635">
            <w:pPr>
              <w:jc w:val="center"/>
              <w:rPr>
                <w:color w:val="000000"/>
                <w:szCs w:val="22"/>
              </w:rPr>
            </w:pPr>
            <w:r w:rsidRPr="0003043E">
              <w:rPr>
                <w:color w:val="000000"/>
                <w:szCs w:val="22"/>
              </w:rPr>
              <w:t>30,56%</w:t>
            </w:r>
          </w:p>
        </w:tc>
      </w:tr>
      <w:tr w:rsidR="00C40635" w:rsidRPr="00C40635" w14:paraId="17BBAF88" w14:textId="77777777" w:rsidTr="00C40635">
        <w:trPr>
          <w:trHeight w:val="288"/>
        </w:trPr>
        <w:tc>
          <w:tcPr>
            <w:tcW w:w="538" w:type="pct"/>
            <w:tcBorders>
              <w:top w:val="nil"/>
              <w:left w:val="nil"/>
              <w:bottom w:val="nil"/>
              <w:right w:val="nil"/>
            </w:tcBorders>
            <w:shd w:val="clear" w:color="auto" w:fill="auto"/>
            <w:noWrap/>
            <w:vAlign w:val="center"/>
            <w:hideMark/>
          </w:tcPr>
          <w:p w14:paraId="17EDFF1F" w14:textId="77777777" w:rsidR="0003043E" w:rsidRPr="0003043E" w:rsidRDefault="0003043E" w:rsidP="00C40635">
            <w:pPr>
              <w:jc w:val="center"/>
              <w:rPr>
                <w:color w:val="000000"/>
                <w:szCs w:val="22"/>
              </w:rPr>
            </w:pPr>
            <w:r w:rsidRPr="0003043E">
              <w:rPr>
                <w:color w:val="000000"/>
                <w:szCs w:val="22"/>
              </w:rPr>
              <w:t>Inverno</w:t>
            </w:r>
          </w:p>
        </w:tc>
        <w:tc>
          <w:tcPr>
            <w:tcW w:w="492" w:type="pct"/>
            <w:tcBorders>
              <w:top w:val="nil"/>
              <w:left w:val="nil"/>
              <w:bottom w:val="nil"/>
              <w:right w:val="nil"/>
            </w:tcBorders>
            <w:shd w:val="clear" w:color="auto" w:fill="auto"/>
            <w:noWrap/>
            <w:vAlign w:val="center"/>
            <w:hideMark/>
          </w:tcPr>
          <w:p w14:paraId="206108C7" w14:textId="77777777" w:rsidR="0003043E" w:rsidRPr="0003043E" w:rsidRDefault="0003043E" w:rsidP="00C40635">
            <w:pPr>
              <w:jc w:val="center"/>
              <w:rPr>
                <w:color w:val="000000"/>
                <w:szCs w:val="22"/>
              </w:rPr>
            </w:pPr>
            <w:r w:rsidRPr="0003043E">
              <w:rPr>
                <w:color w:val="000000"/>
                <w:szCs w:val="22"/>
              </w:rPr>
              <w:t>39,09%</w:t>
            </w:r>
          </w:p>
        </w:tc>
        <w:tc>
          <w:tcPr>
            <w:tcW w:w="889" w:type="pct"/>
            <w:tcBorders>
              <w:top w:val="nil"/>
              <w:left w:val="nil"/>
              <w:bottom w:val="nil"/>
              <w:right w:val="nil"/>
            </w:tcBorders>
            <w:shd w:val="clear" w:color="auto" w:fill="auto"/>
            <w:noWrap/>
            <w:vAlign w:val="center"/>
            <w:hideMark/>
          </w:tcPr>
          <w:p w14:paraId="459A7CD4" w14:textId="77777777" w:rsidR="0003043E" w:rsidRPr="0003043E" w:rsidRDefault="0003043E" w:rsidP="00C40635">
            <w:pPr>
              <w:jc w:val="center"/>
              <w:rPr>
                <w:color w:val="000000"/>
                <w:szCs w:val="22"/>
              </w:rPr>
            </w:pPr>
            <w:r w:rsidRPr="0003043E">
              <w:rPr>
                <w:color w:val="000000"/>
                <w:szCs w:val="22"/>
              </w:rPr>
              <w:t>3,45%</w:t>
            </w:r>
          </w:p>
        </w:tc>
        <w:tc>
          <w:tcPr>
            <w:tcW w:w="831" w:type="pct"/>
            <w:tcBorders>
              <w:top w:val="nil"/>
              <w:left w:val="nil"/>
              <w:bottom w:val="nil"/>
              <w:right w:val="nil"/>
            </w:tcBorders>
            <w:shd w:val="clear" w:color="auto" w:fill="auto"/>
            <w:noWrap/>
            <w:vAlign w:val="center"/>
            <w:hideMark/>
          </w:tcPr>
          <w:p w14:paraId="52B3B63E" w14:textId="77777777" w:rsidR="0003043E" w:rsidRPr="0003043E" w:rsidRDefault="0003043E" w:rsidP="00C40635">
            <w:pPr>
              <w:jc w:val="center"/>
              <w:rPr>
                <w:color w:val="000000"/>
                <w:szCs w:val="22"/>
              </w:rPr>
            </w:pPr>
            <w:r w:rsidRPr="0003043E">
              <w:rPr>
                <w:color w:val="000000"/>
                <w:szCs w:val="22"/>
              </w:rPr>
              <w:t>32,23%</w:t>
            </w:r>
          </w:p>
        </w:tc>
        <w:tc>
          <w:tcPr>
            <w:tcW w:w="97" w:type="pct"/>
            <w:tcBorders>
              <w:top w:val="nil"/>
              <w:left w:val="nil"/>
              <w:bottom w:val="nil"/>
              <w:right w:val="nil"/>
            </w:tcBorders>
            <w:shd w:val="clear" w:color="auto" w:fill="auto"/>
            <w:noWrap/>
            <w:vAlign w:val="center"/>
            <w:hideMark/>
          </w:tcPr>
          <w:p w14:paraId="53635192" w14:textId="77777777" w:rsidR="0003043E" w:rsidRPr="0003043E" w:rsidRDefault="0003043E" w:rsidP="00C40635">
            <w:pPr>
              <w:jc w:val="center"/>
              <w:rPr>
                <w:color w:val="000000"/>
                <w:szCs w:val="22"/>
              </w:rPr>
            </w:pPr>
          </w:p>
        </w:tc>
        <w:tc>
          <w:tcPr>
            <w:tcW w:w="434" w:type="pct"/>
            <w:tcBorders>
              <w:top w:val="nil"/>
              <w:left w:val="nil"/>
              <w:bottom w:val="nil"/>
              <w:right w:val="nil"/>
            </w:tcBorders>
            <w:shd w:val="clear" w:color="auto" w:fill="auto"/>
            <w:noWrap/>
            <w:vAlign w:val="center"/>
            <w:hideMark/>
          </w:tcPr>
          <w:p w14:paraId="243D4135" w14:textId="77777777" w:rsidR="0003043E" w:rsidRPr="0003043E" w:rsidRDefault="0003043E" w:rsidP="00C40635">
            <w:pPr>
              <w:jc w:val="center"/>
              <w:rPr>
                <w:color w:val="000000"/>
                <w:szCs w:val="22"/>
              </w:rPr>
            </w:pPr>
            <w:r w:rsidRPr="0003043E">
              <w:rPr>
                <w:color w:val="000000"/>
                <w:szCs w:val="22"/>
              </w:rPr>
              <w:t>39,63%</w:t>
            </w:r>
          </w:p>
        </w:tc>
        <w:tc>
          <w:tcPr>
            <w:tcW w:w="889" w:type="pct"/>
            <w:tcBorders>
              <w:top w:val="nil"/>
              <w:left w:val="nil"/>
              <w:bottom w:val="nil"/>
              <w:right w:val="nil"/>
            </w:tcBorders>
            <w:shd w:val="clear" w:color="auto" w:fill="auto"/>
            <w:noWrap/>
            <w:vAlign w:val="center"/>
            <w:hideMark/>
          </w:tcPr>
          <w:p w14:paraId="5CFB48B2" w14:textId="77777777" w:rsidR="0003043E" w:rsidRPr="0003043E" w:rsidRDefault="0003043E" w:rsidP="00C40635">
            <w:pPr>
              <w:jc w:val="center"/>
              <w:rPr>
                <w:color w:val="000000"/>
                <w:szCs w:val="22"/>
              </w:rPr>
            </w:pPr>
            <w:r w:rsidRPr="0003043E">
              <w:rPr>
                <w:color w:val="000000"/>
                <w:szCs w:val="22"/>
              </w:rPr>
              <w:t>10,20%</w:t>
            </w:r>
          </w:p>
        </w:tc>
        <w:tc>
          <w:tcPr>
            <w:tcW w:w="831" w:type="pct"/>
            <w:tcBorders>
              <w:top w:val="nil"/>
              <w:left w:val="nil"/>
              <w:bottom w:val="nil"/>
              <w:right w:val="nil"/>
            </w:tcBorders>
            <w:shd w:val="clear" w:color="auto" w:fill="auto"/>
            <w:noWrap/>
            <w:vAlign w:val="center"/>
            <w:hideMark/>
          </w:tcPr>
          <w:p w14:paraId="2F20C894" w14:textId="77777777" w:rsidR="0003043E" w:rsidRPr="0003043E" w:rsidRDefault="0003043E" w:rsidP="00C40635">
            <w:pPr>
              <w:jc w:val="center"/>
              <w:rPr>
                <w:color w:val="000000"/>
                <w:szCs w:val="22"/>
              </w:rPr>
            </w:pPr>
            <w:r w:rsidRPr="0003043E">
              <w:rPr>
                <w:color w:val="000000"/>
                <w:szCs w:val="22"/>
              </w:rPr>
              <w:t>34,72%</w:t>
            </w:r>
          </w:p>
        </w:tc>
      </w:tr>
      <w:tr w:rsidR="00C40635" w:rsidRPr="00C40635" w14:paraId="6155FD9F" w14:textId="77777777" w:rsidTr="00C40635">
        <w:trPr>
          <w:trHeight w:val="300"/>
        </w:trPr>
        <w:tc>
          <w:tcPr>
            <w:tcW w:w="538" w:type="pct"/>
            <w:tcBorders>
              <w:top w:val="nil"/>
              <w:left w:val="nil"/>
              <w:bottom w:val="double" w:sz="6" w:space="0" w:color="auto"/>
              <w:right w:val="nil"/>
            </w:tcBorders>
            <w:shd w:val="clear" w:color="auto" w:fill="auto"/>
            <w:noWrap/>
            <w:vAlign w:val="center"/>
            <w:hideMark/>
          </w:tcPr>
          <w:p w14:paraId="1649BF1D" w14:textId="77777777" w:rsidR="0003043E" w:rsidRPr="0003043E" w:rsidRDefault="0003043E" w:rsidP="00C40635">
            <w:pPr>
              <w:jc w:val="center"/>
              <w:rPr>
                <w:color w:val="000000"/>
                <w:szCs w:val="22"/>
              </w:rPr>
            </w:pPr>
            <w:r w:rsidRPr="0003043E">
              <w:rPr>
                <w:color w:val="000000"/>
                <w:szCs w:val="22"/>
              </w:rPr>
              <w:t>Primavera</w:t>
            </w:r>
          </w:p>
        </w:tc>
        <w:tc>
          <w:tcPr>
            <w:tcW w:w="492" w:type="pct"/>
            <w:tcBorders>
              <w:top w:val="nil"/>
              <w:left w:val="nil"/>
              <w:bottom w:val="double" w:sz="6" w:space="0" w:color="auto"/>
              <w:right w:val="nil"/>
            </w:tcBorders>
            <w:shd w:val="clear" w:color="auto" w:fill="auto"/>
            <w:noWrap/>
            <w:vAlign w:val="center"/>
            <w:hideMark/>
          </w:tcPr>
          <w:p w14:paraId="263572AF" w14:textId="77777777" w:rsidR="0003043E" w:rsidRPr="0003043E" w:rsidRDefault="0003043E" w:rsidP="00C40635">
            <w:pPr>
              <w:jc w:val="center"/>
              <w:rPr>
                <w:color w:val="000000"/>
                <w:szCs w:val="22"/>
              </w:rPr>
            </w:pPr>
            <w:r w:rsidRPr="0003043E">
              <w:rPr>
                <w:color w:val="000000"/>
                <w:szCs w:val="22"/>
              </w:rPr>
              <w:t>14,81%</w:t>
            </w:r>
          </w:p>
        </w:tc>
        <w:tc>
          <w:tcPr>
            <w:tcW w:w="889" w:type="pct"/>
            <w:tcBorders>
              <w:top w:val="nil"/>
              <w:left w:val="nil"/>
              <w:bottom w:val="double" w:sz="6" w:space="0" w:color="auto"/>
              <w:right w:val="nil"/>
            </w:tcBorders>
            <w:shd w:val="clear" w:color="auto" w:fill="auto"/>
            <w:noWrap/>
            <w:vAlign w:val="center"/>
            <w:hideMark/>
          </w:tcPr>
          <w:p w14:paraId="6B7D716C" w14:textId="77777777" w:rsidR="0003043E" w:rsidRPr="0003043E" w:rsidRDefault="0003043E" w:rsidP="00C40635">
            <w:pPr>
              <w:jc w:val="center"/>
              <w:rPr>
                <w:color w:val="000000"/>
                <w:szCs w:val="22"/>
              </w:rPr>
            </w:pPr>
            <w:r w:rsidRPr="0003043E">
              <w:rPr>
                <w:color w:val="000000"/>
                <w:szCs w:val="22"/>
              </w:rPr>
              <w:t>22,41%</w:t>
            </w:r>
          </w:p>
        </w:tc>
        <w:tc>
          <w:tcPr>
            <w:tcW w:w="831" w:type="pct"/>
            <w:tcBorders>
              <w:top w:val="nil"/>
              <w:left w:val="nil"/>
              <w:bottom w:val="double" w:sz="6" w:space="0" w:color="auto"/>
              <w:right w:val="nil"/>
            </w:tcBorders>
            <w:shd w:val="clear" w:color="auto" w:fill="auto"/>
            <w:noWrap/>
            <w:vAlign w:val="center"/>
            <w:hideMark/>
          </w:tcPr>
          <w:p w14:paraId="467531DF" w14:textId="77777777" w:rsidR="0003043E" w:rsidRPr="0003043E" w:rsidRDefault="0003043E" w:rsidP="00C40635">
            <w:pPr>
              <w:jc w:val="center"/>
              <w:rPr>
                <w:color w:val="000000"/>
                <w:szCs w:val="22"/>
              </w:rPr>
            </w:pPr>
            <w:r w:rsidRPr="0003043E">
              <w:rPr>
                <w:color w:val="000000"/>
                <w:szCs w:val="22"/>
              </w:rPr>
              <w:t>16,28%</w:t>
            </w:r>
          </w:p>
        </w:tc>
        <w:tc>
          <w:tcPr>
            <w:tcW w:w="97" w:type="pct"/>
            <w:tcBorders>
              <w:top w:val="nil"/>
              <w:left w:val="nil"/>
              <w:bottom w:val="double" w:sz="6" w:space="0" w:color="auto"/>
              <w:right w:val="nil"/>
            </w:tcBorders>
            <w:shd w:val="clear" w:color="auto" w:fill="auto"/>
            <w:noWrap/>
            <w:vAlign w:val="center"/>
            <w:hideMark/>
          </w:tcPr>
          <w:p w14:paraId="190718BF" w14:textId="54EF791B" w:rsidR="0003043E" w:rsidRPr="0003043E" w:rsidRDefault="0003043E" w:rsidP="00C40635">
            <w:pPr>
              <w:jc w:val="center"/>
              <w:rPr>
                <w:color w:val="000000"/>
                <w:szCs w:val="22"/>
              </w:rPr>
            </w:pPr>
          </w:p>
        </w:tc>
        <w:tc>
          <w:tcPr>
            <w:tcW w:w="434" w:type="pct"/>
            <w:tcBorders>
              <w:top w:val="nil"/>
              <w:left w:val="nil"/>
              <w:bottom w:val="double" w:sz="6" w:space="0" w:color="auto"/>
              <w:right w:val="nil"/>
            </w:tcBorders>
            <w:shd w:val="clear" w:color="auto" w:fill="auto"/>
            <w:noWrap/>
            <w:vAlign w:val="center"/>
            <w:hideMark/>
          </w:tcPr>
          <w:p w14:paraId="404D1DF8" w14:textId="77777777" w:rsidR="0003043E" w:rsidRPr="0003043E" w:rsidRDefault="0003043E" w:rsidP="00C40635">
            <w:pPr>
              <w:jc w:val="center"/>
              <w:rPr>
                <w:color w:val="000000"/>
                <w:szCs w:val="22"/>
              </w:rPr>
            </w:pPr>
            <w:r w:rsidRPr="0003043E">
              <w:rPr>
                <w:color w:val="000000"/>
                <w:szCs w:val="22"/>
              </w:rPr>
              <w:t>28,71%</w:t>
            </w:r>
          </w:p>
        </w:tc>
        <w:tc>
          <w:tcPr>
            <w:tcW w:w="889" w:type="pct"/>
            <w:tcBorders>
              <w:top w:val="nil"/>
              <w:left w:val="nil"/>
              <w:bottom w:val="double" w:sz="6" w:space="0" w:color="auto"/>
              <w:right w:val="nil"/>
            </w:tcBorders>
            <w:shd w:val="clear" w:color="auto" w:fill="auto"/>
            <w:noWrap/>
            <w:vAlign w:val="center"/>
            <w:hideMark/>
          </w:tcPr>
          <w:p w14:paraId="698390FA" w14:textId="77777777" w:rsidR="0003043E" w:rsidRPr="0003043E" w:rsidRDefault="0003043E" w:rsidP="00C40635">
            <w:pPr>
              <w:jc w:val="center"/>
              <w:rPr>
                <w:color w:val="000000"/>
                <w:szCs w:val="22"/>
              </w:rPr>
            </w:pPr>
            <w:r w:rsidRPr="0003043E">
              <w:rPr>
                <w:color w:val="000000"/>
                <w:szCs w:val="22"/>
              </w:rPr>
              <w:t>28,71%</w:t>
            </w:r>
          </w:p>
        </w:tc>
        <w:tc>
          <w:tcPr>
            <w:tcW w:w="831" w:type="pct"/>
            <w:tcBorders>
              <w:top w:val="nil"/>
              <w:left w:val="nil"/>
              <w:bottom w:val="double" w:sz="6" w:space="0" w:color="auto"/>
              <w:right w:val="nil"/>
            </w:tcBorders>
            <w:shd w:val="clear" w:color="auto" w:fill="auto"/>
            <w:noWrap/>
            <w:vAlign w:val="center"/>
            <w:hideMark/>
          </w:tcPr>
          <w:p w14:paraId="775DB782" w14:textId="77777777" w:rsidR="0003043E" w:rsidRPr="0003043E" w:rsidRDefault="0003043E" w:rsidP="00C40635">
            <w:pPr>
              <w:jc w:val="center"/>
              <w:rPr>
                <w:color w:val="000000"/>
                <w:szCs w:val="22"/>
              </w:rPr>
            </w:pPr>
            <w:r w:rsidRPr="0003043E">
              <w:rPr>
                <w:color w:val="000000"/>
                <w:szCs w:val="22"/>
              </w:rPr>
              <w:t>20,04%</w:t>
            </w:r>
          </w:p>
        </w:tc>
      </w:tr>
      <w:bookmarkEnd w:id="0"/>
    </w:tbl>
    <w:p w14:paraId="53F0CF7A" w14:textId="6B22B847" w:rsidR="0003043E" w:rsidRDefault="0003043E" w:rsidP="0003043E">
      <w:pPr>
        <w:tabs>
          <w:tab w:val="left" w:pos="426"/>
        </w:tabs>
      </w:pPr>
    </w:p>
    <w:p w14:paraId="7DFC62B4" w14:textId="399C089C" w:rsidR="00FC4160" w:rsidRDefault="00EF1948" w:rsidP="00933597">
      <w:pPr>
        <w:tabs>
          <w:tab w:val="left" w:pos="426"/>
        </w:tabs>
        <w:jc w:val="both"/>
        <w:rPr>
          <w:color w:val="000000" w:themeColor="text1"/>
        </w:rPr>
      </w:pPr>
      <w:r>
        <w:rPr>
          <w:color w:val="000000" w:themeColor="text1"/>
        </w:rPr>
        <w:lastRenderedPageBreak/>
        <w:tab/>
      </w:r>
      <w:r w:rsidR="00933597" w:rsidRPr="00981430">
        <w:rPr>
          <w:color w:val="000000" w:themeColor="text1"/>
        </w:rPr>
        <w:t xml:space="preserve">A intensidade dos eventos de sobreirradiância quando registrado a cada minuto, comparado ao registrado a cada segundo, é </w:t>
      </w:r>
      <w:r>
        <w:rPr>
          <w:color w:val="000000" w:themeColor="text1"/>
        </w:rPr>
        <w:t>mostrado</w:t>
      </w:r>
      <w:r w:rsidR="00933597" w:rsidRPr="00981430">
        <w:rPr>
          <w:color w:val="000000" w:themeColor="text1"/>
        </w:rPr>
        <w:t xml:space="preserve"> na </w:t>
      </w:r>
      <w:r>
        <w:rPr>
          <w:color w:val="000000" w:themeColor="text1"/>
        </w:rPr>
        <w:t>Tab.2</w:t>
      </w:r>
      <w:r w:rsidR="00933597" w:rsidRPr="00981430">
        <w:rPr>
          <w:color w:val="000000" w:themeColor="text1"/>
        </w:rPr>
        <w:t>, na qual é possível verificar que as maiores intensidades da irradiância, na resolução de minutos, ocorreram nos meses de janeiro, março e novembro, com intensidades de 15</w:t>
      </w:r>
      <w:r>
        <w:rPr>
          <w:color w:val="000000" w:themeColor="text1"/>
        </w:rPr>
        <w:t>26</w:t>
      </w:r>
      <w:r w:rsidR="00933597" w:rsidRPr="00981430">
        <w:rPr>
          <w:color w:val="000000" w:themeColor="text1"/>
        </w:rPr>
        <w:t>,</w:t>
      </w:r>
      <w:r>
        <w:rPr>
          <w:color w:val="000000" w:themeColor="text1"/>
        </w:rPr>
        <w:t xml:space="preserve"> </w:t>
      </w:r>
      <w:r w:rsidR="00933597" w:rsidRPr="00981430">
        <w:rPr>
          <w:color w:val="000000" w:themeColor="text1"/>
        </w:rPr>
        <w:t xml:space="preserve">1500 e 1521 W/m², respectivamente. Já os meses de maio, junho e julho, apresentaram as menores intensidades de eventos, com 1255, 1266 e 1259 W/m², respectivamente. Por outro lado, na resolução de segundos, os meses de novembro, dezembro e janeiro apresentaram as maiores intensidades da irradiância, com 1654, 1575 e 1607 W/m² nessa ordem. </w:t>
      </w:r>
      <w:r>
        <w:rPr>
          <w:color w:val="000000" w:themeColor="text1"/>
        </w:rPr>
        <w:t>Vale salientar que a diferença entre os maiores eventos considerando as duas resoluções temporais que correspondem a 1526 W/m² em</w:t>
      </w:r>
      <w:r w:rsidR="00933597" w:rsidRPr="00981430">
        <w:rPr>
          <w:color w:val="000000" w:themeColor="text1"/>
        </w:rPr>
        <w:t xml:space="preserve"> janeiro </w:t>
      </w:r>
      <w:r>
        <w:rPr>
          <w:color w:val="000000" w:themeColor="text1"/>
        </w:rPr>
        <w:t>para a resolução de minuto e 1654 W/m² no</w:t>
      </w:r>
      <w:r w:rsidR="00933597" w:rsidRPr="00981430">
        <w:rPr>
          <w:color w:val="000000" w:themeColor="text1"/>
        </w:rPr>
        <w:t xml:space="preserve"> mês de novembro</w:t>
      </w:r>
      <w:r>
        <w:rPr>
          <w:color w:val="000000" w:themeColor="text1"/>
        </w:rPr>
        <w:t xml:space="preserve"> para a resolução de segundos, correspondem a uma diferença de aproximadamente 8%</w:t>
      </w:r>
      <w:r w:rsidR="00933597" w:rsidRPr="00981430">
        <w:rPr>
          <w:color w:val="000000" w:themeColor="text1"/>
        </w:rPr>
        <w:t>. Outro ponto, é a</w:t>
      </w:r>
      <w:r>
        <w:rPr>
          <w:color w:val="000000" w:themeColor="text1"/>
        </w:rPr>
        <w:t>s diferenças entre as</w:t>
      </w:r>
      <w:r w:rsidR="00933597" w:rsidRPr="00981430">
        <w:rPr>
          <w:color w:val="000000" w:themeColor="text1"/>
        </w:rPr>
        <w:t xml:space="preserve"> intensidade</w:t>
      </w:r>
      <w:r>
        <w:rPr>
          <w:color w:val="000000" w:themeColor="text1"/>
        </w:rPr>
        <w:t>s registradas entre as resoluções temporais mostraram valores que variaram entre 2,1% no mês de abril a 16,1% no mês de julho. Em todos os meses os eventos mais intensos tiveram valores maiores em comparação aos eventos registrados na resolução de minutos. Esse resultado demonstra a importância da medição dos eventos em uma escala temporal mais adequada ao fenômeno.</w:t>
      </w:r>
    </w:p>
    <w:p w14:paraId="6034DDC1" w14:textId="2963BF7D" w:rsidR="00EF1948" w:rsidRDefault="00EF1948" w:rsidP="00EF1948">
      <w:pPr>
        <w:pStyle w:val="Legendas"/>
      </w:pPr>
    </w:p>
    <w:p w14:paraId="08F7FC61" w14:textId="75A3AB10" w:rsidR="00EF1948" w:rsidRDefault="00EF1948" w:rsidP="00EF1948">
      <w:pPr>
        <w:pStyle w:val="Legendas"/>
      </w:pPr>
      <w:r>
        <w:t>Tabela 2</w:t>
      </w:r>
      <w:r w:rsidRPr="00F35595">
        <w:t xml:space="preserve"> </w:t>
      </w:r>
      <w:r>
        <w:t>–</w:t>
      </w:r>
      <w:r w:rsidRPr="00F35595">
        <w:t xml:space="preserve"> </w:t>
      </w:r>
      <w:r>
        <w:t>Maiores intensidades dos e</w:t>
      </w:r>
      <w:r w:rsidRPr="00F35595">
        <w:t xml:space="preserve">ventos de sobreirradiância </w:t>
      </w:r>
      <w:r>
        <w:t>nas diferentes resoluções temporais e percentual de diferença entre as resoluções registrado em cada mês</w:t>
      </w:r>
      <w:r w:rsidRPr="00F35595">
        <w:t>.</w:t>
      </w:r>
    </w:p>
    <w:tbl>
      <w:tblPr>
        <w:tblW w:w="5000" w:type="pct"/>
        <w:jc w:val="center"/>
        <w:tblBorders>
          <w:top w:val="double" w:sz="4" w:space="0" w:color="auto"/>
          <w:bottom w:val="double" w:sz="4" w:space="0" w:color="auto"/>
        </w:tblBorders>
        <w:tblLayout w:type="fixed"/>
        <w:tblCellMar>
          <w:left w:w="70" w:type="dxa"/>
          <w:right w:w="70" w:type="dxa"/>
        </w:tblCellMar>
        <w:tblLook w:val="04A0" w:firstRow="1" w:lastRow="0" w:firstColumn="1" w:lastColumn="0" w:noHBand="0" w:noVBand="1"/>
      </w:tblPr>
      <w:tblGrid>
        <w:gridCol w:w="1701"/>
        <w:gridCol w:w="662"/>
        <w:gridCol w:w="662"/>
        <w:gridCol w:w="662"/>
        <w:gridCol w:w="662"/>
        <w:gridCol w:w="662"/>
        <w:gridCol w:w="662"/>
        <w:gridCol w:w="661"/>
        <w:gridCol w:w="661"/>
        <w:gridCol w:w="661"/>
        <w:gridCol w:w="661"/>
        <w:gridCol w:w="661"/>
        <w:gridCol w:w="661"/>
      </w:tblGrid>
      <w:tr w:rsidR="00EF1948" w:rsidRPr="00EF1948" w14:paraId="28DFEE51" w14:textId="77777777" w:rsidTr="00EF1948">
        <w:trPr>
          <w:trHeight w:val="288"/>
          <w:jc w:val="center"/>
        </w:trPr>
        <w:tc>
          <w:tcPr>
            <w:tcW w:w="882" w:type="pct"/>
            <w:tcBorders>
              <w:top w:val="double" w:sz="4" w:space="0" w:color="auto"/>
              <w:bottom w:val="double" w:sz="4" w:space="0" w:color="auto"/>
            </w:tcBorders>
            <w:shd w:val="clear" w:color="auto" w:fill="auto"/>
            <w:noWrap/>
            <w:vAlign w:val="center"/>
            <w:hideMark/>
          </w:tcPr>
          <w:p w14:paraId="4E7F20EC" w14:textId="30DA3C1F" w:rsidR="00EF1948" w:rsidRPr="00EF1948" w:rsidRDefault="00EF1948" w:rsidP="00EF1948">
            <w:pPr>
              <w:jc w:val="center"/>
              <w:rPr>
                <w:color w:val="000000"/>
              </w:rPr>
            </w:pPr>
          </w:p>
        </w:tc>
        <w:tc>
          <w:tcPr>
            <w:tcW w:w="343" w:type="pct"/>
            <w:tcBorders>
              <w:top w:val="double" w:sz="4" w:space="0" w:color="auto"/>
              <w:bottom w:val="double" w:sz="4" w:space="0" w:color="auto"/>
            </w:tcBorders>
            <w:shd w:val="clear" w:color="auto" w:fill="auto"/>
            <w:noWrap/>
            <w:vAlign w:val="center"/>
            <w:hideMark/>
          </w:tcPr>
          <w:p w14:paraId="7E1ED552" w14:textId="77777777" w:rsidR="00EF1948" w:rsidRPr="00EF1948" w:rsidRDefault="00EF1948" w:rsidP="00EF1948">
            <w:pPr>
              <w:jc w:val="center"/>
              <w:rPr>
                <w:color w:val="000000"/>
              </w:rPr>
            </w:pPr>
            <w:r w:rsidRPr="00EF1948">
              <w:rPr>
                <w:color w:val="000000"/>
              </w:rPr>
              <w:t>Jan</w:t>
            </w:r>
          </w:p>
        </w:tc>
        <w:tc>
          <w:tcPr>
            <w:tcW w:w="343" w:type="pct"/>
            <w:tcBorders>
              <w:top w:val="double" w:sz="4" w:space="0" w:color="auto"/>
              <w:bottom w:val="double" w:sz="4" w:space="0" w:color="auto"/>
            </w:tcBorders>
            <w:shd w:val="clear" w:color="auto" w:fill="auto"/>
            <w:noWrap/>
            <w:vAlign w:val="center"/>
            <w:hideMark/>
          </w:tcPr>
          <w:p w14:paraId="7FEAB7F3" w14:textId="77777777" w:rsidR="00EF1948" w:rsidRPr="00EF1948" w:rsidRDefault="00EF1948" w:rsidP="00EF1948">
            <w:pPr>
              <w:jc w:val="center"/>
              <w:rPr>
                <w:color w:val="000000"/>
              </w:rPr>
            </w:pPr>
            <w:proofErr w:type="spellStart"/>
            <w:r w:rsidRPr="00EF1948">
              <w:rPr>
                <w:color w:val="000000"/>
              </w:rPr>
              <w:t>Fev</w:t>
            </w:r>
            <w:proofErr w:type="spellEnd"/>
          </w:p>
        </w:tc>
        <w:tc>
          <w:tcPr>
            <w:tcW w:w="343" w:type="pct"/>
            <w:tcBorders>
              <w:top w:val="double" w:sz="4" w:space="0" w:color="auto"/>
              <w:bottom w:val="double" w:sz="4" w:space="0" w:color="auto"/>
            </w:tcBorders>
            <w:shd w:val="clear" w:color="auto" w:fill="auto"/>
            <w:noWrap/>
            <w:vAlign w:val="center"/>
            <w:hideMark/>
          </w:tcPr>
          <w:p w14:paraId="6A9FED92" w14:textId="77777777" w:rsidR="00EF1948" w:rsidRPr="00EF1948" w:rsidRDefault="00EF1948" w:rsidP="00EF1948">
            <w:pPr>
              <w:jc w:val="center"/>
              <w:rPr>
                <w:color w:val="000000"/>
              </w:rPr>
            </w:pPr>
            <w:r w:rsidRPr="00EF1948">
              <w:rPr>
                <w:color w:val="000000"/>
              </w:rPr>
              <w:t>Mar</w:t>
            </w:r>
          </w:p>
        </w:tc>
        <w:tc>
          <w:tcPr>
            <w:tcW w:w="343" w:type="pct"/>
            <w:tcBorders>
              <w:top w:val="double" w:sz="4" w:space="0" w:color="auto"/>
              <w:bottom w:val="double" w:sz="4" w:space="0" w:color="auto"/>
            </w:tcBorders>
            <w:shd w:val="clear" w:color="auto" w:fill="auto"/>
            <w:noWrap/>
            <w:vAlign w:val="center"/>
            <w:hideMark/>
          </w:tcPr>
          <w:p w14:paraId="1469E377" w14:textId="77777777" w:rsidR="00EF1948" w:rsidRPr="00EF1948" w:rsidRDefault="00EF1948" w:rsidP="00EF1948">
            <w:pPr>
              <w:jc w:val="center"/>
              <w:rPr>
                <w:color w:val="000000"/>
              </w:rPr>
            </w:pPr>
            <w:proofErr w:type="spellStart"/>
            <w:r w:rsidRPr="00EF1948">
              <w:rPr>
                <w:color w:val="000000"/>
              </w:rPr>
              <w:t>Abr</w:t>
            </w:r>
            <w:proofErr w:type="spellEnd"/>
          </w:p>
        </w:tc>
        <w:tc>
          <w:tcPr>
            <w:tcW w:w="343" w:type="pct"/>
            <w:tcBorders>
              <w:top w:val="double" w:sz="4" w:space="0" w:color="auto"/>
              <w:bottom w:val="double" w:sz="4" w:space="0" w:color="auto"/>
            </w:tcBorders>
            <w:shd w:val="clear" w:color="auto" w:fill="auto"/>
            <w:noWrap/>
            <w:vAlign w:val="center"/>
            <w:hideMark/>
          </w:tcPr>
          <w:p w14:paraId="3D481583" w14:textId="77777777" w:rsidR="00EF1948" w:rsidRPr="00EF1948" w:rsidRDefault="00EF1948" w:rsidP="00EF1948">
            <w:pPr>
              <w:jc w:val="center"/>
              <w:rPr>
                <w:color w:val="000000"/>
              </w:rPr>
            </w:pPr>
            <w:r w:rsidRPr="00EF1948">
              <w:rPr>
                <w:color w:val="000000"/>
              </w:rPr>
              <w:t>Mai</w:t>
            </w:r>
          </w:p>
        </w:tc>
        <w:tc>
          <w:tcPr>
            <w:tcW w:w="343" w:type="pct"/>
            <w:tcBorders>
              <w:top w:val="double" w:sz="4" w:space="0" w:color="auto"/>
              <w:bottom w:val="double" w:sz="4" w:space="0" w:color="auto"/>
            </w:tcBorders>
            <w:shd w:val="clear" w:color="auto" w:fill="auto"/>
            <w:noWrap/>
            <w:vAlign w:val="center"/>
            <w:hideMark/>
          </w:tcPr>
          <w:p w14:paraId="116E0ECC" w14:textId="77777777" w:rsidR="00EF1948" w:rsidRPr="00EF1948" w:rsidRDefault="00EF1948" w:rsidP="00EF1948">
            <w:pPr>
              <w:jc w:val="center"/>
              <w:rPr>
                <w:color w:val="000000"/>
              </w:rPr>
            </w:pPr>
            <w:proofErr w:type="spellStart"/>
            <w:r w:rsidRPr="00EF1948">
              <w:rPr>
                <w:color w:val="000000"/>
              </w:rPr>
              <w:t>Jun</w:t>
            </w:r>
            <w:proofErr w:type="spellEnd"/>
          </w:p>
        </w:tc>
        <w:tc>
          <w:tcPr>
            <w:tcW w:w="343" w:type="pct"/>
            <w:tcBorders>
              <w:top w:val="double" w:sz="4" w:space="0" w:color="auto"/>
              <w:bottom w:val="double" w:sz="4" w:space="0" w:color="auto"/>
            </w:tcBorders>
            <w:shd w:val="clear" w:color="auto" w:fill="auto"/>
            <w:noWrap/>
            <w:vAlign w:val="center"/>
            <w:hideMark/>
          </w:tcPr>
          <w:p w14:paraId="463A512C" w14:textId="77777777" w:rsidR="00EF1948" w:rsidRPr="00EF1948" w:rsidRDefault="00EF1948" w:rsidP="00EF1948">
            <w:pPr>
              <w:jc w:val="center"/>
              <w:rPr>
                <w:color w:val="000000"/>
              </w:rPr>
            </w:pPr>
            <w:r w:rsidRPr="00EF1948">
              <w:rPr>
                <w:color w:val="000000"/>
              </w:rPr>
              <w:t>Jul</w:t>
            </w:r>
          </w:p>
        </w:tc>
        <w:tc>
          <w:tcPr>
            <w:tcW w:w="343" w:type="pct"/>
            <w:tcBorders>
              <w:top w:val="double" w:sz="4" w:space="0" w:color="auto"/>
              <w:bottom w:val="double" w:sz="4" w:space="0" w:color="auto"/>
            </w:tcBorders>
            <w:shd w:val="clear" w:color="auto" w:fill="auto"/>
            <w:noWrap/>
            <w:vAlign w:val="center"/>
            <w:hideMark/>
          </w:tcPr>
          <w:p w14:paraId="4648CD24" w14:textId="77777777" w:rsidR="00EF1948" w:rsidRPr="00EF1948" w:rsidRDefault="00EF1948" w:rsidP="00EF1948">
            <w:pPr>
              <w:jc w:val="center"/>
              <w:rPr>
                <w:color w:val="000000"/>
              </w:rPr>
            </w:pPr>
            <w:proofErr w:type="spellStart"/>
            <w:r w:rsidRPr="00EF1948">
              <w:rPr>
                <w:color w:val="000000"/>
              </w:rPr>
              <w:t>Ago</w:t>
            </w:r>
            <w:proofErr w:type="spellEnd"/>
          </w:p>
        </w:tc>
        <w:tc>
          <w:tcPr>
            <w:tcW w:w="343" w:type="pct"/>
            <w:tcBorders>
              <w:top w:val="double" w:sz="4" w:space="0" w:color="auto"/>
              <w:bottom w:val="double" w:sz="4" w:space="0" w:color="auto"/>
            </w:tcBorders>
            <w:shd w:val="clear" w:color="auto" w:fill="auto"/>
            <w:noWrap/>
            <w:vAlign w:val="center"/>
            <w:hideMark/>
          </w:tcPr>
          <w:p w14:paraId="71F2B4D8" w14:textId="77777777" w:rsidR="00EF1948" w:rsidRPr="00EF1948" w:rsidRDefault="00EF1948" w:rsidP="00EF1948">
            <w:pPr>
              <w:jc w:val="center"/>
              <w:rPr>
                <w:color w:val="000000"/>
              </w:rPr>
            </w:pPr>
            <w:r w:rsidRPr="00EF1948">
              <w:rPr>
                <w:color w:val="000000"/>
              </w:rPr>
              <w:t>Set</w:t>
            </w:r>
          </w:p>
        </w:tc>
        <w:tc>
          <w:tcPr>
            <w:tcW w:w="343" w:type="pct"/>
            <w:tcBorders>
              <w:top w:val="double" w:sz="4" w:space="0" w:color="auto"/>
              <w:bottom w:val="double" w:sz="4" w:space="0" w:color="auto"/>
            </w:tcBorders>
            <w:shd w:val="clear" w:color="auto" w:fill="auto"/>
            <w:noWrap/>
            <w:vAlign w:val="center"/>
            <w:hideMark/>
          </w:tcPr>
          <w:p w14:paraId="0710A959" w14:textId="77777777" w:rsidR="00EF1948" w:rsidRPr="00EF1948" w:rsidRDefault="00EF1948" w:rsidP="00EF1948">
            <w:pPr>
              <w:jc w:val="center"/>
              <w:rPr>
                <w:color w:val="000000"/>
              </w:rPr>
            </w:pPr>
            <w:r w:rsidRPr="00EF1948">
              <w:rPr>
                <w:color w:val="000000"/>
              </w:rPr>
              <w:t>Out</w:t>
            </w:r>
          </w:p>
        </w:tc>
        <w:tc>
          <w:tcPr>
            <w:tcW w:w="343" w:type="pct"/>
            <w:tcBorders>
              <w:top w:val="double" w:sz="4" w:space="0" w:color="auto"/>
              <w:bottom w:val="double" w:sz="4" w:space="0" w:color="auto"/>
            </w:tcBorders>
            <w:shd w:val="clear" w:color="auto" w:fill="auto"/>
            <w:noWrap/>
            <w:vAlign w:val="center"/>
            <w:hideMark/>
          </w:tcPr>
          <w:p w14:paraId="253D7DF2" w14:textId="77777777" w:rsidR="00EF1948" w:rsidRPr="00EF1948" w:rsidRDefault="00EF1948" w:rsidP="00EF1948">
            <w:pPr>
              <w:jc w:val="center"/>
              <w:rPr>
                <w:color w:val="000000"/>
              </w:rPr>
            </w:pPr>
            <w:proofErr w:type="spellStart"/>
            <w:r w:rsidRPr="00EF1948">
              <w:rPr>
                <w:color w:val="000000"/>
              </w:rPr>
              <w:t>Nov</w:t>
            </w:r>
            <w:proofErr w:type="spellEnd"/>
          </w:p>
        </w:tc>
        <w:tc>
          <w:tcPr>
            <w:tcW w:w="343" w:type="pct"/>
            <w:tcBorders>
              <w:top w:val="double" w:sz="4" w:space="0" w:color="auto"/>
              <w:bottom w:val="double" w:sz="4" w:space="0" w:color="auto"/>
            </w:tcBorders>
            <w:shd w:val="clear" w:color="auto" w:fill="auto"/>
            <w:noWrap/>
            <w:vAlign w:val="center"/>
            <w:hideMark/>
          </w:tcPr>
          <w:p w14:paraId="431572BF" w14:textId="77777777" w:rsidR="00EF1948" w:rsidRPr="00EF1948" w:rsidRDefault="00EF1948" w:rsidP="00EF1948">
            <w:pPr>
              <w:jc w:val="center"/>
              <w:rPr>
                <w:color w:val="000000"/>
              </w:rPr>
            </w:pPr>
            <w:r w:rsidRPr="00EF1948">
              <w:rPr>
                <w:color w:val="000000"/>
              </w:rPr>
              <w:t>Dez</w:t>
            </w:r>
          </w:p>
        </w:tc>
      </w:tr>
      <w:tr w:rsidR="00EF1948" w:rsidRPr="00EF1948" w14:paraId="7D512075" w14:textId="77777777" w:rsidTr="00EF1948">
        <w:trPr>
          <w:trHeight w:val="288"/>
          <w:jc w:val="center"/>
        </w:trPr>
        <w:tc>
          <w:tcPr>
            <w:tcW w:w="882" w:type="pct"/>
            <w:tcBorders>
              <w:top w:val="double" w:sz="4" w:space="0" w:color="auto"/>
            </w:tcBorders>
            <w:shd w:val="clear" w:color="auto" w:fill="auto"/>
            <w:noWrap/>
            <w:vAlign w:val="center"/>
            <w:hideMark/>
          </w:tcPr>
          <w:p w14:paraId="31C6669A" w14:textId="35316CB3" w:rsidR="00EF1948" w:rsidRPr="00EF1948" w:rsidRDefault="00EF1948" w:rsidP="00EF1948">
            <w:pPr>
              <w:jc w:val="center"/>
              <w:rPr>
                <w:color w:val="000000"/>
              </w:rPr>
            </w:pPr>
            <w:r w:rsidRPr="00EF1948">
              <w:rPr>
                <w:color w:val="000000"/>
              </w:rPr>
              <w:t>1 minuto</w:t>
            </w:r>
            <w:r>
              <w:rPr>
                <w:color w:val="000000"/>
              </w:rPr>
              <w:t xml:space="preserve"> (W/m²)</w:t>
            </w:r>
          </w:p>
        </w:tc>
        <w:tc>
          <w:tcPr>
            <w:tcW w:w="343" w:type="pct"/>
            <w:tcBorders>
              <w:top w:val="double" w:sz="4" w:space="0" w:color="auto"/>
            </w:tcBorders>
            <w:shd w:val="clear" w:color="auto" w:fill="auto"/>
            <w:noWrap/>
            <w:vAlign w:val="center"/>
            <w:hideMark/>
          </w:tcPr>
          <w:p w14:paraId="235AFF3C" w14:textId="77777777" w:rsidR="00EF1948" w:rsidRPr="00EF1948" w:rsidRDefault="00EF1948" w:rsidP="00EF1948">
            <w:pPr>
              <w:jc w:val="center"/>
              <w:rPr>
                <w:b/>
                <w:color w:val="000000"/>
              </w:rPr>
            </w:pPr>
            <w:r w:rsidRPr="00EF1948">
              <w:rPr>
                <w:b/>
              </w:rPr>
              <w:t>1526</w:t>
            </w:r>
          </w:p>
        </w:tc>
        <w:tc>
          <w:tcPr>
            <w:tcW w:w="343" w:type="pct"/>
            <w:tcBorders>
              <w:top w:val="double" w:sz="4" w:space="0" w:color="auto"/>
            </w:tcBorders>
            <w:shd w:val="clear" w:color="auto" w:fill="auto"/>
            <w:noWrap/>
            <w:vAlign w:val="center"/>
            <w:hideMark/>
          </w:tcPr>
          <w:p w14:paraId="74FE59BD" w14:textId="77777777" w:rsidR="00EF1948" w:rsidRPr="00EF1948" w:rsidRDefault="00EF1948" w:rsidP="00EF1948">
            <w:pPr>
              <w:jc w:val="center"/>
              <w:rPr>
                <w:color w:val="000000"/>
              </w:rPr>
            </w:pPr>
            <w:r w:rsidRPr="00EF1948">
              <w:rPr>
                <w:color w:val="000000"/>
              </w:rPr>
              <w:t>1470</w:t>
            </w:r>
          </w:p>
        </w:tc>
        <w:tc>
          <w:tcPr>
            <w:tcW w:w="343" w:type="pct"/>
            <w:tcBorders>
              <w:top w:val="double" w:sz="4" w:space="0" w:color="auto"/>
            </w:tcBorders>
            <w:shd w:val="clear" w:color="auto" w:fill="auto"/>
            <w:noWrap/>
            <w:vAlign w:val="center"/>
            <w:hideMark/>
          </w:tcPr>
          <w:p w14:paraId="5CC5A9A9" w14:textId="77777777" w:rsidR="00EF1948" w:rsidRPr="00EF1948" w:rsidRDefault="00EF1948" w:rsidP="00EF1948">
            <w:pPr>
              <w:jc w:val="center"/>
              <w:rPr>
                <w:color w:val="000000"/>
              </w:rPr>
            </w:pPr>
            <w:r w:rsidRPr="00EF1948">
              <w:rPr>
                <w:color w:val="000000"/>
              </w:rPr>
              <w:t>1500</w:t>
            </w:r>
          </w:p>
        </w:tc>
        <w:tc>
          <w:tcPr>
            <w:tcW w:w="343" w:type="pct"/>
            <w:tcBorders>
              <w:top w:val="double" w:sz="4" w:space="0" w:color="auto"/>
            </w:tcBorders>
            <w:shd w:val="clear" w:color="auto" w:fill="auto"/>
            <w:noWrap/>
            <w:vAlign w:val="center"/>
            <w:hideMark/>
          </w:tcPr>
          <w:p w14:paraId="260A97EE" w14:textId="77777777" w:rsidR="00EF1948" w:rsidRPr="00EF1948" w:rsidRDefault="00EF1948" w:rsidP="00EF1948">
            <w:pPr>
              <w:jc w:val="center"/>
              <w:rPr>
                <w:color w:val="000000"/>
              </w:rPr>
            </w:pPr>
            <w:r w:rsidRPr="00EF1948">
              <w:rPr>
                <w:color w:val="000000"/>
              </w:rPr>
              <w:t>1480</w:t>
            </w:r>
          </w:p>
        </w:tc>
        <w:tc>
          <w:tcPr>
            <w:tcW w:w="343" w:type="pct"/>
            <w:tcBorders>
              <w:top w:val="double" w:sz="4" w:space="0" w:color="auto"/>
            </w:tcBorders>
            <w:shd w:val="clear" w:color="auto" w:fill="auto"/>
            <w:noWrap/>
            <w:vAlign w:val="center"/>
            <w:hideMark/>
          </w:tcPr>
          <w:p w14:paraId="7F734FA3" w14:textId="77777777" w:rsidR="00EF1948" w:rsidRPr="00EF1948" w:rsidRDefault="00EF1948" w:rsidP="00EF1948">
            <w:pPr>
              <w:jc w:val="center"/>
              <w:rPr>
                <w:b/>
                <w:color w:val="000000"/>
              </w:rPr>
            </w:pPr>
            <w:r w:rsidRPr="00EF1948">
              <w:rPr>
                <w:b/>
              </w:rPr>
              <w:t>1255</w:t>
            </w:r>
          </w:p>
        </w:tc>
        <w:tc>
          <w:tcPr>
            <w:tcW w:w="343" w:type="pct"/>
            <w:tcBorders>
              <w:top w:val="double" w:sz="4" w:space="0" w:color="auto"/>
            </w:tcBorders>
            <w:shd w:val="clear" w:color="auto" w:fill="auto"/>
            <w:noWrap/>
            <w:vAlign w:val="center"/>
            <w:hideMark/>
          </w:tcPr>
          <w:p w14:paraId="05C319AD" w14:textId="77777777" w:rsidR="00EF1948" w:rsidRPr="00EF1948" w:rsidRDefault="00EF1948" w:rsidP="00EF1948">
            <w:pPr>
              <w:jc w:val="center"/>
              <w:rPr>
                <w:color w:val="000000"/>
              </w:rPr>
            </w:pPr>
            <w:r w:rsidRPr="00EF1948">
              <w:rPr>
                <w:color w:val="000000"/>
              </w:rPr>
              <w:t>1266</w:t>
            </w:r>
          </w:p>
        </w:tc>
        <w:tc>
          <w:tcPr>
            <w:tcW w:w="343" w:type="pct"/>
            <w:tcBorders>
              <w:top w:val="double" w:sz="4" w:space="0" w:color="auto"/>
            </w:tcBorders>
            <w:shd w:val="clear" w:color="auto" w:fill="auto"/>
            <w:noWrap/>
            <w:vAlign w:val="center"/>
            <w:hideMark/>
          </w:tcPr>
          <w:p w14:paraId="28BCC642" w14:textId="77777777" w:rsidR="00EF1948" w:rsidRPr="00EF1948" w:rsidRDefault="00EF1948" w:rsidP="00EF1948">
            <w:pPr>
              <w:jc w:val="center"/>
              <w:rPr>
                <w:color w:val="000000"/>
              </w:rPr>
            </w:pPr>
            <w:r w:rsidRPr="00EF1948">
              <w:rPr>
                <w:color w:val="000000"/>
              </w:rPr>
              <w:t>1259</w:t>
            </w:r>
          </w:p>
        </w:tc>
        <w:tc>
          <w:tcPr>
            <w:tcW w:w="343" w:type="pct"/>
            <w:tcBorders>
              <w:top w:val="double" w:sz="4" w:space="0" w:color="auto"/>
            </w:tcBorders>
            <w:shd w:val="clear" w:color="auto" w:fill="auto"/>
            <w:noWrap/>
            <w:vAlign w:val="center"/>
            <w:hideMark/>
          </w:tcPr>
          <w:p w14:paraId="6D0EA598" w14:textId="77777777" w:rsidR="00EF1948" w:rsidRPr="00EF1948" w:rsidRDefault="00EF1948" w:rsidP="00EF1948">
            <w:pPr>
              <w:jc w:val="center"/>
              <w:rPr>
                <w:color w:val="000000"/>
              </w:rPr>
            </w:pPr>
            <w:r w:rsidRPr="00EF1948">
              <w:rPr>
                <w:color w:val="000000"/>
              </w:rPr>
              <w:t>1396</w:t>
            </w:r>
          </w:p>
        </w:tc>
        <w:tc>
          <w:tcPr>
            <w:tcW w:w="343" w:type="pct"/>
            <w:tcBorders>
              <w:top w:val="double" w:sz="4" w:space="0" w:color="auto"/>
            </w:tcBorders>
            <w:shd w:val="clear" w:color="auto" w:fill="auto"/>
            <w:noWrap/>
            <w:vAlign w:val="center"/>
            <w:hideMark/>
          </w:tcPr>
          <w:p w14:paraId="65F3AD54" w14:textId="77777777" w:rsidR="00EF1948" w:rsidRPr="00EF1948" w:rsidRDefault="00EF1948" w:rsidP="00EF1948">
            <w:pPr>
              <w:jc w:val="center"/>
              <w:rPr>
                <w:color w:val="000000"/>
              </w:rPr>
            </w:pPr>
            <w:r w:rsidRPr="00EF1948">
              <w:rPr>
                <w:color w:val="000000"/>
              </w:rPr>
              <w:t>1474</w:t>
            </w:r>
          </w:p>
        </w:tc>
        <w:tc>
          <w:tcPr>
            <w:tcW w:w="343" w:type="pct"/>
            <w:tcBorders>
              <w:top w:val="double" w:sz="4" w:space="0" w:color="auto"/>
            </w:tcBorders>
            <w:shd w:val="clear" w:color="auto" w:fill="auto"/>
            <w:noWrap/>
            <w:vAlign w:val="center"/>
            <w:hideMark/>
          </w:tcPr>
          <w:p w14:paraId="504D6C1F" w14:textId="77777777" w:rsidR="00EF1948" w:rsidRPr="00EF1948" w:rsidRDefault="00EF1948" w:rsidP="00EF1948">
            <w:pPr>
              <w:jc w:val="center"/>
              <w:rPr>
                <w:color w:val="000000"/>
              </w:rPr>
            </w:pPr>
            <w:r w:rsidRPr="00EF1948">
              <w:rPr>
                <w:color w:val="000000"/>
              </w:rPr>
              <w:t>1412</w:t>
            </w:r>
          </w:p>
        </w:tc>
        <w:tc>
          <w:tcPr>
            <w:tcW w:w="343" w:type="pct"/>
            <w:tcBorders>
              <w:top w:val="double" w:sz="4" w:space="0" w:color="auto"/>
            </w:tcBorders>
            <w:shd w:val="clear" w:color="auto" w:fill="auto"/>
            <w:noWrap/>
            <w:vAlign w:val="center"/>
            <w:hideMark/>
          </w:tcPr>
          <w:p w14:paraId="4539BDB9" w14:textId="77777777" w:rsidR="00EF1948" w:rsidRPr="00EF1948" w:rsidRDefault="00EF1948" w:rsidP="00EF1948">
            <w:pPr>
              <w:jc w:val="center"/>
              <w:rPr>
                <w:color w:val="000000"/>
              </w:rPr>
            </w:pPr>
            <w:r w:rsidRPr="00EF1948">
              <w:rPr>
                <w:color w:val="000000"/>
              </w:rPr>
              <w:t>1521</w:t>
            </w:r>
          </w:p>
        </w:tc>
        <w:tc>
          <w:tcPr>
            <w:tcW w:w="343" w:type="pct"/>
            <w:tcBorders>
              <w:top w:val="double" w:sz="4" w:space="0" w:color="auto"/>
            </w:tcBorders>
            <w:shd w:val="clear" w:color="auto" w:fill="auto"/>
            <w:noWrap/>
            <w:vAlign w:val="center"/>
            <w:hideMark/>
          </w:tcPr>
          <w:p w14:paraId="53304197" w14:textId="77777777" w:rsidR="00EF1948" w:rsidRPr="00EF1948" w:rsidRDefault="00EF1948" w:rsidP="00EF1948">
            <w:pPr>
              <w:jc w:val="center"/>
              <w:rPr>
                <w:color w:val="000000"/>
              </w:rPr>
            </w:pPr>
            <w:r w:rsidRPr="00EF1948">
              <w:rPr>
                <w:color w:val="000000"/>
              </w:rPr>
              <w:t>1424</w:t>
            </w:r>
          </w:p>
        </w:tc>
      </w:tr>
      <w:tr w:rsidR="00EF1948" w:rsidRPr="00EF1948" w14:paraId="6C022434" w14:textId="77777777" w:rsidTr="00EF1948">
        <w:trPr>
          <w:trHeight w:val="288"/>
          <w:jc w:val="center"/>
        </w:trPr>
        <w:tc>
          <w:tcPr>
            <w:tcW w:w="882" w:type="pct"/>
            <w:shd w:val="clear" w:color="auto" w:fill="auto"/>
            <w:noWrap/>
            <w:vAlign w:val="center"/>
            <w:hideMark/>
          </w:tcPr>
          <w:p w14:paraId="2C572A35" w14:textId="4423EA24" w:rsidR="00EF1948" w:rsidRPr="00EF1948" w:rsidRDefault="00EF1948" w:rsidP="00EF1948">
            <w:pPr>
              <w:jc w:val="center"/>
              <w:rPr>
                <w:color w:val="000000"/>
              </w:rPr>
            </w:pPr>
            <w:r w:rsidRPr="00EF1948">
              <w:rPr>
                <w:color w:val="000000"/>
              </w:rPr>
              <w:t>1 segundo</w:t>
            </w:r>
            <w:r>
              <w:rPr>
                <w:color w:val="000000"/>
              </w:rPr>
              <w:t xml:space="preserve"> (W/m²)</w:t>
            </w:r>
          </w:p>
        </w:tc>
        <w:tc>
          <w:tcPr>
            <w:tcW w:w="343" w:type="pct"/>
            <w:shd w:val="clear" w:color="auto" w:fill="auto"/>
            <w:noWrap/>
            <w:vAlign w:val="center"/>
            <w:hideMark/>
          </w:tcPr>
          <w:p w14:paraId="26FAF6EA" w14:textId="77777777" w:rsidR="00EF1948" w:rsidRPr="00EF1948" w:rsidRDefault="00EF1948" w:rsidP="00EF1948">
            <w:pPr>
              <w:jc w:val="center"/>
              <w:rPr>
                <w:color w:val="000000"/>
              </w:rPr>
            </w:pPr>
            <w:r w:rsidRPr="00EF1948">
              <w:rPr>
                <w:color w:val="000000"/>
              </w:rPr>
              <w:t>1607</w:t>
            </w:r>
          </w:p>
        </w:tc>
        <w:tc>
          <w:tcPr>
            <w:tcW w:w="343" w:type="pct"/>
            <w:shd w:val="clear" w:color="auto" w:fill="auto"/>
            <w:noWrap/>
            <w:vAlign w:val="center"/>
            <w:hideMark/>
          </w:tcPr>
          <w:p w14:paraId="04DF49AD" w14:textId="77777777" w:rsidR="00EF1948" w:rsidRPr="00EF1948" w:rsidRDefault="00EF1948" w:rsidP="00EF1948">
            <w:pPr>
              <w:jc w:val="center"/>
              <w:rPr>
                <w:color w:val="000000"/>
              </w:rPr>
            </w:pPr>
            <w:r w:rsidRPr="00EF1948">
              <w:rPr>
                <w:color w:val="000000"/>
              </w:rPr>
              <w:t>1593</w:t>
            </w:r>
          </w:p>
        </w:tc>
        <w:tc>
          <w:tcPr>
            <w:tcW w:w="343" w:type="pct"/>
            <w:shd w:val="clear" w:color="auto" w:fill="auto"/>
            <w:noWrap/>
            <w:vAlign w:val="center"/>
            <w:hideMark/>
          </w:tcPr>
          <w:p w14:paraId="051A1D16" w14:textId="77777777" w:rsidR="00EF1948" w:rsidRPr="00EF1948" w:rsidRDefault="00EF1948" w:rsidP="00EF1948">
            <w:pPr>
              <w:jc w:val="center"/>
              <w:rPr>
                <w:color w:val="000000"/>
              </w:rPr>
            </w:pPr>
            <w:r w:rsidRPr="00EF1948">
              <w:rPr>
                <w:color w:val="000000"/>
              </w:rPr>
              <w:t>1569</w:t>
            </w:r>
          </w:p>
        </w:tc>
        <w:tc>
          <w:tcPr>
            <w:tcW w:w="343" w:type="pct"/>
            <w:shd w:val="clear" w:color="auto" w:fill="auto"/>
            <w:noWrap/>
            <w:vAlign w:val="center"/>
            <w:hideMark/>
          </w:tcPr>
          <w:p w14:paraId="55DA810D" w14:textId="77777777" w:rsidR="00EF1948" w:rsidRPr="00EF1948" w:rsidRDefault="00EF1948" w:rsidP="00EF1948">
            <w:pPr>
              <w:jc w:val="center"/>
              <w:rPr>
                <w:color w:val="000000"/>
              </w:rPr>
            </w:pPr>
            <w:r w:rsidRPr="00EF1948">
              <w:rPr>
                <w:color w:val="000000"/>
              </w:rPr>
              <w:t>1512</w:t>
            </w:r>
          </w:p>
        </w:tc>
        <w:tc>
          <w:tcPr>
            <w:tcW w:w="343" w:type="pct"/>
            <w:shd w:val="clear" w:color="auto" w:fill="auto"/>
            <w:noWrap/>
            <w:vAlign w:val="center"/>
            <w:hideMark/>
          </w:tcPr>
          <w:p w14:paraId="3A95A212" w14:textId="77777777" w:rsidR="00EF1948" w:rsidRPr="00EF1948" w:rsidRDefault="00EF1948" w:rsidP="00EF1948">
            <w:pPr>
              <w:jc w:val="center"/>
              <w:rPr>
                <w:b/>
                <w:color w:val="000000"/>
              </w:rPr>
            </w:pPr>
            <w:r w:rsidRPr="00EF1948">
              <w:rPr>
                <w:b/>
                <w:color w:val="000000"/>
              </w:rPr>
              <w:t>1378</w:t>
            </w:r>
          </w:p>
        </w:tc>
        <w:tc>
          <w:tcPr>
            <w:tcW w:w="343" w:type="pct"/>
            <w:shd w:val="clear" w:color="auto" w:fill="auto"/>
            <w:noWrap/>
            <w:vAlign w:val="center"/>
            <w:hideMark/>
          </w:tcPr>
          <w:p w14:paraId="197757EB" w14:textId="77777777" w:rsidR="00EF1948" w:rsidRPr="00EF1948" w:rsidRDefault="00EF1948" w:rsidP="00EF1948">
            <w:pPr>
              <w:jc w:val="center"/>
              <w:rPr>
                <w:color w:val="000000"/>
              </w:rPr>
            </w:pPr>
            <w:r w:rsidRPr="00EF1948">
              <w:rPr>
                <w:color w:val="000000"/>
              </w:rPr>
              <w:t>1390</w:t>
            </w:r>
          </w:p>
        </w:tc>
        <w:tc>
          <w:tcPr>
            <w:tcW w:w="343" w:type="pct"/>
            <w:shd w:val="clear" w:color="auto" w:fill="auto"/>
            <w:noWrap/>
            <w:vAlign w:val="center"/>
            <w:hideMark/>
          </w:tcPr>
          <w:p w14:paraId="1274A1E0" w14:textId="77777777" w:rsidR="00EF1948" w:rsidRPr="00EF1948" w:rsidRDefault="00EF1948" w:rsidP="00EF1948">
            <w:pPr>
              <w:jc w:val="center"/>
              <w:rPr>
                <w:color w:val="000000"/>
              </w:rPr>
            </w:pPr>
            <w:r w:rsidRPr="00EF1948">
              <w:rPr>
                <w:color w:val="000000"/>
              </w:rPr>
              <w:t>1500</w:t>
            </w:r>
          </w:p>
        </w:tc>
        <w:tc>
          <w:tcPr>
            <w:tcW w:w="343" w:type="pct"/>
            <w:shd w:val="clear" w:color="auto" w:fill="auto"/>
            <w:noWrap/>
            <w:vAlign w:val="center"/>
            <w:hideMark/>
          </w:tcPr>
          <w:p w14:paraId="1F72B723" w14:textId="77777777" w:rsidR="00EF1948" w:rsidRPr="00EF1948" w:rsidRDefault="00EF1948" w:rsidP="00EF1948">
            <w:pPr>
              <w:jc w:val="center"/>
              <w:rPr>
                <w:color w:val="000000"/>
              </w:rPr>
            </w:pPr>
            <w:r w:rsidRPr="00EF1948">
              <w:rPr>
                <w:color w:val="000000"/>
              </w:rPr>
              <w:t>1483</w:t>
            </w:r>
          </w:p>
        </w:tc>
        <w:tc>
          <w:tcPr>
            <w:tcW w:w="343" w:type="pct"/>
            <w:shd w:val="clear" w:color="auto" w:fill="auto"/>
            <w:noWrap/>
            <w:vAlign w:val="center"/>
            <w:hideMark/>
          </w:tcPr>
          <w:p w14:paraId="0EE88C5D" w14:textId="77777777" w:rsidR="00EF1948" w:rsidRPr="00EF1948" w:rsidRDefault="00EF1948" w:rsidP="00EF1948">
            <w:pPr>
              <w:jc w:val="center"/>
              <w:rPr>
                <w:color w:val="000000"/>
              </w:rPr>
            </w:pPr>
            <w:r w:rsidRPr="00EF1948">
              <w:rPr>
                <w:color w:val="000000"/>
              </w:rPr>
              <w:t>1533</w:t>
            </w:r>
          </w:p>
        </w:tc>
        <w:tc>
          <w:tcPr>
            <w:tcW w:w="343" w:type="pct"/>
            <w:shd w:val="clear" w:color="auto" w:fill="auto"/>
            <w:noWrap/>
            <w:vAlign w:val="center"/>
            <w:hideMark/>
          </w:tcPr>
          <w:p w14:paraId="0A5D8CAD" w14:textId="77777777" w:rsidR="00EF1948" w:rsidRPr="00EF1948" w:rsidRDefault="00EF1948" w:rsidP="00EF1948">
            <w:pPr>
              <w:jc w:val="center"/>
              <w:rPr>
                <w:color w:val="000000"/>
              </w:rPr>
            </w:pPr>
            <w:r w:rsidRPr="00EF1948">
              <w:rPr>
                <w:color w:val="000000"/>
              </w:rPr>
              <w:t>1515</w:t>
            </w:r>
          </w:p>
        </w:tc>
        <w:tc>
          <w:tcPr>
            <w:tcW w:w="343" w:type="pct"/>
            <w:shd w:val="clear" w:color="auto" w:fill="auto"/>
            <w:noWrap/>
            <w:vAlign w:val="center"/>
            <w:hideMark/>
          </w:tcPr>
          <w:p w14:paraId="41EA87DD" w14:textId="77777777" w:rsidR="00EF1948" w:rsidRPr="00EF1948" w:rsidRDefault="00EF1948" w:rsidP="00EF1948">
            <w:pPr>
              <w:jc w:val="center"/>
              <w:rPr>
                <w:b/>
                <w:color w:val="000000"/>
              </w:rPr>
            </w:pPr>
            <w:r w:rsidRPr="00EF1948">
              <w:rPr>
                <w:b/>
                <w:color w:val="000000"/>
              </w:rPr>
              <w:t>1654</w:t>
            </w:r>
          </w:p>
        </w:tc>
        <w:tc>
          <w:tcPr>
            <w:tcW w:w="343" w:type="pct"/>
            <w:shd w:val="clear" w:color="auto" w:fill="auto"/>
            <w:noWrap/>
            <w:vAlign w:val="center"/>
            <w:hideMark/>
          </w:tcPr>
          <w:p w14:paraId="5D6AF9E8" w14:textId="77777777" w:rsidR="00EF1948" w:rsidRPr="00EF1948" w:rsidRDefault="00EF1948" w:rsidP="00EF1948">
            <w:pPr>
              <w:jc w:val="center"/>
              <w:rPr>
                <w:color w:val="000000"/>
              </w:rPr>
            </w:pPr>
            <w:r w:rsidRPr="00EF1948">
              <w:rPr>
                <w:color w:val="000000"/>
              </w:rPr>
              <w:t>1575</w:t>
            </w:r>
          </w:p>
        </w:tc>
      </w:tr>
      <w:tr w:rsidR="00EF1948" w:rsidRPr="00EF1948" w14:paraId="5A84570F" w14:textId="77777777" w:rsidTr="00EF1948">
        <w:trPr>
          <w:trHeight w:val="288"/>
          <w:jc w:val="center"/>
        </w:trPr>
        <w:tc>
          <w:tcPr>
            <w:tcW w:w="882" w:type="pct"/>
            <w:shd w:val="clear" w:color="auto" w:fill="auto"/>
            <w:noWrap/>
            <w:vAlign w:val="center"/>
            <w:hideMark/>
          </w:tcPr>
          <w:p w14:paraId="2933C073" w14:textId="582D9B80" w:rsidR="00EF1948" w:rsidRPr="00EF1948" w:rsidRDefault="00EF1948" w:rsidP="00EF1948">
            <w:pPr>
              <w:jc w:val="center"/>
              <w:rPr>
                <w:color w:val="000000"/>
              </w:rPr>
            </w:pPr>
            <w:r>
              <w:rPr>
                <w:color w:val="000000"/>
              </w:rPr>
              <w:t>D</w:t>
            </w:r>
            <w:r w:rsidRPr="00EF1948">
              <w:rPr>
                <w:color w:val="000000"/>
              </w:rPr>
              <w:t>iferença entre as resoluções</w:t>
            </w:r>
            <w:r>
              <w:rPr>
                <w:color w:val="000000"/>
              </w:rPr>
              <w:t xml:space="preserve"> (%)</w:t>
            </w:r>
          </w:p>
        </w:tc>
        <w:tc>
          <w:tcPr>
            <w:tcW w:w="343" w:type="pct"/>
            <w:shd w:val="clear" w:color="auto" w:fill="auto"/>
            <w:noWrap/>
            <w:vAlign w:val="center"/>
            <w:hideMark/>
          </w:tcPr>
          <w:p w14:paraId="416AC26F" w14:textId="77777777" w:rsidR="00EF1948" w:rsidRPr="00EF1948" w:rsidRDefault="00EF1948" w:rsidP="00EF1948">
            <w:pPr>
              <w:jc w:val="center"/>
              <w:rPr>
                <w:color w:val="000000"/>
              </w:rPr>
            </w:pPr>
            <w:r w:rsidRPr="00EF1948">
              <w:rPr>
                <w:color w:val="000000"/>
              </w:rPr>
              <w:t>5,0%</w:t>
            </w:r>
          </w:p>
        </w:tc>
        <w:tc>
          <w:tcPr>
            <w:tcW w:w="343" w:type="pct"/>
            <w:shd w:val="clear" w:color="auto" w:fill="auto"/>
            <w:noWrap/>
            <w:vAlign w:val="center"/>
            <w:hideMark/>
          </w:tcPr>
          <w:p w14:paraId="37B2012E" w14:textId="77777777" w:rsidR="00EF1948" w:rsidRPr="00EF1948" w:rsidRDefault="00EF1948" w:rsidP="00EF1948">
            <w:pPr>
              <w:jc w:val="center"/>
              <w:rPr>
                <w:color w:val="000000"/>
              </w:rPr>
            </w:pPr>
            <w:r w:rsidRPr="00EF1948">
              <w:rPr>
                <w:color w:val="000000"/>
              </w:rPr>
              <w:t>7,7%</w:t>
            </w:r>
          </w:p>
        </w:tc>
        <w:tc>
          <w:tcPr>
            <w:tcW w:w="343" w:type="pct"/>
            <w:shd w:val="clear" w:color="auto" w:fill="auto"/>
            <w:noWrap/>
            <w:vAlign w:val="center"/>
            <w:hideMark/>
          </w:tcPr>
          <w:p w14:paraId="42E407EB" w14:textId="77777777" w:rsidR="00EF1948" w:rsidRPr="00EF1948" w:rsidRDefault="00EF1948" w:rsidP="00EF1948">
            <w:pPr>
              <w:jc w:val="center"/>
              <w:rPr>
                <w:color w:val="000000"/>
              </w:rPr>
            </w:pPr>
            <w:r w:rsidRPr="00EF1948">
              <w:rPr>
                <w:color w:val="000000"/>
              </w:rPr>
              <w:t>4,4%</w:t>
            </w:r>
          </w:p>
        </w:tc>
        <w:tc>
          <w:tcPr>
            <w:tcW w:w="343" w:type="pct"/>
            <w:shd w:val="clear" w:color="auto" w:fill="auto"/>
            <w:noWrap/>
            <w:vAlign w:val="center"/>
            <w:hideMark/>
          </w:tcPr>
          <w:p w14:paraId="4110A3C7" w14:textId="77777777" w:rsidR="00EF1948" w:rsidRPr="00EF1948" w:rsidRDefault="00EF1948" w:rsidP="00EF1948">
            <w:pPr>
              <w:jc w:val="center"/>
              <w:rPr>
                <w:color w:val="000000"/>
              </w:rPr>
            </w:pPr>
            <w:r w:rsidRPr="00EF1948">
              <w:rPr>
                <w:color w:val="000000"/>
              </w:rPr>
              <w:t>2,1%</w:t>
            </w:r>
          </w:p>
        </w:tc>
        <w:tc>
          <w:tcPr>
            <w:tcW w:w="343" w:type="pct"/>
            <w:shd w:val="clear" w:color="auto" w:fill="auto"/>
            <w:noWrap/>
            <w:vAlign w:val="center"/>
            <w:hideMark/>
          </w:tcPr>
          <w:p w14:paraId="3667E83A" w14:textId="77777777" w:rsidR="00EF1948" w:rsidRPr="00EF1948" w:rsidRDefault="00EF1948" w:rsidP="00EF1948">
            <w:pPr>
              <w:jc w:val="center"/>
              <w:rPr>
                <w:color w:val="000000"/>
              </w:rPr>
            </w:pPr>
            <w:r w:rsidRPr="00EF1948">
              <w:rPr>
                <w:color w:val="000000"/>
              </w:rPr>
              <w:t>8,9%</w:t>
            </w:r>
          </w:p>
        </w:tc>
        <w:tc>
          <w:tcPr>
            <w:tcW w:w="343" w:type="pct"/>
            <w:shd w:val="clear" w:color="auto" w:fill="auto"/>
            <w:noWrap/>
            <w:vAlign w:val="center"/>
            <w:hideMark/>
          </w:tcPr>
          <w:p w14:paraId="4B44D83B" w14:textId="77777777" w:rsidR="00EF1948" w:rsidRPr="00EF1948" w:rsidRDefault="00EF1948" w:rsidP="00EF1948">
            <w:pPr>
              <w:jc w:val="center"/>
              <w:rPr>
                <w:color w:val="000000"/>
              </w:rPr>
            </w:pPr>
            <w:r w:rsidRPr="00EF1948">
              <w:rPr>
                <w:color w:val="000000"/>
              </w:rPr>
              <w:t>8,9%</w:t>
            </w:r>
          </w:p>
        </w:tc>
        <w:tc>
          <w:tcPr>
            <w:tcW w:w="343" w:type="pct"/>
            <w:shd w:val="clear" w:color="auto" w:fill="auto"/>
            <w:noWrap/>
            <w:vAlign w:val="center"/>
            <w:hideMark/>
          </w:tcPr>
          <w:p w14:paraId="2B281D23" w14:textId="77777777" w:rsidR="00EF1948" w:rsidRPr="00EF1948" w:rsidRDefault="00EF1948" w:rsidP="00EF1948">
            <w:pPr>
              <w:jc w:val="center"/>
              <w:rPr>
                <w:color w:val="000000"/>
              </w:rPr>
            </w:pPr>
            <w:r w:rsidRPr="00EF1948">
              <w:rPr>
                <w:color w:val="000000"/>
              </w:rPr>
              <w:t>16,1%</w:t>
            </w:r>
          </w:p>
        </w:tc>
        <w:tc>
          <w:tcPr>
            <w:tcW w:w="343" w:type="pct"/>
            <w:shd w:val="clear" w:color="auto" w:fill="auto"/>
            <w:noWrap/>
            <w:vAlign w:val="center"/>
            <w:hideMark/>
          </w:tcPr>
          <w:p w14:paraId="3CF2890E" w14:textId="77777777" w:rsidR="00EF1948" w:rsidRPr="00EF1948" w:rsidRDefault="00EF1948" w:rsidP="00EF1948">
            <w:pPr>
              <w:jc w:val="center"/>
              <w:rPr>
                <w:color w:val="000000"/>
              </w:rPr>
            </w:pPr>
            <w:r w:rsidRPr="00EF1948">
              <w:rPr>
                <w:color w:val="000000"/>
              </w:rPr>
              <w:t>5,9%</w:t>
            </w:r>
          </w:p>
        </w:tc>
        <w:tc>
          <w:tcPr>
            <w:tcW w:w="343" w:type="pct"/>
            <w:shd w:val="clear" w:color="auto" w:fill="auto"/>
            <w:noWrap/>
            <w:vAlign w:val="center"/>
            <w:hideMark/>
          </w:tcPr>
          <w:p w14:paraId="3F80A08C" w14:textId="77777777" w:rsidR="00EF1948" w:rsidRPr="00EF1948" w:rsidRDefault="00EF1948" w:rsidP="00EF1948">
            <w:pPr>
              <w:jc w:val="center"/>
              <w:rPr>
                <w:color w:val="000000"/>
              </w:rPr>
            </w:pPr>
            <w:r w:rsidRPr="00EF1948">
              <w:rPr>
                <w:color w:val="000000"/>
              </w:rPr>
              <w:t>3,8%</w:t>
            </w:r>
          </w:p>
        </w:tc>
        <w:tc>
          <w:tcPr>
            <w:tcW w:w="343" w:type="pct"/>
            <w:shd w:val="clear" w:color="auto" w:fill="auto"/>
            <w:noWrap/>
            <w:vAlign w:val="center"/>
            <w:hideMark/>
          </w:tcPr>
          <w:p w14:paraId="449BF91F" w14:textId="77777777" w:rsidR="00EF1948" w:rsidRPr="00EF1948" w:rsidRDefault="00EF1948" w:rsidP="00EF1948">
            <w:pPr>
              <w:jc w:val="center"/>
              <w:rPr>
                <w:color w:val="000000"/>
              </w:rPr>
            </w:pPr>
            <w:r w:rsidRPr="00EF1948">
              <w:rPr>
                <w:color w:val="000000"/>
              </w:rPr>
              <w:t>6,8%</w:t>
            </w:r>
          </w:p>
        </w:tc>
        <w:tc>
          <w:tcPr>
            <w:tcW w:w="343" w:type="pct"/>
            <w:shd w:val="clear" w:color="auto" w:fill="auto"/>
            <w:noWrap/>
            <w:vAlign w:val="center"/>
            <w:hideMark/>
          </w:tcPr>
          <w:p w14:paraId="2EB0E112" w14:textId="77777777" w:rsidR="00EF1948" w:rsidRPr="00EF1948" w:rsidRDefault="00EF1948" w:rsidP="00EF1948">
            <w:pPr>
              <w:jc w:val="center"/>
              <w:rPr>
                <w:color w:val="000000"/>
              </w:rPr>
            </w:pPr>
            <w:r w:rsidRPr="00EF1948">
              <w:rPr>
                <w:color w:val="000000"/>
              </w:rPr>
              <w:t>8,0%</w:t>
            </w:r>
          </w:p>
        </w:tc>
        <w:tc>
          <w:tcPr>
            <w:tcW w:w="343" w:type="pct"/>
            <w:shd w:val="clear" w:color="auto" w:fill="auto"/>
            <w:noWrap/>
            <w:vAlign w:val="center"/>
            <w:hideMark/>
          </w:tcPr>
          <w:p w14:paraId="52B73BF7" w14:textId="77777777" w:rsidR="00EF1948" w:rsidRPr="00EF1948" w:rsidRDefault="00EF1948" w:rsidP="00EF1948">
            <w:pPr>
              <w:jc w:val="center"/>
              <w:rPr>
                <w:color w:val="000000"/>
              </w:rPr>
            </w:pPr>
            <w:r w:rsidRPr="00EF1948">
              <w:rPr>
                <w:color w:val="000000"/>
              </w:rPr>
              <w:t>9,6%</w:t>
            </w:r>
          </w:p>
        </w:tc>
      </w:tr>
    </w:tbl>
    <w:p w14:paraId="7CCF700C" w14:textId="77777777" w:rsidR="00EF1948" w:rsidRDefault="00EF1948" w:rsidP="00933597">
      <w:pPr>
        <w:tabs>
          <w:tab w:val="left" w:pos="426"/>
        </w:tabs>
        <w:jc w:val="both"/>
        <w:rPr>
          <w:color w:val="000000" w:themeColor="text1"/>
        </w:rPr>
      </w:pPr>
    </w:p>
    <w:p w14:paraId="4523DD41" w14:textId="16AB0ECD" w:rsidR="00444E7C" w:rsidRPr="00981430" w:rsidRDefault="00702F21" w:rsidP="00ED1330">
      <w:pPr>
        <w:tabs>
          <w:tab w:val="left" w:pos="426"/>
        </w:tabs>
        <w:jc w:val="both"/>
        <w:rPr>
          <w:color w:val="000000" w:themeColor="text1"/>
        </w:rPr>
      </w:pPr>
      <w:r>
        <w:rPr>
          <w:color w:val="000000" w:themeColor="text1"/>
        </w:rPr>
        <w:tab/>
      </w:r>
      <w:r w:rsidR="00AC0726" w:rsidRPr="00981430">
        <w:rPr>
          <w:color w:val="000000" w:themeColor="text1"/>
        </w:rPr>
        <w:t xml:space="preserve">O perfil da radiação solar do dia com o maior evento </w:t>
      </w:r>
      <w:r w:rsidR="00444E7C" w:rsidRPr="00981430">
        <w:rPr>
          <w:color w:val="000000" w:themeColor="text1"/>
        </w:rPr>
        <w:t xml:space="preserve">de sobreirradiância </w:t>
      </w:r>
      <w:r w:rsidR="00AC0726" w:rsidRPr="00981430">
        <w:rPr>
          <w:color w:val="000000" w:themeColor="text1"/>
        </w:rPr>
        <w:t xml:space="preserve">registrado </w:t>
      </w:r>
      <w:r w:rsidR="00444E7C" w:rsidRPr="00981430">
        <w:rPr>
          <w:color w:val="000000" w:themeColor="text1"/>
        </w:rPr>
        <w:t xml:space="preserve">na resolução de segundos é apresentado na Fig. </w:t>
      </w:r>
      <w:r w:rsidR="007B0A30">
        <w:rPr>
          <w:color w:val="000000" w:themeColor="text1"/>
        </w:rPr>
        <w:t>7</w:t>
      </w:r>
      <w:r w:rsidR="00444E7C" w:rsidRPr="00981430">
        <w:rPr>
          <w:color w:val="000000" w:themeColor="text1"/>
        </w:rPr>
        <w:t xml:space="preserve">(a) e o instante do evento é exibido na Fig. </w:t>
      </w:r>
      <w:r w:rsidR="007B0A30">
        <w:rPr>
          <w:color w:val="000000" w:themeColor="text1"/>
        </w:rPr>
        <w:t>7</w:t>
      </w:r>
      <w:r w:rsidR="00444E7C" w:rsidRPr="00981430">
        <w:rPr>
          <w:color w:val="000000" w:themeColor="text1"/>
        </w:rPr>
        <w:t>(b).</w:t>
      </w:r>
      <w:r w:rsidR="00933597" w:rsidRPr="00981430">
        <w:rPr>
          <w:color w:val="000000" w:themeColor="text1"/>
        </w:rPr>
        <w:t xml:space="preserve"> Ao analisar o perfil da irradiância é observado que em vários períodos do dia a intensidade da irradiância supera a irradiância estima</w:t>
      </w:r>
      <w:r w:rsidR="00EF1948">
        <w:rPr>
          <w:color w:val="000000" w:themeColor="text1"/>
        </w:rPr>
        <w:t>da</w:t>
      </w:r>
      <w:r w:rsidR="00933597" w:rsidRPr="00981430">
        <w:rPr>
          <w:color w:val="000000" w:themeColor="text1"/>
        </w:rPr>
        <w:t xml:space="preserve"> para o dia de céu claro, contudo só durante alguns instantes a irradiância medida na superfície supera a irradiância no topo da atmosfera (</w:t>
      </w:r>
      <m:oMath>
        <m:sSub>
          <m:sSubPr>
            <m:ctrlPr>
              <w:rPr>
                <w:rFonts w:ascii="Cambria Math" w:hAnsi="Cambria Math"/>
                <w:i/>
              </w:rPr>
            </m:ctrlPr>
          </m:sSubPr>
          <m:e>
            <m:r>
              <w:rPr>
                <w:rFonts w:ascii="Cambria Math" w:hAnsi="Cambria Math"/>
              </w:rPr>
              <m:t>I</m:t>
            </m:r>
          </m:e>
          <m:sub>
            <m:r>
              <w:rPr>
                <w:rFonts w:ascii="Cambria Math" w:hAnsi="Cambria Math"/>
              </w:rPr>
              <m:t>oh</m:t>
            </m:r>
          </m:sub>
        </m:sSub>
      </m:oMath>
      <w:r w:rsidR="00933597" w:rsidRPr="00981430">
        <w:rPr>
          <w:color w:val="000000" w:themeColor="text1"/>
        </w:rPr>
        <w:t xml:space="preserve">). Um desses momentos, aconteceu às 12 horas, 4 minutos </w:t>
      </w:r>
      <w:r w:rsidR="00ED1330" w:rsidRPr="00981430">
        <w:rPr>
          <w:color w:val="000000" w:themeColor="text1"/>
        </w:rPr>
        <w:t xml:space="preserve">e </w:t>
      </w:r>
      <w:r w:rsidR="00933597" w:rsidRPr="00981430">
        <w:rPr>
          <w:color w:val="000000" w:themeColor="text1"/>
        </w:rPr>
        <w:t>38 segundos do dia 5 de novembro de 2022</w:t>
      </w:r>
      <w:r w:rsidR="00ED1330" w:rsidRPr="00981430">
        <w:rPr>
          <w:color w:val="000000" w:themeColor="text1"/>
        </w:rPr>
        <w:t>, dia este que a irradiância na superfície atingiu a marca de 1654 W/m².</w:t>
      </w:r>
    </w:p>
    <w:p w14:paraId="4793F55D" w14:textId="3F6931B9" w:rsidR="0003043E" w:rsidRPr="00AC0726" w:rsidRDefault="0003043E">
      <w:pPr>
        <w:tabs>
          <w:tab w:val="left" w:pos="426"/>
        </w:tabs>
        <w:rPr>
          <w:color w:val="C00000"/>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9"/>
        <w:gridCol w:w="4830"/>
      </w:tblGrid>
      <w:tr w:rsidR="0003043E" w14:paraId="7C3F83EC" w14:textId="77777777" w:rsidTr="00EF1948">
        <w:trPr>
          <w:trHeight w:val="3576"/>
        </w:trPr>
        <w:tc>
          <w:tcPr>
            <w:tcW w:w="4809" w:type="dxa"/>
            <w:vAlign w:val="center"/>
          </w:tcPr>
          <w:p w14:paraId="3BE707ED" w14:textId="54E451CB" w:rsidR="0003043E" w:rsidRDefault="0003043E" w:rsidP="0003043E">
            <w:pPr>
              <w:tabs>
                <w:tab w:val="left" w:pos="426"/>
              </w:tabs>
              <w:jc w:val="center"/>
            </w:pPr>
            <w:r>
              <w:rPr>
                <w:noProof/>
              </w:rPr>
              <w:drawing>
                <wp:inline distT="0" distB="0" distL="0" distR="0" wp14:anchorId="5622BD4D" wp14:editId="0DC503AC">
                  <wp:extent cx="2693970" cy="216000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93970" cy="2160000"/>
                          </a:xfrm>
                          <a:prstGeom prst="rect">
                            <a:avLst/>
                          </a:prstGeom>
                          <a:noFill/>
                          <a:ln>
                            <a:noFill/>
                          </a:ln>
                        </pic:spPr>
                      </pic:pic>
                    </a:graphicData>
                  </a:graphic>
                </wp:inline>
              </w:drawing>
            </w:r>
          </w:p>
        </w:tc>
        <w:tc>
          <w:tcPr>
            <w:tcW w:w="4830" w:type="dxa"/>
            <w:vAlign w:val="center"/>
          </w:tcPr>
          <w:p w14:paraId="2927F06E" w14:textId="2AA69167" w:rsidR="0003043E" w:rsidRDefault="0003043E" w:rsidP="0003043E">
            <w:pPr>
              <w:tabs>
                <w:tab w:val="left" w:pos="426"/>
              </w:tabs>
              <w:jc w:val="center"/>
            </w:pPr>
            <w:r>
              <w:rPr>
                <w:noProof/>
              </w:rPr>
              <w:drawing>
                <wp:inline distT="0" distB="0" distL="0" distR="0" wp14:anchorId="7FB4D17D" wp14:editId="08E5C510">
                  <wp:extent cx="2765826" cy="2160000"/>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5826" cy="2160000"/>
                          </a:xfrm>
                          <a:prstGeom prst="rect">
                            <a:avLst/>
                          </a:prstGeom>
                          <a:noFill/>
                          <a:ln>
                            <a:noFill/>
                          </a:ln>
                        </pic:spPr>
                      </pic:pic>
                    </a:graphicData>
                  </a:graphic>
                </wp:inline>
              </w:drawing>
            </w:r>
          </w:p>
        </w:tc>
      </w:tr>
      <w:tr w:rsidR="0003043E" w14:paraId="75790B67" w14:textId="77777777" w:rsidTr="00EF1948">
        <w:tc>
          <w:tcPr>
            <w:tcW w:w="4809" w:type="dxa"/>
            <w:vAlign w:val="center"/>
          </w:tcPr>
          <w:p w14:paraId="2BB4FE61" w14:textId="5E5AABCE" w:rsidR="0003043E" w:rsidRDefault="0003043E" w:rsidP="0003043E">
            <w:pPr>
              <w:tabs>
                <w:tab w:val="left" w:pos="426"/>
              </w:tabs>
              <w:jc w:val="center"/>
            </w:pPr>
            <w:r>
              <w:t>(a)</w:t>
            </w:r>
          </w:p>
        </w:tc>
        <w:tc>
          <w:tcPr>
            <w:tcW w:w="4830" w:type="dxa"/>
            <w:vAlign w:val="center"/>
          </w:tcPr>
          <w:p w14:paraId="598F9CA3" w14:textId="076C843B" w:rsidR="0003043E" w:rsidRDefault="0003043E" w:rsidP="00F35595">
            <w:pPr>
              <w:keepNext/>
              <w:tabs>
                <w:tab w:val="left" w:pos="426"/>
              </w:tabs>
              <w:jc w:val="center"/>
            </w:pPr>
            <w:r>
              <w:t>(b)</w:t>
            </w:r>
          </w:p>
        </w:tc>
      </w:tr>
    </w:tbl>
    <w:p w14:paraId="3BEE3860" w14:textId="77684BD0" w:rsidR="00093917" w:rsidRDefault="00F35595" w:rsidP="00C40635">
      <w:pPr>
        <w:pStyle w:val="Legendas"/>
      </w:pPr>
      <w:r>
        <w:t xml:space="preserve">Figura </w:t>
      </w:r>
      <w:r w:rsidR="007B0A30">
        <w:t>7</w:t>
      </w:r>
      <w:r>
        <w:t xml:space="preserve"> - (a) Perfil da radiação solar do dia com o maior evento registrado e (b) instante do maior evento registrado.</w:t>
      </w:r>
    </w:p>
    <w:p w14:paraId="75199E28" w14:textId="77777777" w:rsidR="00FE39A6" w:rsidRDefault="00FE39A6" w:rsidP="00005ED5">
      <w:pPr>
        <w:tabs>
          <w:tab w:val="left" w:pos="426"/>
        </w:tabs>
        <w:jc w:val="both"/>
        <w:rPr>
          <w:color w:val="C00000"/>
        </w:rPr>
      </w:pPr>
    </w:p>
    <w:p w14:paraId="6E673B8C" w14:textId="3AF6F443" w:rsidR="00FE39A6" w:rsidRPr="00981430" w:rsidRDefault="00702F21" w:rsidP="00005ED5">
      <w:pPr>
        <w:tabs>
          <w:tab w:val="left" w:pos="426"/>
        </w:tabs>
        <w:jc w:val="both"/>
        <w:rPr>
          <w:color w:val="000000" w:themeColor="text1"/>
        </w:rPr>
      </w:pPr>
      <w:r>
        <w:rPr>
          <w:color w:val="000000" w:themeColor="text1"/>
        </w:rPr>
        <w:tab/>
      </w:r>
      <w:r w:rsidR="00FE39A6" w:rsidRPr="00981430">
        <w:rPr>
          <w:color w:val="000000" w:themeColor="text1"/>
        </w:rPr>
        <w:t xml:space="preserve">A representação do maior tempo de duração de eventos de sobreirradiância registrado a cada mês na resolução de segundos, é apresentado na Fig. </w:t>
      </w:r>
      <w:r w:rsidR="007B0A30">
        <w:rPr>
          <w:color w:val="000000" w:themeColor="text1"/>
        </w:rPr>
        <w:t>8</w:t>
      </w:r>
      <w:r w:rsidR="00FE39A6" w:rsidRPr="00981430">
        <w:rPr>
          <w:color w:val="000000" w:themeColor="text1"/>
        </w:rPr>
        <w:t xml:space="preserve">, na qual é possível de analisar a ocorrência de um evento com longa duração no mês de abril. Tal evento possuiu a duração de 326 segundos, sendo o evento de maior duração registrado pela estação solarimétrica. Seguidamente, o mês de março apresentou um evento com duração de 259 segundos e, no mês de maio, foi registrado um evento de 234 segundos.  </w:t>
      </w:r>
    </w:p>
    <w:p w14:paraId="3960722A" w14:textId="77777777" w:rsidR="00ED1330" w:rsidRPr="00651B25" w:rsidRDefault="00ED1330" w:rsidP="00005ED5">
      <w:pPr>
        <w:tabs>
          <w:tab w:val="left" w:pos="426"/>
        </w:tabs>
        <w:jc w:val="both"/>
        <w:rPr>
          <w:color w:val="C00000"/>
        </w:rPr>
      </w:pPr>
    </w:p>
    <w:p w14:paraId="5304C5F1" w14:textId="77777777" w:rsidR="00C40635" w:rsidRDefault="00FC4160" w:rsidP="00C40635">
      <w:pPr>
        <w:keepNext/>
        <w:tabs>
          <w:tab w:val="left" w:pos="426"/>
        </w:tabs>
      </w:pPr>
      <w:r>
        <w:rPr>
          <w:noProof/>
        </w:rPr>
        <w:lastRenderedPageBreak/>
        <w:drawing>
          <wp:inline distT="0" distB="0" distL="0" distR="0" wp14:anchorId="24FA6ABE" wp14:editId="4B6BAB5B">
            <wp:extent cx="6120765" cy="1440000"/>
            <wp:effectExtent l="0" t="0" r="0" b="8255"/>
            <wp:docPr id="6" name="Gráfico 6">
              <a:extLst xmlns:a="http://schemas.openxmlformats.org/drawingml/2006/main">
                <a:ext uri="{FF2B5EF4-FFF2-40B4-BE49-F238E27FC236}">
                  <a16:creationId xmlns:a16="http://schemas.microsoft.com/office/drawing/2014/main" id="{B47EBAF8-4233-4A80-A49E-ED0E60C86F9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0B48801" w14:textId="020CA0F9" w:rsidR="00FC4160" w:rsidRDefault="00C40635" w:rsidP="00C40635">
      <w:pPr>
        <w:pStyle w:val="Legendas"/>
      </w:pPr>
      <w:r>
        <w:t xml:space="preserve">Figura </w:t>
      </w:r>
      <w:r w:rsidR="007B0A30">
        <w:t>8</w:t>
      </w:r>
      <w:r>
        <w:t xml:space="preserve"> - Representação do maior tempo de duração de eventos de sobreirradiância registrado a cada mês.</w:t>
      </w:r>
    </w:p>
    <w:p w14:paraId="586AC1CA" w14:textId="7A0A4D5F" w:rsidR="00FC4160" w:rsidRDefault="00FC4160">
      <w:pPr>
        <w:tabs>
          <w:tab w:val="left" w:pos="426"/>
        </w:tabs>
      </w:pPr>
    </w:p>
    <w:p w14:paraId="48359507" w14:textId="76B536F7" w:rsidR="00FE39A6" w:rsidRDefault="00702F21" w:rsidP="00BF41F1">
      <w:pPr>
        <w:tabs>
          <w:tab w:val="left" w:pos="426"/>
        </w:tabs>
        <w:jc w:val="both"/>
        <w:rPr>
          <w:color w:val="000000" w:themeColor="text1"/>
        </w:rPr>
      </w:pPr>
      <w:r>
        <w:rPr>
          <w:color w:val="000000" w:themeColor="text1"/>
        </w:rPr>
        <w:tab/>
      </w:r>
      <w:r w:rsidR="00FE39A6" w:rsidRPr="00981430">
        <w:rPr>
          <w:color w:val="000000" w:themeColor="text1"/>
        </w:rPr>
        <w:t xml:space="preserve">Na Fig. </w:t>
      </w:r>
      <w:r w:rsidR="007B0A30">
        <w:rPr>
          <w:color w:val="000000" w:themeColor="text1"/>
        </w:rPr>
        <w:t>9</w:t>
      </w:r>
      <w:r w:rsidR="00FE39A6" w:rsidRPr="00981430">
        <w:rPr>
          <w:color w:val="000000" w:themeColor="text1"/>
        </w:rPr>
        <w:t xml:space="preserve"> é ilustrado o perfil diário </w:t>
      </w:r>
      <w:r w:rsidR="00E74C81" w:rsidRPr="00981430">
        <w:rPr>
          <w:color w:val="000000" w:themeColor="text1"/>
        </w:rPr>
        <w:t xml:space="preserve">da irradiância no dia 16 de abril de 2022, dia este que ocorreu o evento de maior duração. Na Fig. </w:t>
      </w:r>
      <w:r w:rsidR="007B0A30">
        <w:rPr>
          <w:color w:val="000000" w:themeColor="text1"/>
        </w:rPr>
        <w:t>9</w:t>
      </w:r>
      <w:r w:rsidR="00E74C81" w:rsidRPr="00981430">
        <w:rPr>
          <w:color w:val="000000" w:themeColor="text1"/>
        </w:rPr>
        <w:t>(b) é destacado, em vermelho, o instante da ocorrência do evento de maior duração, que aconteceu as 9:36:31s e foi até as 9:41:57s com uma duração total de 326 segundos. O valor máximo da irradiância desse evento foi de 1177 W/m², com a média de 1153 W/m².</w:t>
      </w:r>
    </w:p>
    <w:p w14:paraId="29AB9300" w14:textId="77777777" w:rsidR="00EF1948" w:rsidRPr="00981430" w:rsidRDefault="00EF1948" w:rsidP="00BF41F1">
      <w:pPr>
        <w:tabs>
          <w:tab w:val="left" w:pos="426"/>
        </w:tabs>
        <w:jc w:val="both"/>
        <w:rPr>
          <w:color w:val="000000" w:themeColor="text1"/>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8"/>
        <w:gridCol w:w="4831"/>
      </w:tblGrid>
      <w:tr w:rsidR="00FC4160" w14:paraId="1A98D71C" w14:textId="77777777" w:rsidTr="00EF4895">
        <w:trPr>
          <w:trHeight w:val="3576"/>
        </w:trPr>
        <w:tc>
          <w:tcPr>
            <w:tcW w:w="4889" w:type="dxa"/>
            <w:vAlign w:val="center"/>
          </w:tcPr>
          <w:p w14:paraId="47240268" w14:textId="3A05A2A8" w:rsidR="00FC4160" w:rsidRDefault="00FC4160" w:rsidP="00EF4895">
            <w:pPr>
              <w:tabs>
                <w:tab w:val="left" w:pos="426"/>
              </w:tabs>
              <w:jc w:val="center"/>
            </w:pPr>
            <w:r>
              <w:rPr>
                <w:noProof/>
              </w:rPr>
              <w:drawing>
                <wp:inline distT="0" distB="0" distL="0" distR="0" wp14:anchorId="39913674" wp14:editId="0B384618">
                  <wp:extent cx="2693333" cy="2160000"/>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93333" cy="2160000"/>
                          </a:xfrm>
                          <a:prstGeom prst="rect">
                            <a:avLst/>
                          </a:prstGeom>
                          <a:noFill/>
                          <a:ln>
                            <a:noFill/>
                          </a:ln>
                        </pic:spPr>
                      </pic:pic>
                    </a:graphicData>
                  </a:graphic>
                </wp:inline>
              </w:drawing>
            </w:r>
          </w:p>
        </w:tc>
        <w:tc>
          <w:tcPr>
            <w:tcW w:w="4890" w:type="dxa"/>
            <w:vAlign w:val="center"/>
          </w:tcPr>
          <w:p w14:paraId="4B7D2247" w14:textId="67240D80" w:rsidR="00FC4160" w:rsidRDefault="00FC4160" w:rsidP="00EF4895">
            <w:pPr>
              <w:tabs>
                <w:tab w:val="left" w:pos="426"/>
              </w:tabs>
              <w:jc w:val="center"/>
            </w:pPr>
            <w:r>
              <w:rPr>
                <w:noProof/>
              </w:rPr>
              <w:drawing>
                <wp:inline distT="0" distB="0" distL="0" distR="0" wp14:anchorId="59E3263C" wp14:editId="1DDEE65D">
                  <wp:extent cx="2765714" cy="2160000"/>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65714" cy="2160000"/>
                          </a:xfrm>
                          <a:prstGeom prst="rect">
                            <a:avLst/>
                          </a:prstGeom>
                          <a:noFill/>
                          <a:ln>
                            <a:noFill/>
                          </a:ln>
                        </pic:spPr>
                      </pic:pic>
                    </a:graphicData>
                  </a:graphic>
                </wp:inline>
              </w:drawing>
            </w:r>
          </w:p>
        </w:tc>
      </w:tr>
      <w:tr w:rsidR="00FC4160" w14:paraId="7F0FD07E" w14:textId="77777777" w:rsidTr="00EF4895">
        <w:tc>
          <w:tcPr>
            <w:tcW w:w="4889" w:type="dxa"/>
            <w:vAlign w:val="center"/>
          </w:tcPr>
          <w:p w14:paraId="7481146D" w14:textId="77777777" w:rsidR="00FC4160" w:rsidRDefault="00FC4160" w:rsidP="00EF4895">
            <w:pPr>
              <w:tabs>
                <w:tab w:val="left" w:pos="426"/>
              </w:tabs>
              <w:jc w:val="center"/>
            </w:pPr>
            <w:r>
              <w:t>(a)</w:t>
            </w:r>
          </w:p>
        </w:tc>
        <w:tc>
          <w:tcPr>
            <w:tcW w:w="4890" w:type="dxa"/>
            <w:vAlign w:val="center"/>
          </w:tcPr>
          <w:p w14:paraId="16F98FD6" w14:textId="77777777" w:rsidR="00FC4160" w:rsidRDefault="00FC4160" w:rsidP="00C40635">
            <w:pPr>
              <w:keepNext/>
              <w:tabs>
                <w:tab w:val="left" w:pos="426"/>
              </w:tabs>
              <w:jc w:val="center"/>
            </w:pPr>
            <w:r>
              <w:t>(b)</w:t>
            </w:r>
          </w:p>
        </w:tc>
      </w:tr>
    </w:tbl>
    <w:p w14:paraId="65A41DF9" w14:textId="2C9D660F" w:rsidR="00C40635" w:rsidRDefault="00C40635" w:rsidP="00C40635">
      <w:pPr>
        <w:pStyle w:val="Legendas"/>
      </w:pPr>
      <w:r>
        <w:t xml:space="preserve">Figura </w:t>
      </w:r>
      <w:r w:rsidR="007B0A30">
        <w:t>9</w:t>
      </w:r>
      <w:r>
        <w:t xml:space="preserve"> - (a) Perfil da radiação solar do dia com o evento de maior duração e (b) instante do evento de maior duração.</w:t>
      </w:r>
    </w:p>
    <w:p w14:paraId="4841D456" w14:textId="486BABA1" w:rsidR="00FC4160" w:rsidRDefault="00FC4160" w:rsidP="00C40635">
      <w:pPr>
        <w:pStyle w:val="Legenda"/>
      </w:pPr>
    </w:p>
    <w:p w14:paraId="473ACDD6" w14:textId="129EB257" w:rsidR="00FC4160" w:rsidRDefault="00FC4160" w:rsidP="00FC4160">
      <w:pPr>
        <w:pStyle w:val="Sesso1"/>
      </w:pPr>
      <w:r>
        <w:t>CONCLUSÃO</w:t>
      </w:r>
    </w:p>
    <w:p w14:paraId="6D2C608F" w14:textId="5A814D8D" w:rsidR="00C40635" w:rsidRDefault="00C40635" w:rsidP="00C40635">
      <w:pPr>
        <w:pStyle w:val="Sesso1"/>
        <w:numPr>
          <w:ilvl w:val="0"/>
          <w:numId w:val="0"/>
        </w:numPr>
        <w:ind w:left="420" w:hanging="420"/>
      </w:pPr>
    </w:p>
    <w:p w14:paraId="0EDF47B6" w14:textId="77777777" w:rsidR="00492C85" w:rsidRDefault="0035649A" w:rsidP="00EF1948">
      <w:pPr>
        <w:pStyle w:val="NormalWeb"/>
        <w:spacing w:before="0" w:beforeAutospacing="0" w:after="0" w:afterAutospacing="0"/>
        <w:ind w:firstLine="420"/>
        <w:jc w:val="both"/>
        <w:rPr>
          <w:color w:val="000000" w:themeColor="text1"/>
          <w:sz w:val="20"/>
          <w:szCs w:val="20"/>
        </w:rPr>
      </w:pPr>
      <w:r w:rsidRPr="008F79C9">
        <w:rPr>
          <w:color w:val="000000" w:themeColor="text1"/>
          <w:sz w:val="20"/>
          <w:szCs w:val="20"/>
        </w:rPr>
        <w:t>Esse estudo apresenta uma análise das ocorrências de eventos de sobreirradiância medidos por uma estação solarimétrica instalada na cidade de Sousa, no interior do estado da Paraíba. As intensidades da irradiância forma medidas por dois piranômetros classe A, de acordo com a ISO 9060:2018. Os dados da irradiância foram registrados em duas resoluções distintas, sendo uma a cada minuto e a outra a cada segundo, a fim de verificar a diferença entre a quantidade e a intensidade dos eventos nessas duas resoluções. Para tanto, inicialmente é caracterizado o que é um evento de sobreirradiância e como foi realizado o processamento dos dados medidos.</w:t>
      </w:r>
    </w:p>
    <w:p w14:paraId="0C298D08" w14:textId="62262A6E" w:rsidR="0035649A" w:rsidRDefault="009523A1" w:rsidP="00EF1948">
      <w:pPr>
        <w:pStyle w:val="NormalWeb"/>
        <w:spacing w:before="0" w:beforeAutospacing="0" w:after="0" w:afterAutospacing="0"/>
        <w:ind w:firstLine="420"/>
        <w:jc w:val="both"/>
        <w:rPr>
          <w:color w:val="000000" w:themeColor="text1"/>
          <w:sz w:val="20"/>
          <w:szCs w:val="20"/>
        </w:rPr>
      </w:pPr>
      <w:r w:rsidRPr="008F79C9">
        <w:rPr>
          <w:color w:val="000000" w:themeColor="text1"/>
          <w:sz w:val="20"/>
          <w:szCs w:val="20"/>
        </w:rPr>
        <w:t xml:space="preserve">Como resultado, foi verificado que os meses de março, abril e agosto apresentaram a maior quantidade de eventos de sobreirradiância na resolução de minutos, enquanto na resolução de segundos os meses de abril, junho e agosto apresentaram as maiores quantidades de ocorrências, com o mês de agosto registrando 768 ocorrências de eventos de sobreirradiância superiores a 1000 W/m². Também, foi realizada a análise da intensidade desses eventos, </w:t>
      </w:r>
      <w:r w:rsidR="005B1B5A" w:rsidRPr="008F79C9">
        <w:rPr>
          <w:color w:val="000000" w:themeColor="text1"/>
          <w:sz w:val="20"/>
          <w:szCs w:val="20"/>
        </w:rPr>
        <w:t>onde foi registrado</w:t>
      </w:r>
      <w:r w:rsidRPr="008F79C9">
        <w:rPr>
          <w:color w:val="000000" w:themeColor="text1"/>
          <w:sz w:val="20"/>
          <w:szCs w:val="20"/>
        </w:rPr>
        <w:t xml:space="preserve"> o valor de 1521 </w:t>
      </w:r>
      <w:r w:rsidR="005B1B5A" w:rsidRPr="008F79C9">
        <w:rPr>
          <w:color w:val="000000" w:themeColor="text1"/>
          <w:sz w:val="20"/>
          <w:szCs w:val="20"/>
        </w:rPr>
        <w:t>W/m² na resolução de minutos e 1654 W/m² na resolução de segundos, no dia 5 de novembro de 2022, sendo este o evento de maior intensidade registrado durante a campanha de medição na estação. Adicionalmente, foi registrado no dia 16 de abril de 2022, o evento com maior duração, possuindo um tempo de 326 segundos. Ademais, a sazonalidade, frequência e intensidades médias desses eventos também foram verificadas.</w:t>
      </w:r>
      <w:r w:rsidR="008F79C9" w:rsidRPr="008F79C9">
        <w:rPr>
          <w:color w:val="000000" w:themeColor="text1"/>
          <w:sz w:val="20"/>
          <w:szCs w:val="20"/>
        </w:rPr>
        <w:t xml:space="preserve"> </w:t>
      </w:r>
    </w:p>
    <w:p w14:paraId="08E9806E" w14:textId="56CDE225" w:rsidR="00EF1948" w:rsidRPr="008F79C9" w:rsidRDefault="00EF1948" w:rsidP="00416DBC">
      <w:pPr>
        <w:pStyle w:val="NormalWeb"/>
        <w:spacing w:before="0" w:beforeAutospacing="0" w:after="0" w:afterAutospacing="0"/>
        <w:ind w:firstLine="420"/>
        <w:jc w:val="both"/>
        <w:rPr>
          <w:color w:val="000000" w:themeColor="text1"/>
          <w:sz w:val="20"/>
          <w:szCs w:val="20"/>
        </w:rPr>
      </w:pPr>
      <w:r>
        <w:rPr>
          <w:color w:val="000000" w:themeColor="text1"/>
          <w:sz w:val="20"/>
          <w:szCs w:val="20"/>
        </w:rPr>
        <w:t>Concluiu-se também que a resolução temporal em segundos evidenciou eventos mais intensos e frequentes que os registrados na resolução de segundos</w:t>
      </w:r>
      <w:r w:rsidRPr="001D5E24">
        <w:rPr>
          <w:color w:val="000000" w:themeColor="text1"/>
          <w:sz w:val="20"/>
          <w:szCs w:val="20"/>
        </w:rPr>
        <w:t>.</w:t>
      </w:r>
      <w:r w:rsidR="00D846E6" w:rsidRPr="001D5E24">
        <w:rPr>
          <w:color w:val="000000" w:themeColor="text1"/>
          <w:sz w:val="20"/>
          <w:szCs w:val="20"/>
        </w:rPr>
        <w:t xml:space="preserve"> Esse fato expõem a importância de realizar as medições com uma alta taxa de aquisição, evitando que grandes variações na intensidade da irradiância sejam suavizadas devido a uma medição com baixa taxa de amostragem ou armazenando o valor médio de um longo período.</w:t>
      </w:r>
      <w:r w:rsidR="00416DBC">
        <w:rPr>
          <w:color w:val="000000" w:themeColor="text1"/>
          <w:sz w:val="20"/>
          <w:szCs w:val="20"/>
        </w:rPr>
        <w:t xml:space="preserve"> </w:t>
      </w:r>
    </w:p>
    <w:p w14:paraId="15BED49E" w14:textId="77777777" w:rsidR="0003043E" w:rsidRPr="005A49E4" w:rsidRDefault="0003043E" w:rsidP="00492C85">
      <w:pPr>
        <w:tabs>
          <w:tab w:val="left" w:pos="426"/>
        </w:tabs>
      </w:pPr>
    </w:p>
    <w:p w14:paraId="3CF59C22" w14:textId="77777777" w:rsidR="00BC057E" w:rsidRPr="005A49E4" w:rsidRDefault="00BC057E" w:rsidP="00C309C7">
      <w:pPr>
        <w:pStyle w:val="Ttulo7"/>
      </w:pPr>
      <w:r w:rsidRPr="005A49E4">
        <w:t>Agradecimentos</w:t>
      </w:r>
    </w:p>
    <w:p w14:paraId="3573955A" w14:textId="77777777" w:rsidR="00BC057E" w:rsidRPr="005A49E4" w:rsidRDefault="00BC057E">
      <w:pPr>
        <w:tabs>
          <w:tab w:val="left" w:pos="426"/>
        </w:tabs>
      </w:pPr>
    </w:p>
    <w:p w14:paraId="78650E64" w14:textId="57FBFA21" w:rsidR="00A41C78" w:rsidRDefault="00BC057E" w:rsidP="00A41C78">
      <w:pPr>
        <w:tabs>
          <w:tab w:val="left" w:pos="426"/>
        </w:tabs>
        <w:jc w:val="both"/>
      </w:pPr>
      <w:r w:rsidRPr="005A49E4">
        <w:tab/>
      </w:r>
      <w:r w:rsidR="00A41C78">
        <w:rPr>
          <w:color w:val="000000"/>
          <w:shd w:val="clear" w:color="auto" w:fill="FFFFFF"/>
        </w:rPr>
        <w:t>O primeiro autor agradece ao seu orientador da Universidade Federal do Rio Grande do Norte (UFRN), o mesmo em conjunto aos demais autores agradecem ao ISI-ER pelo apoio no desenvolvimento deste trabalho e à CTG Brasil pelo custeio da bolsa de pesquisa no âmbito do projeto ANEEL PD-10381-0620/2020.</w:t>
      </w:r>
    </w:p>
    <w:p w14:paraId="2E355EBC" w14:textId="3C753AFF" w:rsidR="00BC057E" w:rsidRPr="005A49E4" w:rsidRDefault="00BC057E">
      <w:pPr>
        <w:tabs>
          <w:tab w:val="left" w:pos="426"/>
        </w:tabs>
        <w:jc w:val="both"/>
      </w:pPr>
    </w:p>
    <w:p w14:paraId="170857D6" w14:textId="57E616A6" w:rsidR="004401ED" w:rsidRPr="005A49E4" w:rsidRDefault="004401ED">
      <w:pPr>
        <w:tabs>
          <w:tab w:val="left" w:pos="426"/>
        </w:tabs>
      </w:pPr>
    </w:p>
    <w:p w14:paraId="30DAE629" w14:textId="3D6664FE" w:rsidR="00BC057E" w:rsidRDefault="001C31B9" w:rsidP="00843E29">
      <w:pPr>
        <w:pStyle w:val="REFERNCIAS"/>
      </w:pPr>
      <w:r w:rsidRPr="005A49E4">
        <w:t>REFERÊNCIAS</w:t>
      </w:r>
    </w:p>
    <w:p w14:paraId="2606AD0F" w14:textId="77777777" w:rsidR="00FF4497" w:rsidRDefault="00FF4497" w:rsidP="00843E29">
      <w:pPr>
        <w:pStyle w:val="REFERNCIAS"/>
      </w:pPr>
    </w:p>
    <w:p w14:paraId="615D2531" w14:textId="1C4C59D4" w:rsidR="00B469EE" w:rsidRDefault="00B469EE" w:rsidP="00913603">
      <w:pPr>
        <w:pStyle w:val="Refernciascorpo"/>
      </w:pPr>
      <w:r w:rsidRPr="00AD2560">
        <w:t>A</w:t>
      </w:r>
      <w:r w:rsidR="00B81095">
        <w:t>lmeida</w:t>
      </w:r>
      <w:r w:rsidRPr="00AD2560">
        <w:t xml:space="preserve">, Marcelo Pinho; </w:t>
      </w:r>
      <w:proofErr w:type="spellStart"/>
      <w:r w:rsidRPr="00AD2560">
        <w:t>Z</w:t>
      </w:r>
      <w:r w:rsidR="00B81095">
        <w:t>illes</w:t>
      </w:r>
      <w:proofErr w:type="spellEnd"/>
      <w:r w:rsidRPr="00AD2560">
        <w:t>, Roberto; L</w:t>
      </w:r>
      <w:r w:rsidR="00B81095">
        <w:t>orenzo</w:t>
      </w:r>
      <w:r w:rsidRPr="00AD2560">
        <w:t>, Eduardo. Extreme overirradiance events in São Paulo, Brazil. Solar Energy, v. 110, p. 168-173, 2014.</w:t>
      </w:r>
    </w:p>
    <w:p w14:paraId="4502DEEB" w14:textId="381EED0A" w:rsidR="00B469EE" w:rsidRDefault="00B469EE" w:rsidP="00913603">
      <w:pPr>
        <w:pStyle w:val="Refernciascorpo"/>
      </w:pPr>
      <w:r w:rsidRPr="00AD2560">
        <w:t xml:space="preserve">ANEEL (Agência Nacional de Energia Elétrica), 2023. Matriz energética brasileira. Disponível em: </w:t>
      </w:r>
      <w:r w:rsidRPr="00EF1948">
        <w:t>https://app.powerbi.com/view?r=eyJrIjoiNjc4OGYyYjQtYWM2ZC00YjllLWJlYmEtYzdkNTQ1MTc1NjM2IiwidCI6IjQwZDZmOWI4LWVjYTctNDZhMi05MmQ0LWVhNGU5YzAxNzBlMSIsImMiOjR9</w:t>
      </w:r>
      <w:r w:rsidRPr="00AD2560">
        <w:t>. Acesso em: 27 out. 2023.</w:t>
      </w:r>
    </w:p>
    <w:p w14:paraId="1A2EBC4F" w14:textId="12D7E2EE" w:rsidR="00B469EE" w:rsidRPr="00AD2560" w:rsidRDefault="00B469EE" w:rsidP="00913603">
      <w:pPr>
        <w:pStyle w:val="Refernciascorpo"/>
      </w:pPr>
      <w:proofErr w:type="spellStart"/>
      <w:r w:rsidRPr="00AD2560">
        <w:t>B</w:t>
      </w:r>
      <w:r w:rsidR="00913603">
        <w:t>elusso</w:t>
      </w:r>
      <w:proofErr w:type="spellEnd"/>
      <w:r w:rsidRPr="00AD2560">
        <w:t>, a., Cainelli, G. P., 2015, Análise do Espectro de Radiação Solar e sua importância no correto dimensionamento de tecnologias para conversão fotovoltaica de energia. 15º congresso nacional de iniciação científica – CONICSEMESP.</w:t>
      </w:r>
    </w:p>
    <w:p w14:paraId="6BC364D6" w14:textId="77777777" w:rsidR="00B469EE" w:rsidRDefault="00B469EE" w:rsidP="00EF1948">
      <w:pPr>
        <w:jc w:val="both"/>
      </w:pPr>
    </w:p>
    <w:p w14:paraId="02FD92AA" w14:textId="1F142A6D" w:rsidR="00FF4497" w:rsidRDefault="007915AB" w:rsidP="00F910BD">
      <w:pPr>
        <w:pStyle w:val="Refernciascorpo"/>
      </w:pPr>
      <w:r w:rsidRPr="007915AB">
        <w:t>Costa, Moisés Elias Nascimento Rufino da et al., 2021. Análise Da Ocorrência De Eventos De Sobreirradiância Em Natal-R</w:t>
      </w:r>
      <w:r w:rsidR="00F910BD">
        <w:t>N</w:t>
      </w:r>
      <w:r w:rsidRPr="007915AB">
        <w:t>, Brasil. In: Congresso Brasileiro De Meteorologia, 10 p. 1-3.</w:t>
      </w:r>
    </w:p>
    <w:p w14:paraId="20A7D0E1" w14:textId="5C7DBB21" w:rsidR="00B469EE" w:rsidRDefault="00B469EE" w:rsidP="00913603">
      <w:pPr>
        <w:pStyle w:val="Refernciascorpo"/>
      </w:pPr>
      <w:r w:rsidRPr="00AD2560">
        <w:t>D</w:t>
      </w:r>
      <w:r w:rsidR="00913603">
        <w:t>e</w:t>
      </w:r>
      <w:r w:rsidRPr="00AD2560">
        <w:t xml:space="preserve"> A</w:t>
      </w:r>
      <w:r w:rsidR="00913603">
        <w:t>ndrade</w:t>
      </w:r>
      <w:r w:rsidRPr="00AD2560">
        <w:t>, Ricardo Cesar; T</w:t>
      </w:r>
      <w:r w:rsidR="00913603">
        <w:t>iba</w:t>
      </w:r>
      <w:r w:rsidRPr="00AD2560">
        <w:t xml:space="preserve">, </w:t>
      </w:r>
      <w:proofErr w:type="spellStart"/>
      <w:r w:rsidRPr="00AD2560">
        <w:t>Chigueru</w:t>
      </w:r>
      <w:proofErr w:type="spellEnd"/>
      <w:r w:rsidR="00913603">
        <w:t>, 2016</w:t>
      </w:r>
      <w:r w:rsidRPr="00AD2560">
        <w:t xml:space="preserve">. </w:t>
      </w:r>
      <w:r w:rsidRPr="00AB7718">
        <w:rPr>
          <w:lang w:val="en-US"/>
        </w:rPr>
        <w:t xml:space="preserve">Extreme global solar irradiance due to cloud enhancement in northeastern Brazil. </w:t>
      </w:r>
      <w:proofErr w:type="spellStart"/>
      <w:r w:rsidRPr="00AD2560">
        <w:t>Renewable</w:t>
      </w:r>
      <w:proofErr w:type="spellEnd"/>
      <w:r w:rsidRPr="00AD2560">
        <w:t xml:space="preserve"> </w:t>
      </w:r>
      <w:proofErr w:type="spellStart"/>
      <w:r w:rsidRPr="00AD2560">
        <w:t>energy</w:t>
      </w:r>
      <w:proofErr w:type="spellEnd"/>
      <w:r w:rsidRPr="00AD2560">
        <w:t>, v. 86, p. 1433-1441.</w:t>
      </w:r>
    </w:p>
    <w:p w14:paraId="17CFD706" w14:textId="39F90D7C" w:rsidR="00B469EE" w:rsidRDefault="00B469EE" w:rsidP="00913603">
      <w:pPr>
        <w:pStyle w:val="Refernciascorpo"/>
      </w:pPr>
      <w:r w:rsidRPr="00AD2560">
        <w:t>D</w:t>
      </w:r>
      <w:r w:rsidR="00913603">
        <w:t>o</w:t>
      </w:r>
      <w:r w:rsidRPr="00AD2560">
        <w:t xml:space="preserve"> N</w:t>
      </w:r>
      <w:r w:rsidR="00913603">
        <w:t>ascimento</w:t>
      </w:r>
      <w:r w:rsidRPr="00AD2560">
        <w:t>, Lucas Rafael et al.</w:t>
      </w:r>
      <w:r w:rsidR="00913603">
        <w:t>, 2019.</w:t>
      </w:r>
      <w:r w:rsidRPr="00AD2560">
        <w:t xml:space="preserve"> </w:t>
      </w:r>
      <w:r w:rsidRPr="00AB7718">
        <w:rPr>
          <w:lang w:val="en-US"/>
        </w:rPr>
        <w:t xml:space="preserve">Extreme solar </w:t>
      </w:r>
      <w:proofErr w:type="spellStart"/>
      <w:r w:rsidRPr="00AB7718">
        <w:rPr>
          <w:lang w:val="en-US"/>
        </w:rPr>
        <w:t>overirradiance</w:t>
      </w:r>
      <w:proofErr w:type="spellEnd"/>
      <w:r w:rsidRPr="00AB7718">
        <w:rPr>
          <w:lang w:val="en-US"/>
        </w:rPr>
        <w:t xml:space="preserve"> events: Occurrence and impacts on utility-scale photovoltaic power plants in Brazil. </w:t>
      </w:r>
      <w:r w:rsidRPr="00AD2560">
        <w:t>Solar Energy, v. 186, p. 370-381.</w:t>
      </w:r>
    </w:p>
    <w:p w14:paraId="047497A4" w14:textId="1063D031" w:rsidR="00B469EE" w:rsidRDefault="00B469EE" w:rsidP="00913603">
      <w:pPr>
        <w:pStyle w:val="Refernciascorpo"/>
      </w:pPr>
      <w:r w:rsidRPr="00AD2560">
        <w:t>F</w:t>
      </w:r>
      <w:r w:rsidR="00913603">
        <w:t>rancisco</w:t>
      </w:r>
      <w:r w:rsidRPr="00AD2560">
        <w:t xml:space="preserve">, </w:t>
      </w:r>
      <w:r w:rsidR="00913603">
        <w:t>P</w:t>
      </w:r>
      <w:r w:rsidRPr="00AD2560">
        <w:t xml:space="preserve">aulo </w:t>
      </w:r>
      <w:r w:rsidR="00913603">
        <w:t>R</w:t>
      </w:r>
      <w:r w:rsidRPr="00AD2560">
        <w:t xml:space="preserve">oberto </w:t>
      </w:r>
      <w:proofErr w:type="spellStart"/>
      <w:r w:rsidR="00913603">
        <w:t>M</w:t>
      </w:r>
      <w:r w:rsidRPr="00AD2560">
        <w:t>egna</w:t>
      </w:r>
      <w:proofErr w:type="spellEnd"/>
      <w:r w:rsidRPr="00AD2560">
        <w:t xml:space="preserve">, 2015. Classificação climática de </w:t>
      </w:r>
      <w:proofErr w:type="spellStart"/>
      <w:r w:rsidRPr="00AD2560">
        <w:t>köppen</w:t>
      </w:r>
      <w:proofErr w:type="spellEnd"/>
      <w:r w:rsidRPr="00AD2560">
        <w:t xml:space="preserve"> e </w:t>
      </w:r>
      <w:proofErr w:type="spellStart"/>
      <w:r w:rsidRPr="00AD2560">
        <w:t>thornthwaite</w:t>
      </w:r>
      <w:proofErr w:type="spellEnd"/>
      <w:r w:rsidRPr="00AD2560">
        <w:t xml:space="preserve"> para o estado da paraíba. em: Revista brasileira de geografia física, paraíba, v. 08, n. 04, p. 1006-1016.</w:t>
      </w:r>
    </w:p>
    <w:p w14:paraId="3D685667" w14:textId="1E8CF63E" w:rsidR="00B469EE" w:rsidRPr="00AB7718" w:rsidRDefault="00B469EE" w:rsidP="00913603">
      <w:pPr>
        <w:pStyle w:val="Refernciascorpo"/>
        <w:rPr>
          <w:lang w:val="en-US"/>
        </w:rPr>
      </w:pPr>
      <w:proofErr w:type="spellStart"/>
      <w:r w:rsidRPr="00AB7718">
        <w:rPr>
          <w:lang w:val="en-US"/>
        </w:rPr>
        <w:t>G</w:t>
      </w:r>
      <w:r w:rsidR="00913603" w:rsidRPr="00AB7718">
        <w:rPr>
          <w:lang w:val="en-US"/>
        </w:rPr>
        <w:t>ueymard</w:t>
      </w:r>
      <w:proofErr w:type="spellEnd"/>
      <w:r w:rsidRPr="00AB7718">
        <w:rPr>
          <w:lang w:val="en-US"/>
        </w:rPr>
        <w:t>, Christian A, 2017. Cloud and albedo enhancement impacts on solar irradiance using high-frequency measurements from thermopile and photodiode radiometers. Part 1: Impacts on global horizontal irradiance. Solar Energy, v. 153, p. 755-765, 2017.</w:t>
      </w:r>
    </w:p>
    <w:p w14:paraId="0FFB9C62" w14:textId="4A334F1C" w:rsidR="00B469EE" w:rsidRPr="00AB7718" w:rsidRDefault="00B469EE" w:rsidP="00913603">
      <w:pPr>
        <w:pStyle w:val="Refernciascorpo"/>
        <w:rPr>
          <w:lang w:val="en-US"/>
        </w:rPr>
      </w:pPr>
      <w:r w:rsidRPr="00AD2560">
        <w:t>J</w:t>
      </w:r>
      <w:r w:rsidR="00913603">
        <w:t>ara</w:t>
      </w:r>
      <w:r w:rsidRPr="00AD2560">
        <w:t xml:space="preserve">, </w:t>
      </w:r>
      <w:proofErr w:type="spellStart"/>
      <w:r w:rsidRPr="00AD2560">
        <w:t>M</w:t>
      </w:r>
      <w:r w:rsidR="00913603">
        <w:t>a</w:t>
      </w:r>
      <w:proofErr w:type="spellEnd"/>
      <w:r w:rsidRPr="00AD2560">
        <w:t xml:space="preserve"> </w:t>
      </w:r>
      <w:proofErr w:type="spellStart"/>
      <w:r w:rsidRPr="00AD2560">
        <w:t>Zamalloa</w:t>
      </w:r>
      <w:proofErr w:type="spellEnd"/>
      <w:r w:rsidRPr="00AD2560">
        <w:t xml:space="preserve"> et al</w:t>
      </w:r>
      <w:r w:rsidR="00913603">
        <w:t>, 2021</w:t>
      </w:r>
      <w:r w:rsidRPr="00AD2560">
        <w:t xml:space="preserve">. </w:t>
      </w:r>
      <w:r w:rsidRPr="00AB7718">
        <w:rPr>
          <w:lang w:val="en-US"/>
        </w:rPr>
        <w:t xml:space="preserve">Extreme </w:t>
      </w:r>
      <w:proofErr w:type="spellStart"/>
      <w:r w:rsidRPr="00AB7718">
        <w:rPr>
          <w:lang w:val="en-US"/>
        </w:rPr>
        <w:t>Overirradiance</w:t>
      </w:r>
      <w:proofErr w:type="spellEnd"/>
      <w:r w:rsidRPr="00AB7718">
        <w:rPr>
          <w:lang w:val="en-US"/>
        </w:rPr>
        <w:t xml:space="preserve"> events and their spectral distribution in Lima, Peru. In: Journal of Physics: Conference Series. IOP Publishing. p. 012006.</w:t>
      </w:r>
    </w:p>
    <w:p w14:paraId="42AB2016" w14:textId="02A21FA9" w:rsidR="00B469EE" w:rsidRPr="00913603" w:rsidRDefault="00B469EE" w:rsidP="00913603">
      <w:pPr>
        <w:pStyle w:val="Refernciascorpo"/>
      </w:pPr>
      <w:r w:rsidRPr="00AB7718">
        <w:rPr>
          <w:lang w:val="en-US"/>
        </w:rPr>
        <w:t>J</w:t>
      </w:r>
      <w:r w:rsidR="00913603" w:rsidRPr="00AB7718">
        <w:rPr>
          <w:lang w:val="en-US"/>
        </w:rPr>
        <w:t>ärvelä</w:t>
      </w:r>
      <w:r w:rsidRPr="00AB7718">
        <w:rPr>
          <w:lang w:val="en-US"/>
        </w:rPr>
        <w:t>, Markku; L</w:t>
      </w:r>
      <w:r w:rsidR="00913603" w:rsidRPr="00AB7718">
        <w:rPr>
          <w:lang w:val="en-US"/>
        </w:rPr>
        <w:t>appalainen</w:t>
      </w:r>
      <w:r w:rsidRPr="00AB7718">
        <w:rPr>
          <w:lang w:val="en-US"/>
        </w:rPr>
        <w:t>, Kari; V</w:t>
      </w:r>
      <w:r w:rsidR="00913603" w:rsidRPr="00AB7718">
        <w:rPr>
          <w:lang w:val="en-US"/>
        </w:rPr>
        <w:t>ALKEALAHTI</w:t>
      </w:r>
      <w:r w:rsidRPr="00AB7718">
        <w:rPr>
          <w:lang w:val="en-US"/>
        </w:rPr>
        <w:t>, Seppo</w:t>
      </w:r>
      <w:r w:rsidR="00913603" w:rsidRPr="00AB7718">
        <w:rPr>
          <w:lang w:val="en-US"/>
        </w:rPr>
        <w:t>, 2020</w:t>
      </w:r>
      <w:r w:rsidRPr="00AB7718">
        <w:rPr>
          <w:lang w:val="en-US"/>
        </w:rPr>
        <w:t xml:space="preserve">. Characteristics of the cloud enhancement phenomenon and PV power plants. </w:t>
      </w:r>
      <w:r w:rsidRPr="00913603">
        <w:t>Solar Energy, v. 196, p. 137-145.</w:t>
      </w:r>
    </w:p>
    <w:p w14:paraId="64A10CC1" w14:textId="5DA0BE36" w:rsidR="00B469EE" w:rsidRDefault="00B469EE" w:rsidP="00913603">
      <w:pPr>
        <w:pStyle w:val="Refernciascorpo"/>
      </w:pPr>
      <w:r w:rsidRPr="00913603">
        <w:t>M</w:t>
      </w:r>
      <w:r w:rsidR="00913603" w:rsidRPr="00913603">
        <w:t>artins</w:t>
      </w:r>
      <w:r w:rsidRPr="00913603">
        <w:t xml:space="preserve">, G. L.; </w:t>
      </w:r>
      <w:proofErr w:type="spellStart"/>
      <w:r w:rsidRPr="00913603">
        <w:t>M</w:t>
      </w:r>
      <w:r w:rsidR="00913603" w:rsidRPr="00913603">
        <w:t>antelli</w:t>
      </w:r>
      <w:proofErr w:type="spellEnd"/>
      <w:r w:rsidRPr="00913603">
        <w:t xml:space="preserve">, S. L.; </w:t>
      </w:r>
      <w:proofErr w:type="spellStart"/>
      <w:r w:rsidRPr="00913603">
        <w:t>R</w:t>
      </w:r>
      <w:r w:rsidR="00913603" w:rsidRPr="00913603">
        <w:t>üther</w:t>
      </w:r>
      <w:proofErr w:type="spellEnd"/>
      <w:r w:rsidRPr="00913603">
        <w:t>, R</w:t>
      </w:r>
      <w:r w:rsidR="00913603" w:rsidRPr="00913603">
        <w:t>, 2022</w:t>
      </w:r>
      <w:r w:rsidRPr="00913603">
        <w:t xml:space="preserve">. </w:t>
      </w:r>
      <w:r w:rsidRPr="00AB7718">
        <w:rPr>
          <w:lang w:val="en-US"/>
        </w:rPr>
        <w:t xml:space="preserve">Evaluating the performance of radiometers for solar </w:t>
      </w:r>
      <w:proofErr w:type="spellStart"/>
      <w:r w:rsidRPr="00AB7718">
        <w:rPr>
          <w:lang w:val="en-US"/>
        </w:rPr>
        <w:t>overirradiance</w:t>
      </w:r>
      <w:proofErr w:type="spellEnd"/>
      <w:r w:rsidRPr="00AB7718">
        <w:rPr>
          <w:lang w:val="en-US"/>
        </w:rPr>
        <w:t xml:space="preserve"> events. </w:t>
      </w:r>
      <w:r w:rsidRPr="00AD2560">
        <w:t>Solar Energy, v. 231, p. 47-56.</w:t>
      </w:r>
    </w:p>
    <w:p w14:paraId="0E2BA2CB" w14:textId="22545E08" w:rsidR="00B469EE" w:rsidRDefault="00B469EE" w:rsidP="00913603">
      <w:pPr>
        <w:pStyle w:val="Refernciascorpo"/>
      </w:pPr>
      <w:r w:rsidRPr="00AD2560">
        <w:t>P</w:t>
      </w:r>
      <w:r w:rsidR="00913603" w:rsidRPr="00AD2560">
        <w:t>ereira</w:t>
      </w:r>
      <w:r w:rsidRPr="00AD2560">
        <w:t xml:space="preserve">, </w:t>
      </w:r>
      <w:proofErr w:type="spellStart"/>
      <w:r w:rsidRPr="00AD2560">
        <w:t>E</w:t>
      </w:r>
      <w:r w:rsidR="00913603" w:rsidRPr="00AD2560">
        <w:t>nio</w:t>
      </w:r>
      <w:proofErr w:type="spellEnd"/>
      <w:r w:rsidRPr="00AD2560">
        <w:t xml:space="preserve"> </w:t>
      </w:r>
      <w:r w:rsidR="00913603">
        <w:t>B</w:t>
      </w:r>
      <w:r w:rsidR="00913603" w:rsidRPr="00AD2560">
        <w:t>ueno et al</w:t>
      </w:r>
      <w:r w:rsidR="00913603">
        <w:t>, 2017</w:t>
      </w:r>
      <w:r w:rsidRPr="00AD2560">
        <w:t xml:space="preserve">. </w:t>
      </w:r>
      <w:r w:rsidR="00913603" w:rsidRPr="00AD2560">
        <w:t xml:space="preserve">Atlas </w:t>
      </w:r>
      <w:r w:rsidR="00913603">
        <w:t>B</w:t>
      </w:r>
      <w:r w:rsidR="00913603" w:rsidRPr="00AD2560">
        <w:t xml:space="preserve">rasileiro de </w:t>
      </w:r>
      <w:r w:rsidR="00913603">
        <w:t>E</w:t>
      </w:r>
      <w:r w:rsidR="00913603" w:rsidRPr="00AD2560">
        <w:t xml:space="preserve">nergia </w:t>
      </w:r>
      <w:r w:rsidR="00913603">
        <w:t>S</w:t>
      </w:r>
      <w:r w:rsidR="00913603" w:rsidRPr="00AD2560">
        <w:t>olar</w:t>
      </w:r>
      <w:r w:rsidRPr="00AD2560">
        <w:t xml:space="preserve">. </w:t>
      </w:r>
      <w:r w:rsidR="00913603" w:rsidRPr="00AD2560">
        <w:t xml:space="preserve">São José </w:t>
      </w:r>
      <w:r w:rsidR="00913603">
        <w:t>d</w:t>
      </w:r>
      <w:r w:rsidR="00913603" w:rsidRPr="00AD2560">
        <w:t>os Campos</w:t>
      </w:r>
      <w:r w:rsidRPr="00AD2560">
        <w:t>: INPE, V. 1.</w:t>
      </w:r>
    </w:p>
    <w:p w14:paraId="13922443" w14:textId="5D2783E5" w:rsidR="00B469EE" w:rsidRPr="00AB7718" w:rsidRDefault="00B469EE" w:rsidP="00913603">
      <w:pPr>
        <w:pStyle w:val="Refernciascorpo"/>
        <w:rPr>
          <w:lang w:val="en-US"/>
        </w:rPr>
      </w:pPr>
      <w:proofErr w:type="spellStart"/>
      <w:r w:rsidRPr="00AD2560">
        <w:t>T</w:t>
      </w:r>
      <w:r w:rsidR="00913603" w:rsidRPr="00AD2560">
        <w:t>oreti</w:t>
      </w:r>
      <w:proofErr w:type="spellEnd"/>
      <w:r w:rsidRPr="00AD2560">
        <w:t xml:space="preserve"> </w:t>
      </w:r>
      <w:proofErr w:type="spellStart"/>
      <w:r w:rsidRPr="00AD2560">
        <w:t>S</w:t>
      </w:r>
      <w:r w:rsidR="00913603" w:rsidRPr="00AD2560">
        <w:t>carabelot</w:t>
      </w:r>
      <w:proofErr w:type="spellEnd"/>
      <w:r w:rsidRPr="00AD2560">
        <w:t>, Letícia; A</w:t>
      </w:r>
      <w:r w:rsidR="00913603" w:rsidRPr="00AD2560">
        <w:t>rns</w:t>
      </w:r>
      <w:r w:rsidRPr="00AD2560">
        <w:t xml:space="preserve"> </w:t>
      </w:r>
      <w:proofErr w:type="spellStart"/>
      <w:r w:rsidRPr="00AD2560">
        <w:t>R</w:t>
      </w:r>
      <w:r w:rsidR="00913603" w:rsidRPr="00AD2560">
        <w:t>ampinelli</w:t>
      </w:r>
      <w:proofErr w:type="spellEnd"/>
      <w:r w:rsidRPr="00AD2560">
        <w:t>, Giuliano; R</w:t>
      </w:r>
      <w:r w:rsidR="00913603" w:rsidRPr="00AD2560">
        <w:t>ambo</w:t>
      </w:r>
      <w:r w:rsidRPr="00AD2560">
        <w:t>, Carlos Renato</w:t>
      </w:r>
      <w:r w:rsidR="00913603">
        <w:t>, 2021</w:t>
      </w:r>
      <w:r w:rsidRPr="00AD2560">
        <w:t xml:space="preserve">. </w:t>
      </w:r>
      <w:proofErr w:type="spellStart"/>
      <w:r w:rsidRPr="00AB7718">
        <w:rPr>
          <w:lang w:val="en-US"/>
        </w:rPr>
        <w:t>Overirradiance</w:t>
      </w:r>
      <w:proofErr w:type="spellEnd"/>
      <w:r w:rsidRPr="00AB7718">
        <w:rPr>
          <w:lang w:val="en-US"/>
        </w:rPr>
        <w:t xml:space="preserve"> effect on the electrical performance of photovoltaic systems of different inverter sizing factors. Solar Energy, v. 225, p. 561-568.</w:t>
      </w:r>
    </w:p>
    <w:p w14:paraId="74ABE41B" w14:textId="2AC56E12" w:rsidR="00B469EE" w:rsidRPr="00AB7718" w:rsidRDefault="00B469EE" w:rsidP="00913603">
      <w:pPr>
        <w:pStyle w:val="Refernciascorpo"/>
        <w:rPr>
          <w:lang w:val="en-US"/>
        </w:rPr>
      </w:pPr>
      <w:r w:rsidRPr="00AB7718">
        <w:rPr>
          <w:lang w:val="en-US"/>
        </w:rPr>
        <w:t>Y</w:t>
      </w:r>
      <w:r w:rsidR="00913603" w:rsidRPr="00AB7718">
        <w:rPr>
          <w:lang w:val="en-US"/>
        </w:rPr>
        <w:t>ordanov</w:t>
      </w:r>
      <w:r w:rsidRPr="00AB7718">
        <w:rPr>
          <w:lang w:val="en-US"/>
        </w:rPr>
        <w:t xml:space="preserve">, Georgi Hristov; </w:t>
      </w:r>
      <w:proofErr w:type="spellStart"/>
      <w:r w:rsidRPr="00AB7718">
        <w:rPr>
          <w:lang w:val="en-US"/>
        </w:rPr>
        <w:t>S</w:t>
      </w:r>
      <w:r w:rsidR="00913603" w:rsidRPr="00AB7718">
        <w:rPr>
          <w:lang w:val="en-US"/>
        </w:rPr>
        <w:t>aetre</w:t>
      </w:r>
      <w:proofErr w:type="spellEnd"/>
      <w:r w:rsidRPr="00AB7718">
        <w:rPr>
          <w:lang w:val="en-US"/>
        </w:rPr>
        <w:t>, Tor Oskar; M</w:t>
      </w:r>
      <w:r w:rsidR="00913603" w:rsidRPr="00AB7718">
        <w:rPr>
          <w:lang w:val="en-US"/>
        </w:rPr>
        <w:t>idtgård</w:t>
      </w:r>
      <w:r w:rsidRPr="00AB7718">
        <w:rPr>
          <w:lang w:val="en-US"/>
        </w:rPr>
        <w:t>, Ole-Morten</w:t>
      </w:r>
      <w:r w:rsidR="00913603" w:rsidRPr="00AB7718">
        <w:rPr>
          <w:lang w:val="en-US"/>
        </w:rPr>
        <w:t>, 2015</w:t>
      </w:r>
      <w:r w:rsidRPr="00AB7718">
        <w:rPr>
          <w:lang w:val="en-US"/>
        </w:rPr>
        <w:t xml:space="preserve">. Extreme </w:t>
      </w:r>
      <w:proofErr w:type="spellStart"/>
      <w:r w:rsidRPr="00AB7718">
        <w:rPr>
          <w:lang w:val="en-US"/>
        </w:rPr>
        <w:t>overirradiance</w:t>
      </w:r>
      <w:proofErr w:type="spellEnd"/>
      <w:r w:rsidRPr="00AB7718">
        <w:rPr>
          <w:lang w:val="en-US"/>
        </w:rPr>
        <w:t xml:space="preserve"> events in Norway: 1.6 suns measured close to 60 N. Solar Energy, v. 115, p. 68-73.</w:t>
      </w:r>
    </w:p>
    <w:p w14:paraId="16846283" w14:textId="0D199DBF" w:rsidR="00B469EE" w:rsidRPr="00AB7718" w:rsidRDefault="00B469EE" w:rsidP="00913603">
      <w:pPr>
        <w:pStyle w:val="Refernciascorpo"/>
        <w:rPr>
          <w:lang w:val="en-US"/>
        </w:rPr>
      </w:pPr>
      <w:r w:rsidRPr="00AB7718">
        <w:rPr>
          <w:lang w:val="en-US"/>
        </w:rPr>
        <w:t>Y</w:t>
      </w:r>
      <w:r w:rsidR="00913603" w:rsidRPr="00AB7718">
        <w:rPr>
          <w:lang w:val="en-US"/>
        </w:rPr>
        <w:t>ordanov</w:t>
      </w:r>
      <w:r w:rsidRPr="00AB7718">
        <w:rPr>
          <w:lang w:val="en-US"/>
        </w:rPr>
        <w:t>, Georgi Hristov et al</w:t>
      </w:r>
      <w:r w:rsidR="00913603" w:rsidRPr="00AB7718">
        <w:rPr>
          <w:lang w:val="en-US"/>
        </w:rPr>
        <w:t>, 2012</w:t>
      </w:r>
      <w:r w:rsidRPr="00AB7718">
        <w:rPr>
          <w:lang w:val="en-US"/>
        </w:rPr>
        <w:t xml:space="preserve">. </w:t>
      </w:r>
      <w:proofErr w:type="spellStart"/>
      <w:r w:rsidRPr="00AB7718">
        <w:rPr>
          <w:lang w:val="en-US"/>
        </w:rPr>
        <w:t>Overirradiance</w:t>
      </w:r>
      <w:proofErr w:type="spellEnd"/>
      <w:r w:rsidRPr="00AB7718">
        <w:rPr>
          <w:lang w:val="en-US"/>
        </w:rPr>
        <w:t xml:space="preserve"> (cloud enhancement) events at high latitudes. In: 2012 IEEE 38th photovoltaic specialists conference (PVSC) part 2. IEEE. p. 1-7.</w:t>
      </w:r>
    </w:p>
    <w:p w14:paraId="6FC3F821" w14:textId="18082FAC" w:rsidR="00B469EE" w:rsidRPr="00AB7718" w:rsidRDefault="00B469EE" w:rsidP="00913603">
      <w:pPr>
        <w:pStyle w:val="Refernciascorpo"/>
        <w:rPr>
          <w:lang w:val="en-US"/>
        </w:rPr>
      </w:pPr>
      <w:r w:rsidRPr="00AB7718">
        <w:rPr>
          <w:lang w:val="en-US"/>
        </w:rPr>
        <w:t>Y</w:t>
      </w:r>
      <w:r w:rsidR="00913603" w:rsidRPr="00AB7718">
        <w:rPr>
          <w:lang w:val="en-US"/>
        </w:rPr>
        <w:t>ordanov</w:t>
      </w:r>
      <w:r w:rsidRPr="00AB7718">
        <w:rPr>
          <w:lang w:val="en-US"/>
        </w:rPr>
        <w:t>, Georgi Hristov</w:t>
      </w:r>
      <w:r w:rsidR="00913603" w:rsidRPr="00AB7718">
        <w:rPr>
          <w:lang w:val="en-US"/>
        </w:rPr>
        <w:t>, 2015</w:t>
      </w:r>
      <w:r w:rsidRPr="00AB7718">
        <w:rPr>
          <w:lang w:val="en-US"/>
        </w:rPr>
        <w:t xml:space="preserve">. A study of extreme </w:t>
      </w:r>
      <w:proofErr w:type="spellStart"/>
      <w:r w:rsidRPr="00AB7718">
        <w:rPr>
          <w:lang w:val="en-US"/>
        </w:rPr>
        <w:t>overirradiance</w:t>
      </w:r>
      <w:proofErr w:type="spellEnd"/>
      <w:r w:rsidRPr="00AB7718">
        <w:rPr>
          <w:lang w:val="en-US"/>
        </w:rPr>
        <w:t xml:space="preserve"> events for solar energy applications using NASA’s I3RC Monte Carlo radiative transfer model. Solar Energy, v. 122, p. 954-965.</w:t>
      </w:r>
    </w:p>
    <w:p w14:paraId="42DB3257" w14:textId="6E271336" w:rsidR="000D5F25" w:rsidRPr="004E4F43" w:rsidRDefault="000D5F25" w:rsidP="00843E29">
      <w:pPr>
        <w:pStyle w:val="REFERNCIAS"/>
        <w:rPr>
          <w:lang w:val="en-US"/>
        </w:rPr>
      </w:pPr>
    </w:p>
    <w:p w14:paraId="0B66A0EE" w14:textId="77777777" w:rsidR="00EB089D" w:rsidRPr="004E4F43" w:rsidRDefault="00EB089D">
      <w:pPr>
        <w:rPr>
          <w:b/>
          <w:lang w:val="en-US"/>
        </w:rPr>
      </w:pPr>
    </w:p>
    <w:p w14:paraId="5457E298" w14:textId="059F293A" w:rsidR="00EB089D" w:rsidRPr="004E4F43" w:rsidRDefault="00EB089D" w:rsidP="00EF1948">
      <w:pPr>
        <w:rPr>
          <w:b/>
          <w:lang w:val="en-US"/>
        </w:rPr>
      </w:pPr>
      <w:r w:rsidRPr="004E4F43">
        <w:rPr>
          <w:b/>
          <w:lang w:val="en-US"/>
        </w:rPr>
        <w:t xml:space="preserve">                         ANALYSIS OF OVERIRRADIATION EVENTS IN THE CITY OF SOUSA – PB</w:t>
      </w:r>
    </w:p>
    <w:p w14:paraId="45991EB8" w14:textId="77777777" w:rsidR="00E46DF9" w:rsidRPr="00665285" w:rsidRDefault="00E46DF9">
      <w:pPr>
        <w:rPr>
          <w:lang w:val="en-US"/>
        </w:rPr>
      </w:pPr>
    </w:p>
    <w:p w14:paraId="1E3C529C" w14:textId="717DB6B3" w:rsidR="00E46DF9" w:rsidRPr="00C636F5" w:rsidRDefault="00E46DF9" w:rsidP="00E46DF9">
      <w:pPr>
        <w:pStyle w:val="Recuodecorpodetexto"/>
        <w:tabs>
          <w:tab w:val="clear" w:pos="567"/>
        </w:tabs>
        <w:suppressAutoHyphens/>
        <w:rPr>
          <w:i/>
          <w:sz w:val="20"/>
        </w:rPr>
      </w:pPr>
      <w:r w:rsidRPr="00C636F5">
        <w:rPr>
          <w:b/>
          <w:i/>
          <w:sz w:val="20"/>
        </w:rPr>
        <w:t>Abstract.</w:t>
      </w:r>
      <w:r w:rsidRPr="00C636F5">
        <w:rPr>
          <w:i/>
          <w:sz w:val="20"/>
        </w:rPr>
        <w:t xml:space="preserve"> </w:t>
      </w:r>
      <w:r w:rsidR="000D5F25" w:rsidRPr="00EF1948">
        <w:rPr>
          <w:i/>
          <w:sz w:val="20"/>
        </w:rPr>
        <w:t xml:space="preserve">The growth of photovoltaic systems has been remarkable on a global scale, and in Brazil, it is no exception. The country boasts excellent solar resource availability, with a large number of photovoltaic systems spread throughout Brazil. Combined with centralized and distributed generation, photovoltaic solar energy has already reached the mark of 24 GW of installed capacity in Brazil, representing approximately 5.39% of the energy matrix. With a significant number of photovoltaic system installations, the phenomenon known as "overirradiance" occurs in different regions, where the measured solar irradiance value exceeds the incident irradiance from the top of the atmosphere over a short period. In this context, the objective of this article is to analyze overirradiance events that occurred in the year 2022 in the municipality of Sousa, in the state of </w:t>
      </w:r>
      <w:proofErr w:type="spellStart"/>
      <w:r w:rsidR="000D5F25" w:rsidRPr="00EF1948">
        <w:rPr>
          <w:i/>
          <w:sz w:val="20"/>
        </w:rPr>
        <w:t>Paraíba</w:t>
      </w:r>
      <w:proofErr w:type="spellEnd"/>
      <w:r w:rsidR="000D5F25" w:rsidRPr="00EF1948">
        <w:rPr>
          <w:i/>
          <w:sz w:val="20"/>
        </w:rPr>
        <w:t>. Radiometric data is collected every second, and other variables are recorded every minute, along with average, maximum, and minimum values. To analyze the difference between overirradiance events recorded in seconds and minutes, global horizontal irradiance (GHI) data were also recorded every minute. As a result, the months of March, April, and August showed the highest number of overirradiance events in minutes, while in seconds resolution, the months of April, June, and August had the highest occurrences, with August registering 768 overirradiance events exceeding 1000 W/m². Additionally, the intensities of these events were recorded as 1521 W/m² in minute resolution and 1654 W/m² in second resolution on November 5, 2022, marking the highest intensity event during the measurement campaign at the station. Furthermore, on April 16, 2022, the event with the longest duration was recorded, lasting 326 seconds</w:t>
      </w:r>
      <w:r w:rsidR="000D5F25">
        <w:rPr>
          <w:rStyle w:val="TextoAbstractChar"/>
          <w:sz w:val="20"/>
        </w:rPr>
        <w:t>.</w:t>
      </w:r>
    </w:p>
    <w:p w14:paraId="0B39F561" w14:textId="77777777" w:rsidR="00E46DF9" w:rsidRPr="00C636F5" w:rsidRDefault="00E46DF9" w:rsidP="00E46DF9">
      <w:pPr>
        <w:rPr>
          <w:lang w:val="en-US"/>
        </w:rPr>
      </w:pPr>
    </w:p>
    <w:p w14:paraId="3A5F6B8F" w14:textId="57494500" w:rsidR="00B469EE" w:rsidRPr="00191F52" w:rsidRDefault="00E46DF9" w:rsidP="00E46DF9">
      <w:pPr>
        <w:pStyle w:val="TextoAbstract"/>
        <w:rPr>
          <w:lang w:val="en-US"/>
        </w:rPr>
      </w:pPr>
      <w:r w:rsidRPr="00C636F5">
        <w:rPr>
          <w:b/>
          <w:lang w:val="en-US"/>
        </w:rPr>
        <w:t>Keywords:</w:t>
      </w:r>
      <w:r w:rsidRPr="00C636F5">
        <w:rPr>
          <w:lang w:val="en-US"/>
        </w:rPr>
        <w:t xml:space="preserve"> </w:t>
      </w:r>
      <w:r w:rsidR="000D5F25" w:rsidRPr="000D5F25">
        <w:rPr>
          <w:lang w:val="en-US"/>
        </w:rPr>
        <w:t xml:space="preserve"> </w:t>
      </w:r>
      <w:r w:rsidR="000D5F25">
        <w:rPr>
          <w:lang w:val="en-US"/>
        </w:rPr>
        <w:t>Solar Constant, Congress, Energy Wind.</w:t>
      </w:r>
    </w:p>
    <w:sectPr w:rsidR="00B469EE" w:rsidRPr="00191F52">
      <w:headerReference w:type="default" r:id="rId23"/>
      <w:pgSz w:w="11907" w:h="16840" w:code="9"/>
      <w:pgMar w:top="1134" w:right="1134" w:bottom="1134"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CDEF02" w14:textId="77777777" w:rsidR="00F32FA0" w:rsidRDefault="00F32FA0">
      <w:r>
        <w:separator/>
      </w:r>
    </w:p>
  </w:endnote>
  <w:endnote w:type="continuationSeparator" w:id="0">
    <w:p w14:paraId="11E8216C" w14:textId="77777777" w:rsidR="00F32FA0" w:rsidRDefault="00F32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4CC250" w14:textId="77777777" w:rsidR="00F32FA0" w:rsidRDefault="00F32FA0">
      <w:r>
        <w:separator/>
      </w:r>
    </w:p>
  </w:footnote>
  <w:footnote w:type="continuationSeparator" w:id="0">
    <w:p w14:paraId="64D93B31" w14:textId="77777777" w:rsidR="00F32FA0" w:rsidRDefault="00F32F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2BF11" w14:textId="738789B2" w:rsidR="006C0B7D" w:rsidRPr="00616CDF" w:rsidRDefault="001F683C">
    <w:pPr>
      <w:pStyle w:val="Cabealho"/>
      <w:jc w:val="center"/>
      <w:rPr>
        <w:i/>
        <w:iCs/>
        <w:sz w:val="16"/>
      </w:rPr>
    </w:pPr>
    <w:r>
      <w:rPr>
        <w:i/>
        <w:iCs/>
        <w:sz w:val="16"/>
      </w:rPr>
      <w:t>X</w:t>
    </w:r>
    <w:r w:rsidR="006C0B7D" w:rsidRPr="00616CDF">
      <w:rPr>
        <w:i/>
        <w:iCs/>
        <w:sz w:val="16"/>
      </w:rPr>
      <w:t xml:space="preserve"> Congresso Brasileiro de Energia Solar </w:t>
    </w:r>
    <w:r w:rsidR="006C0B7D">
      <w:rPr>
        <w:i/>
        <w:iCs/>
        <w:sz w:val="16"/>
      </w:rPr>
      <w:t>–</w:t>
    </w:r>
    <w:r w:rsidR="0025647B">
      <w:rPr>
        <w:i/>
        <w:iCs/>
        <w:sz w:val="16"/>
      </w:rPr>
      <w:t xml:space="preserve"> </w:t>
    </w:r>
    <w:r w:rsidR="00960E9F">
      <w:rPr>
        <w:i/>
        <w:iCs/>
        <w:sz w:val="16"/>
      </w:rPr>
      <w:t>Natal</w:t>
    </w:r>
    <w:r w:rsidR="00AD4010">
      <w:rPr>
        <w:i/>
        <w:iCs/>
        <w:sz w:val="16"/>
      </w:rPr>
      <w:t xml:space="preserve">, </w:t>
    </w:r>
    <w:r>
      <w:rPr>
        <w:i/>
        <w:iCs/>
        <w:sz w:val="16"/>
      </w:rPr>
      <w:t>2</w:t>
    </w:r>
    <w:r w:rsidR="00960E9F">
      <w:rPr>
        <w:i/>
        <w:iCs/>
        <w:sz w:val="16"/>
      </w:rPr>
      <w:t>7</w:t>
    </w:r>
    <w:r w:rsidR="00AD4010">
      <w:rPr>
        <w:i/>
        <w:iCs/>
        <w:sz w:val="16"/>
      </w:rPr>
      <w:t xml:space="preserve"> a </w:t>
    </w:r>
    <w:r w:rsidR="00960E9F">
      <w:rPr>
        <w:i/>
        <w:iCs/>
        <w:sz w:val="16"/>
      </w:rPr>
      <w:t>31</w:t>
    </w:r>
    <w:r w:rsidR="00AD4010">
      <w:rPr>
        <w:i/>
        <w:iCs/>
        <w:sz w:val="16"/>
      </w:rPr>
      <w:t xml:space="preserve"> de</w:t>
    </w:r>
    <w:r w:rsidR="006C0B7D" w:rsidRPr="00616CDF">
      <w:rPr>
        <w:i/>
        <w:iCs/>
        <w:sz w:val="16"/>
      </w:rPr>
      <w:t xml:space="preserve"> </w:t>
    </w:r>
    <w:r>
      <w:rPr>
        <w:i/>
        <w:iCs/>
        <w:sz w:val="16"/>
      </w:rPr>
      <w:t>maio</w:t>
    </w:r>
    <w:r w:rsidR="006C0B7D" w:rsidRPr="00616CDF">
      <w:rPr>
        <w:i/>
        <w:iCs/>
        <w:sz w:val="16"/>
      </w:rPr>
      <w:t xml:space="preserve"> de 20</w:t>
    </w:r>
    <w:r w:rsidR="0025647B">
      <w:rPr>
        <w:i/>
        <w:iCs/>
        <w:sz w:val="16"/>
      </w:rPr>
      <w:t>2</w:t>
    </w:r>
    <w:r w:rsidR="00960E9F">
      <w:rPr>
        <w:i/>
        <w:iCs/>
        <w:sz w:val="16"/>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B71DD"/>
    <w:multiLevelType w:val="multilevel"/>
    <w:tmpl w:val="CAB0716E"/>
    <w:lvl w:ilvl="0">
      <w:start w:val="2"/>
      <w:numFmt w:val="decimal"/>
      <w:lvlText w:val="%1"/>
      <w:lvlJc w:val="left"/>
      <w:pPr>
        <w:tabs>
          <w:tab w:val="num" w:pos="420"/>
        </w:tabs>
        <w:ind w:left="420" w:hanging="420"/>
      </w:pPr>
      <w:rPr>
        <w:rFonts w:hint="default"/>
      </w:rPr>
    </w:lvl>
    <w:lvl w:ilvl="1">
      <w:start w:val="5"/>
      <w:numFmt w:val="decimal"/>
      <w:lvlText w:val="%1.%2"/>
      <w:lvlJc w:val="left"/>
      <w:pPr>
        <w:tabs>
          <w:tab w:val="num" w:pos="420"/>
        </w:tabs>
        <w:ind w:left="420" w:hanging="420"/>
      </w:pPr>
      <w:rPr>
        <w:rFonts w:ascii="Times New Roman" w:hAnsi="Times New Roman" w:hint="default"/>
        <w:b/>
        <w:i w:val="0"/>
        <w:sz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2CD92A46"/>
    <w:multiLevelType w:val="multilevel"/>
    <w:tmpl w:val="CC38147E"/>
    <w:lvl w:ilvl="0">
      <w:start w:val="1"/>
      <w:numFmt w:val="decimal"/>
      <w:pStyle w:val="Sesso1"/>
      <w:lvlText w:val="%1."/>
      <w:lvlJc w:val="left"/>
      <w:pPr>
        <w:tabs>
          <w:tab w:val="num" w:pos="420"/>
        </w:tabs>
        <w:ind w:left="420" w:hanging="420"/>
      </w:pPr>
      <w:rPr>
        <w:rFonts w:hint="default"/>
      </w:rPr>
    </w:lvl>
    <w:lvl w:ilvl="1">
      <w:start w:val="3"/>
      <w:numFmt w:val="decimal"/>
      <w:pStyle w:val="Sesso2"/>
      <w:isLgl/>
      <w:lvlText w:val="%1.%2"/>
      <w:lvlJc w:val="left"/>
      <w:pPr>
        <w:tabs>
          <w:tab w:val="num" w:pos="570"/>
        </w:tabs>
        <w:ind w:left="570" w:hanging="570"/>
      </w:pPr>
      <w:rPr>
        <w:rFonts w:hint="default"/>
      </w:rPr>
    </w:lvl>
    <w:lvl w:ilvl="2">
      <w:start w:val="4"/>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 w15:restartNumberingAfterBreak="0">
    <w:nsid w:val="339754A1"/>
    <w:multiLevelType w:val="multilevel"/>
    <w:tmpl w:val="A21CBB32"/>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5151645B"/>
    <w:multiLevelType w:val="multilevel"/>
    <w:tmpl w:val="E878C75A"/>
    <w:lvl w:ilvl="0">
      <w:start w:val="1"/>
      <w:numFmt w:val="decimal"/>
      <w:lvlText w:val="%1."/>
      <w:lvlJc w:val="left"/>
      <w:pPr>
        <w:tabs>
          <w:tab w:val="num" w:pos="420"/>
        </w:tabs>
        <w:ind w:left="420" w:hanging="420"/>
      </w:pPr>
      <w:rPr>
        <w:rFonts w:hint="default"/>
      </w:rPr>
    </w:lvl>
    <w:lvl w:ilvl="1">
      <w:start w:val="3"/>
      <w:numFmt w:val="decimal"/>
      <w:isLgl/>
      <w:lvlText w:val="%1.%2"/>
      <w:lvlJc w:val="left"/>
      <w:pPr>
        <w:tabs>
          <w:tab w:val="num" w:pos="570"/>
        </w:tabs>
        <w:ind w:left="570" w:hanging="570"/>
      </w:pPr>
      <w:rPr>
        <w:rFonts w:hint="default"/>
      </w:rPr>
    </w:lvl>
    <w:lvl w:ilvl="2">
      <w:start w:val="4"/>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num w:numId="1" w16cid:durableId="114056855">
    <w:abstractNumId w:val="3"/>
  </w:num>
  <w:num w:numId="2" w16cid:durableId="1675954222">
    <w:abstractNumId w:val="0"/>
  </w:num>
  <w:num w:numId="3" w16cid:durableId="126631441">
    <w:abstractNumId w:val="2"/>
  </w:num>
  <w:num w:numId="4" w16cid:durableId="362705336">
    <w:abstractNumId w:val="1"/>
  </w:num>
  <w:num w:numId="5" w16cid:durableId="51082392">
    <w:abstractNumId w:val="1"/>
    <w:lvlOverride w:ilvl="0">
      <w:startOverride w:val="2"/>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7888665">
    <w:abstractNumId w:val="1"/>
  </w:num>
  <w:num w:numId="7" w16cid:durableId="666712610">
    <w:abstractNumId w:val="1"/>
  </w:num>
  <w:num w:numId="8" w16cid:durableId="2126774397">
    <w:abstractNumId w:val="1"/>
  </w:num>
  <w:num w:numId="9" w16cid:durableId="955872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activeWritingStyle w:appName="MSWord" w:lang="pt-BR" w:vendorID="64" w:dllVersion="6" w:nlCheck="1" w:checkStyle="0"/>
  <w:activeWritingStyle w:appName="MSWord" w:lang="en-US" w:vendorID="64" w:dllVersion="6" w:nlCheck="1" w:checkStyle="0"/>
  <w:activeWritingStyle w:appName="MSWord" w:lang="pt-BR" w:vendorID="64" w:dllVersion="4096" w:nlCheck="1" w:checkStyle="0"/>
  <w:activeWritingStyle w:appName="MSWord" w:lang="en-US" w:vendorID="64" w:dllVersion="4096" w:nlCheck="1" w:checkStyle="0"/>
  <w:activeWritingStyle w:appName="MSWord" w:lang="pt-BR" w:vendorID="64" w:dllVersion="0" w:nlCheck="1" w:checkStyle="0"/>
  <w:activeWritingStyle w:appName="MSWord" w:lang="en-US" w:vendorID="64" w:dllVersion="0" w:nlCheck="1" w:checkStyle="0"/>
  <w:activeWritingStyle w:appName="MSWord" w:lang="pt-BR" w:vendorID="1"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142"/>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M0NDExMTQwNjQzMTdV0lEKTi0uzszPAykwqQUAQ7NXmiwAAAA="/>
  </w:docVars>
  <w:rsids>
    <w:rsidRoot w:val="00572B05"/>
    <w:rsid w:val="00002DF7"/>
    <w:rsid w:val="00002FBE"/>
    <w:rsid w:val="00005ED5"/>
    <w:rsid w:val="00006AF2"/>
    <w:rsid w:val="00014075"/>
    <w:rsid w:val="00015E2A"/>
    <w:rsid w:val="00020E1A"/>
    <w:rsid w:val="00022D50"/>
    <w:rsid w:val="0002416D"/>
    <w:rsid w:val="00024371"/>
    <w:rsid w:val="00025BDF"/>
    <w:rsid w:val="00027572"/>
    <w:rsid w:val="0003043E"/>
    <w:rsid w:val="00030C78"/>
    <w:rsid w:val="000313E8"/>
    <w:rsid w:val="0003710E"/>
    <w:rsid w:val="000437BB"/>
    <w:rsid w:val="00046284"/>
    <w:rsid w:val="0005522F"/>
    <w:rsid w:val="00055A4A"/>
    <w:rsid w:val="000628E4"/>
    <w:rsid w:val="0007400D"/>
    <w:rsid w:val="000764BF"/>
    <w:rsid w:val="00082AFE"/>
    <w:rsid w:val="000862B2"/>
    <w:rsid w:val="00093917"/>
    <w:rsid w:val="000942D7"/>
    <w:rsid w:val="000977A3"/>
    <w:rsid w:val="000A29C4"/>
    <w:rsid w:val="000A64BF"/>
    <w:rsid w:val="000B06A3"/>
    <w:rsid w:val="000D0A60"/>
    <w:rsid w:val="000D5321"/>
    <w:rsid w:val="000D5F25"/>
    <w:rsid w:val="000E7A6A"/>
    <w:rsid w:val="001022B3"/>
    <w:rsid w:val="0011160C"/>
    <w:rsid w:val="00124C4D"/>
    <w:rsid w:val="00125228"/>
    <w:rsid w:val="00153E3D"/>
    <w:rsid w:val="00157B5F"/>
    <w:rsid w:val="001607D0"/>
    <w:rsid w:val="00166492"/>
    <w:rsid w:val="00173229"/>
    <w:rsid w:val="00174D53"/>
    <w:rsid w:val="00180DB5"/>
    <w:rsid w:val="00186842"/>
    <w:rsid w:val="00191EE0"/>
    <w:rsid w:val="00191F52"/>
    <w:rsid w:val="00195950"/>
    <w:rsid w:val="001B1CD7"/>
    <w:rsid w:val="001B2525"/>
    <w:rsid w:val="001B2A29"/>
    <w:rsid w:val="001B4618"/>
    <w:rsid w:val="001C31B9"/>
    <w:rsid w:val="001C4F25"/>
    <w:rsid w:val="001D1EBC"/>
    <w:rsid w:val="001D2C31"/>
    <w:rsid w:val="001D33B1"/>
    <w:rsid w:val="001D396C"/>
    <w:rsid w:val="001D5E24"/>
    <w:rsid w:val="001E203E"/>
    <w:rsid w:val="001F683C"/>
    <w:rsid w:val="001F77E3"/>
    <w:rsid w:val="00202198"/>
    <w:rsid w:val="00203033"/>
    <w:rsid w:val="0025647B"/>
    <w:rsid w:val="00271CDD"/>
    <w:rsid w:val="00285EB6"/>
    <w:rsid w:val="00292A06"/>
    <w:rsid w:val="002A0756"/>
    <w:rsid w:val="002A3098"/>
    <w:rsid w:val="002A522F"/>
    <w:rsid w:val="002A78FD"/>
    <w:rsid w:val="002B05AE"/>
    <w:rsid w:val="002B2C22"/>
    <w:rsid w:val="002B331C"/>
    <w:rsid w:val="002C4639"/>
    <w:rsid w:val="002C479F"/>
    <w:rsid w:val="002D4092"/>
    <w:rsid w:val="002D7708"/>
    <w:rsid w:val="002F75EB"/>
    <w:rsid w:val="002F764C"/>
    <w:rsid w:val="00307345"/>
    <w:rsid w:val="00311C79"/>
    <w:rsid w:val="00315443"/>
    <w:rsid w:val="00333828"/>
    <w:rsid w:val="00342DCC"/>
    <w:rsid w:val="003479C2"/>
    <w:rsid w:val="0035534C"/>
    <w:rsid w:val="0035649A"/>
    <w:rsid w:val="00361A0C"/>
    <w:rsid w:val="0037015A"/>
    <w:rsid w:val="0037433D"/>
    <w:rsid w:val="00380796"/>
    <w:rsid w:val="003928BE"/>
    <w:rsid w:val="003A02AA"/>
    <w:rsid w:val="003A79BE"/>
    <w:rsid w:val="003B45AA"/>
    <w:rsid w:val="003C1F95"/>
    <w:rsid w:val="003C32BF"/>
    <w:rsid w:val="003C55D4"/>
    <w:rsid w:val="003D0634"/>
    <w:rsid w:val="003D63FE"/>
    <w:rsid w:val="003E72AE"/>
    <w:rsid w:val="003E7BEC"/>
    <w:rsid w:val="003F397C"/>
    <w:rsid w:val="0040688C"/>
    <w:rsid w:val="004121BA"/>
    <w:rsid w:val="00413D09"/>
    <w:rsid w:val="00414F2B"/>
    <w:rsid w:val="00416DBC"/>
    <w:rsid w:val="00421558"/>
    <w:rsid w:val="00430989"/>
    <w:rsid w:val="004401ED"/>
    <w:rsid w:val="00444483"/>
    <w:rsid w:val="00444E7C"/>
    <w:rsid w:val="004459A3"/>
    <w:rsid w:val="00464E87"/>
    <w:rsid w:val="00470B58"/>
    <w:rsid w:val="00474CF0"/>
    <w:rsid w:val="00476A0D"/>
    <w:rsid w:val="00485D06"/>
    <w:rsid w:val="004861EC"/>
    <w:rsid w:val="0048744F"/>
    <w:rsid w:val="00492C85"/>
    <w:rsid w:val="00495469"/>
    <w:rsid w:val="004A454F"/>
    <w:rsid w:val="004B0B3C"/>
    <w:rsid w:val="004C3EBF"/>
    <w:rsid w:val="004D1C52"/>
    <w:rsid w:val="004D461A"/>
    <w:rsid w:val="004D4C70"/>
    <w:rsid w:val="004E4ECC"/>
    <w:rsid w:val="004E4F43"/>
    <w:rsid w:val="004E706B"/>
    <w:rsid w:val="004F42E0"/>
    <w:rsid w:val="004F554E"/>
    <w:rsid w:val="00506A98"/>
    <w:rsid w:val="005100F0"/>
    <w:rsid w:val="00520D3F"/>
    <w:rsid w:val="00522E85"/>
    <w:rsid w:val="00531700"/>
    <w:rsid w:val="00537D31"/>
    <w:rsid w:val="005449E1"/>
    <w:rsid w:val="005625A1"/>
    <w:rsid w:val="00562717"/>
    <w:rsid w:val="00563160"/>
    <w:rsid w:val="00570279"/>
    <w:rsid w:val="00571E92"/>
    <w:rsid w:val="00572B05"/>
    <w:rsid w:val="00575EBF"/>
    <w:rsid w:val="00577CE7"/>
    <w:rsid w:val="005918EE"/>
    <w:rsid w:val="00597F22"/>
    <w:rsid w:val="005A1C4E"/>
    <w:rsid w:val="005A2B2B"/>
    <w:rsid w:val="005A49E4"/>
    <w:rsid w:val="005A4D9B"/>
    <w:rsid w:val="005A670D"/>
    <w:rsid w:val="005B1B5A"/>
    <w:rsid w:val="005B24EB"/>
    <w:rsid w:val="005B54B4"/>
    <w:rsid w:val="005C176A"/>
    <w:rsid w:val="005D5638"/>
    <w:rsid w:val="005E7607"/>
    <w:rsid w:val="005F2F5F"/>
    <w:rsid w:val="005F567C"/>
    <w:rsid w:val="006023DA"/>
    <w:rsid w:val="00604259"/>
    <w:rsid w:val="00604935"/>
    <w:rsid w:val="00605982"/>
    <w:rsid w:val="006076FA"/>
    <w:rsid w:val="0061327E"/>
    <w:rsid w:val="006163B0"/>
    <w:rsid w:val="00616CDF"/>
    <w:rsid w:val="00623649"/>
    <w:rsid w:val="006253E8"/>
    <w:rsid w:val="00631A7A"/>
    <w:rsid w:val="00640FB4"/>
    <w:rsid w:val="0065125F"/>
    <w:rsid w:val="006518C6"/>
    <w:rsid w:val="00651B25"/>
    <w:rsid w:val="0066212F"/>
    <w:rsid w:val="0068369C"/>
    <w:rsid w:val="00687C92"/>
    <w:rsid w:val="00690F84"/>
    <w:rsid w:val="006911BA"/>
    <w:rsid w:val="00693861"/>
    <w:rsid w:val="006A1765"/>
    <w:rsid w:val="006A18FB"/>
    <w:rsid w:val="006A70BC"/>
    <w:rsid w:val="006B0477"/>
    <w:rsid w:val="006B1C24"/>
    <w:rsid w:val="006B56ED"/>
    <w:rsid w:val="006B65D0"/>
    <w:rsid w:val="006C0B7D"/>
    <w:rsid w:val="00701298"/>
    <w:rsid w:val="00702F21"/>
    <w:rsid w:val="00703184"/>
    <w:rsid w:val="00715202"/>
    <w:rsid w:val="00731752"/>
    <w:rsid w:val="00731C70"/>
    <w:rsid w:val="007334C2"/>
    <w:rsid w:val="00752075"/>
    <w:rsid w:val="007530FE"/>
    <w:rsid w:val="00756146"/>
    <w:rsid w:val="00781192"/>
    <w:rsid w:val="00785750"/>
    <w:rsid w:val="00785EAC"/>
    <w:rsid w:val="007915AB"/>
    <w:rsid w:val="007B02F1"/>
    <w:rsid w:val="007B0A30"/>
    <w:rsid w:val="007B0BE4"/>
    <w:rsid w:val="007B6410"/>
    <w:rsid w:val="007B6850"/>
    <w:rsid w:val="007C30E3"/>
    <w:rsid w:val="007D0292"/>
    <w:rsid w:val="007D7643"/>
    <w:rsid w:val="007D7C2C"/>
    <w:rsid w:val="007E3CB4"/>
    <w:rsid w:val="007E6279"/>
    <w:rsid w:val="0080400F"/>
    <w:rsid w:val="0080697C"/>
    <w:rsid w:val="00806DAB"/>
    <w:rsid w:val="00810E68"/>
    <w:rsid w:val="00811022"/>
    <w:rsid w:val="008113E6"/>
    <w:rsid w:val="008119DD"/>
    <w:rsid w:val="00817223"/>
    <w:rsid w:val="00825586"/>
    <w:rsid w:val="0082718A"/>
    <w:rsid w:val="008329C3"/>
    <w:rsid w:val="00836789"/>
    <w:rsid w:val="00840244"/>
    <w:rsid w:val="00843E29"/>
    <w:rsid w:val="00847FE6"/>
    <w:rsid w:val="00853C4B"/>
    <w:rsid w:val="00864BE9"/>
    <w:rsid w:val="00882A7C"/>
    <w:rsid w:val="00883329"/>
    <w:rsid w:val="008967D3"/>
    <w:rsid w:val="008A06A1"/>
    <w:rsid w:val="008B1DEA"/>
    <w:rsid w:val="008B455A"/>
    <w:rsid w:val="008B6F63"/>
    <w:rsid w:val="008C2EFB"/>
    <w:rsid w:val="008C3F74"/>
    <w:rsid w:val="008D3A2B"/>
    <w:rsid w:val="008D5D73"/>
    <w:rsid w:val="008E4386"/>
    <w:rsid w:val="008E515C"/>
    <w:rsid w:val="008E6477"/>
    <w:rsid w:val="008E7893"/>
    <w:rsid w:val="008F79C9"/>
    <w:rsid w:val="009031ED"/>
    <w:rsid w:val="009046DD"/>
    <w:rsid w:val="009057D4"/>
    <w:rsid w:val="0091209B"/>
    <w:rsid w:val="00913603"/>
    <w:rsid w:val="00913FD2"/>
    <w:rsid w:val="00917698"/>
    <w:rsid w:val="00921E8A"/>
    <w:rsid w:val="009252C6"/>
    <w:rsid w:val="00927569"/>
    <w:rsid w:val="00927DCF"/>
    <w:rsid w:val="00933597"/>
    <w:rsid w:val="00935F86"/>
    <w:rsid w:val="009413DA"/>
    <w:rsid w:val="009523A1"/>
    <w:rsid w:val="00955CE3"/>
    <w:rsid w:val="009560BF"/>
    <w:rsid w:val="00960E9F"/>
    <w:rsid w:val="00962259"/>
    <w:rsid w:val="0096541C"/>
    <w:rsid w:val="00970833"/>
    <w:rsid w:val="00974349"/>
    <w:rsid w:val="00980CB6"/>
    <w:rsid w:val="00981430"/>
    <w:rsid w:val="00987A7E"/>
    <w:rsid w:val="009917BA"/>
    <w:rsid w:val="009932BD"/>
    <w:rsid w:val="00995447"/>
    <w:rsid w:val="009963EC"/>
    <w:rsid w:val="009A2470"/>
    <w:rsid w:val="009A7D3D"/>
    <w:rsid w:val="009D3591"/>
    <w:rsid w:val="009D5E27"/>
    <w:rsid w:val="009D68B0"/>
    <w:rsid w:val="009D79DB"/>
    <w:rsid w:val="009E5195"/>
    <w:rsid w:val="00A134DC"/>
    <w:rsid w:val="00A13688"/>
    <w:rsid w:val="00A16FD1"/>
    <w:rsid w:val="00A201C8"/>
    <w:rsid w:val="00A30B2E"/>
    <w:rsid w:val="00A340C9"/>
    <w:rsid w:val="00A353F2"/>
    <w:rsid w:val="00A41C78"/>
    <w:rsid w:val="00A50A2C"/>
    <w:rsid w:val="00A6060B"/>
    <w:rsid w:val="00A75813"/>
    <w:rsid w:val="00A77C7F"/>
    <w:rsid w:val="00A87A39"/>
    <w:rsid w:val="00A90FBD"/>
    <w:rsid w:val="00A9722C"/>
    <w:rsid w:val="00AA1F8A"/>
    <w:rsid w:val="00AB2CF1"/>
    <w:rsid w:val="00AB6121"/>
    <w:rsid w:val="00AB7718"/>
    <w:rsid w:val="00AC0726"/>
    <w:rsid w:val="00AD4010"/>
    <w:rsid w:val="00AD66EA"/>
    <w:rsid w:val="00AE46C1"/>
    <w:rsid w:val="00AE7CCD"/>
    <w:rsid w:val="00AF7B58"/>
    <w:rsid w:val="00B16396"/>
    <w:rsid w:val="00B16F2B"/>
    <w:rsid w:val="00B36971"/>
    <w:rsid w:val="00B37EE4"/>
    <w:rsid w:val="00B42F2B"/>
    <w:rsid w:val="00B43CEE"/>
    <w:rsid w:val="00B469EE"/>
    <w:rsid w:val="00B53C39"/>
    <w:rsid w:val="00B57708"/>
    <w:rsid w:val="00B6235A"/>
    <w:rsid w:val="00B6492F"/>
    <w:rsid w:val="00B7171F"/>
    <w:rsid w:val="00B71D2B"/>
    <w:rsid w:val="00B7430B"/>
    <w:rsid w:val="00B81095"/>
    <w:rsid w:val="00B87611"/>
    <w:rsid w:val="00BA06ED"/>
    <w:rsid w:val="00BA5E85"/>
    <w:rsid w:val="00BC057E"/>
    <w:rsid w:val="00BD012F"/>
    <w:rsid w:val="00BE42E1"/>
    <w:rsid w:val="00BE7455"/>
    <w:rsid w:val="00BF0C08"/>
    <w:rsid w:val="00BF41F1"/>
    <w:rsid w:val="00BF5185"/>
    <w:rsid w:val="00C0030D"/>
    <w:rsid w:val="00C01148"/>
    <w:rsid w:val="00C03149"/>
    <w:rsid w:val="00C03ECE"/>
    <w:rsid w:val="00C05904"/>
    <w:rsid w:val="00C17E0F"/>
    <w:rsid w:val="00C210DC"/>
    <w:rsid w:val="00C226DF"/>
    <w:rsid w:val="00C309C7"/>
    <w:rsid w:val="00C31704"/>
    <w:rsid w:val="00C31BB2"/>
    <w:rsid w:val="00C40580"/>
    <w:rsid w:val="00C40635"/>
    <w:rsid w:val="00C429DC"/>
    <w:rsid w:val="00C45BBB"/>
    <w:rsid w:val="00C5134C"/>
    <w:rsid w:val="00C820D7"/>
    <w:rsid w:val="00C87ABB"/>
    <w:rsid w:val="00C9725C"/>
    <w:rsid w:val="00C9741B"/>
    <w:rsid w:val="00CA019E"/>
    <w:rsid w:val="00CA318B"/>
    <w:rsid w:val="00CA41D1"/>
    <w:rsid w:val="00CB3164"/>
    <w:rsid w:val="00CB3FE0"/>
    <w:rsid w:val="00CC03FB"/>
    <w:rsid w:val="00CD0320"/>
    <w:rsid w:val="00CD09D2"/>
    <w:rsid w:val="00CD18B0"/>
    <w:rsid w:val="00CD47B2"/>
    <w:rsid w:val="00CD6649"/>
    <w:rsid w:val="00CD6CC4"/>
    <w:rsid w:val="00D01732"/>
    <w:rsid w:val="00D065AB"/>
    <w:rsid w:val="00D06C34"/>
    <w:rsid w:val="00D24A4F"/>
    <w:rsid w:val="00D26EC8"/>
    <w:rsid w:val="00D33012"/>
    <w:rsid w:val="00D37015"/>
    <w:rsid w:val="00D377F2"/>
    <w:rsid w:val="00D45ED7"/>
    <w:rsid w:val="00D47397"/>
    <w:rsid w:val="00D5155C"/>
    <w:rsid w:val="00D65004"/>
    <w:rsid w:val="00D74690"/>
    <w:rsid w:val="00D810D5"/>
    <w:rsid w:val="00D81449"/>
    <w:rsid w:val="00D829E1"/>
    <w:rsid w:val="00D846E6"/>
    <w:rsid w:val="00D871AC"/>
    <w:rsid w:val="00D90012"/>
    <w:rsid w:val="00D9019A"/>
    <w:rsid w:val="00D913EF"/>
    <w:rsid w:val="00DB005B"/>
    <w:rsid w:val="00DB1FE4"/>
    <w:rsid w:val="00DB4533"/>
    <w:rsid w:val="00DB528B"/>
    <w:rsid w:val="00DC2D20"/>
    <w:rsid w:val="00DC377A"/>
    <w:rsid w:val="00DC7289"/>
    <w:rsid w:val="00DD02E3"/>
    <w:rsid w:val="00E11A1D"/>
    <w:rsid w:val="00E13CA6"/>
    <w:rsid w:val="00E21B58"/>
    <w:rsid w:val="00E33F6D"/>
    <w:rsid w:val="00E36B02"/>
    <w:rsid w:val="00E46DF9"/>
    <w:rsid w:val="00E74C81"/>
    <w:rsid w:val="00E75208"/>
    <w:rsid w:val="00E934C2"/>
    <w:rsid w:val="00EA0E23"/>
    <w:rsid w:val="00EB059D"/>
    <w:rsid w:val="00EB089D"/>
    <w:rsid w:val="00ED1330"/>
    <w:rsid w:val="00ED1802"/>
    <w:rsid w:val="00ED3E08"/>
    <w:rsid w:val="00EE75C8"/>
    <w:rsid w:val="00EF1948"/>
    <w:rsid w:val="00EF49A3"/>
    <w:rsid w:val="00F05D94"/>
    <w:rsid w:val="00F07518"/>
    <w:rsid w:val="00F12A41"/>
    <w:rsid w:val="00F13FE0"/>
    <w:rsid w:val="00F17CF2"/>
    <w:rsid w:val="00F23A92"/>
    <w:rsid w:val="00F26DDB"/>
    <w:rsid w:val="00F26FC7"/>
    <w:rsid w:val="00F32FA0"/>
    <w:rsid w:val="00F35595"/>
    <w:rsid w:val="00F35D06"/>
    <w:rsid w:val="00F550F3"/>
    <w:rsid w:val="00F70A96"/>
    <w:rsid w:val="00F879C9"/>
    <w:rsid w:val="00F87AF2"/>
    <w:rsid w:val="00F910BD"/>
    <w:rsid w:val="00F9477C"/>
    <w:rsid w:val="00F96885"/>
    <w:rsid w:val="00F970EB"/>
    <w:rsid w:val="00FA54F9"/>
    <w:rsid w:val="00FB06F1"/>
    <w:rsid w:val="00FB3A08"/>
    <w:rsid w:val="00FC0394"/>
    <w:rsid w:val="00FC4160"/>
    <w:rsid w:val="00FC5685"/>
    <w:rsid w:val="00FC7CF9"/>
    <w:rsid w:val="00FD1526"/>
    <w:rsid w:val="00FD2DF2"/>
    <w:rsid w:val="00FE39A6"/>
    <w:rsid w:val="00FF44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CDA3ED"/>
  <w15:docId w15:val="{43711BAC-C445-4988-9108-CB4CAB047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Corpodetexto"/>
    <w:next w:val="Normal"/>
    <w:qFormat/>
    <w:rsid w:val="007E3CB4"/>
    <w:pPr>
      <w:outlineLvl w:val="0"/>
    </w:pPr>
    <w:rPr>
      <w:sz w:val="28"/>
      <w:szCs w:val="28"/>
      <w:lang w:val="pt-BR"/>
    </w:rPr>
  </w:style>
  <w:style w:type="paragraph" w:styleId="Ttulo5">
    <w:name w:val="heading 5"/>
    <w:basedOn w:val="Normal"/>
    <w:next w:val="Normal"/>
    <w:qFormat/>
    <w:pPr>
      <w:keepNext/>
      <w:jc w:val="center"/>
      <w:outlineLvl w:val="4"/>
    </w:pPr>
    <w:rPr>
      <w:b/>
      <w:lang w:val="en-US" w:eastAsia="en-US"/>
    </w:rPr>
  </w:style>
  <w:style w:type="paragraph" w:styleId="Ttulo6">
    <w:name w:val="heading 6"/>
    <w:basedOn w:val="Normal"/>
    <w:next w:val="Normal"/>
    <w:qFormat/>
    <w:pPr>
      <w:keepNext/>
      <w:outlineLvl w:val="5"/>
    </w:pPr>
    <w:rPr>
      <w:b/>
      <w:lang w:val="en-US" w:eastAsia="en-US"/>
    </w:rPr>
  </w:style>
  <w:style w:type="paragraph" w:styleId="Ttulo7">
    <w:name w:val="heading 7"/>
    <w:basedOn w:val="Recuodecorpodetexto"/>
    <w:next w:val="Normal"/>
    <w:qFormat/>
    <w:rsid w:val="00C309C7"/>
    <w:pPr>
      <w:tabs>
        <w:tab w:val="clear" w:pos="567"/>
      </w:tabs>
      <w:suppressAutoHyphens/>
      <w:outlineLvl w:val="6"/>
    </w:pPr>
    <w:rPr>
      <w:b/>
      <w:i/>
      <w:sz w:val="20"/>
      <w:lang w:val="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pPr>
      <w:jc w:val="center"/>
    </w:pPr>
    <w:rPr>
      <w:b/>
      <w:sz w:val="24"/>
      <w:lang w:val="en-US" w:eastAsia="en-US"/>
    </w:rPr>
  </w:style>
  <w:style w:type="paragraph" w:styleId="Recuodecorpodetexto">
    <w:name w:val="Body Text Indent"/>
    <w:basedOn w:val="Normal"/>
    <w:link w:val="RecuodecorpodetextoChar"/>
    <w:pPr>
      <w:tabs>
        <w:tab w:val="left" w:pos="567"/>
      </w:tabs>
      <w:jc w:val="both"/>
    </w:pPr>
    <w:rPr>
      <w:sz w:val="24"/>
      <w:lang w:val="en-US" w:eastAsia="en-US"/>
    </w:rPr>
  </w:style>
  <w:style w:type="paragraph" w:styleId="Recuodecorpodetexto2">
    <w:name w:val="Body Text Indent 2"/>
    <w:basedOn w:val="Normal"/>
    <w:pPr>
      <w:tabs>
        <w:tab w:val="left" w:pos="426"/>
      </w:tabs>
      <w:ind w:left="426" w:hanging="426"/>
    </w:pPr>
    <w:rPr>
      <w:sz w:val="24"/>
      <w:lang w:val="en-US" w:eastAsia="en-US"/>
    </w:rPr>
  </w:style>
  <w:style w:type="paragraph" w:styleId="Recuodecorpodetexto3">
    <w:name w:val="Body Text Indent 3"/>
    <w:basedOn w:val="Normal"/>
    <w:pPr>
      <w:tabs>
        <w:tab w:val="left" w:pos="426"/>
      </w:tabs>
      <w:ind w:left="426" w:hanging="426"/>
      <w:jc w:val="both"/>
    </w:pPr>
    <w:rPr>
      <w:sz w:val="24"/>
      <w:lang w:val="en-US" w:eastAsia="en-US"/>
    </w:rPr>
  </w:style>
  <w:style w:type="paragraph" w:styleId="MapadoDocumento">
    <w:name w:val="Document Map"/>
    <w:basedOn w:val="Normal"/>
    <w:semiHidden/>
    <w:pPr>
      <w:shd w:val="clear" w:color="auto" w:fill="000080"/>
    </w:pPr>
    <w:rPr>
      <w:rFonts w:ascii="Tahoma" w:hAnsi="Tahoma"/>
    </w:rPr>
  </w:style>
  <w:style w:type="paragraph" w:styleId="Cabealho">
    <w:name w:val="header"/>
    <w:basedOn w:val="Normal"/>
    <w:pPr>
      <w:tabs>
        <w:tab w:val="center" w:pos="4419"/>
        <w:tab w:val="right" w:pos="8838"/>
      </w:tabs>
    </w:pPr>
  </w:style>
  <w:style w:type="paragraph" w:styleId="Rodap">
    <w:name w:val="footer"/>
    <w:basedOn w:val="Normal"/>
    <w:pPr>
      <w:tabs>
        <w:tab w:val="center" w:pos="4419"/>
        <w:tab w:val="right" w:pos="8838"/>
      </w:tabs>
    </w:pPr>
  </w:style>
  <w:style w:type="paragraph" w:styleId="TextosemFormatao">
    <w:name w:val="Plain Text"/>
    <w:basedOn w:val="Normal"/>
    <w:rsid w:val="00CD47B2"/>
    <w:rPr>
      <w:rFonts w:ascii="Courier New" w:hAnsi="Courier New" w:cs="Courier New"/>
      <w:lang w:val="en-US" w:eastAsia="en-US"/>
    </w:rPr>
  </w:style>
  <w:style w:type="paragraph" w:styleId="Reviso">
    <w:name w:val="Revision"/>
    <w:hidden/>
    <w:uiPriority w:val="99"/>
    <w:semiHidden/>
    <w:rsid w:val="00CB3164"/>
  </w:style>
  <w:style w:type="paragraph" w:styleId="Textodebalo">
    <w:name w:val="Balloon Text"/>
    <w:basedOn w:val="Normal"/>
    <w:link w:val="TextodebaloChar"/>
    <w:rsid w:val="00CB3164"/>
    <w:rPr>
      <w:rFonts w:ascii="Tahoma" w:hAnsi="Tahoma"/>
      <w:sz w:val="16"/>
      <w:szCs w:val="16"/>
      <w:lang w:val="x-none" w:eastAsia="x-none"/>
    </w:rPr>
  </w:style>
  <w:style w:type="character" w:customStyle="1" w:styleId="TextodebaloChar">
    <w:name w:val="Texto de balão Char"/>
    <w:link w:val="Textodebalo"/>
    <w:rsid w:val="00CB3164"/>
    <w:rPr>
      <w:rFonts w:ascii="Tahoma" w:hAnsi="Tahoma" w:cs="Tahoma"/>
      <w:sz w:val="16"/>
      <w:szCs w:val="16"/>
    </w:rPr>
  </w:style>
  <w:style w:type="character" w:styleId="Hyperlink">
    <w:name w:val="Hyperlink"/>
    <w:rsid w:val="008D5D73"/>
    <w:rPr>
      <w:color w:val="0000FF"/>
      <w:u w:val="single"/>
    </w:rPr>
  </w:style>
  <w:style w:type="character" w:styleId="Refdecomentrio">
    <w:name w:val="annotation reference"/>
    <w:rsid w:val="00F550F3"/>
    <w:rPr>
      <w:sz w:val="16"/>
      <w:szCs w:val="16"/>
    </w:rPr>
  </w:style>
  <w:style w:type="paragraph" w:styleId="Textodecomentrio">
    <w:name w:val="annotation text"/>
    <w:basedOn w:val="Normal"/>
    <w:link w:val="TextodecomentrioChar"/>
    <w:rsid w:val="00F550F3"/>
  </w:style>
  <w:style w:type="character" w:customStyle="1" w:styleId="TextodecomentrioChar">
    <w:name w:val="Texto de comentário Char"/>
    <w:basedOn w:val="Fontepargpadro"/>
    <w:link w:val="Textodecomentrio"/>
    <w:rsid w:val="00F550F3"/>
  </w:style>
  <w:style w:type="paragraph" w:styleId="Assuntodocomentrio">
    <w:name w:val="annotation subject"/>
    <w:basedOn w:val="Textodecomentrio"/>
    <w:next w:val="Textodecomentrio"/>
    <w:link w:val="AssuntodocomentrioChar"/>
    <w:rsid w:val="00F550F3"/>
    <w:rPr>
      <w:b/>
      <w:bCs/>
      <w:lang w:val="x-none" w:eastAsia="x-none"/>
    </w:rPr>
  </w:style>
  <w:style w:type="character" w:customStyle="1" w:styleId="AssuntodocomentrioChar">
    <w:name w:val="Assunto do comentário Char"/>
    <w:link w:val="Assuntodocomentrio"/>
    <w:rsid w:val="00F550F3"/>
    <w:rPr>
      <w:b/>
      <w:bCs/>
    </w:rPr>
  </w:style>
  <w:style w:type="paragraph" w:customStyle="1" w:styleId="Sesso1">
    <w:name w:val="Sessão 1"/>
    <w:basedOn w:val="Normal"/>
    <w:link w:val="Sesso1Char"/>
    <w:qFormat/>
    <w:rsid w:val="007E3CB4"/>
    <w:pPr>
      <w:numPr>
        <w:numId w:val="4"/>
      </w:numPr>
    </w:pPr>
    <w:rPr>
      <w:b/>
    </w:rPr>
  </w:style>
  <w:style w:type="paragraph" w:customStyle="1" w:styleId="Sesso2">
    <w:name w:val="Sessão 2"/>
    <w:basedOn w:val="Sesso1"/>
    <w:link w:val="Sesso2Char"/>
    <w:qFormat/>
    <w:rsid w:val="00C309C7"/>
    <w:pPr>
      <w:numPr>
        <w:ilvl w:val="1"/>
      </w:numPr>
    </w:pPr>
  </w:style>
  <w:style w:type="character" w:customStyle="1" w:styleId="Sesso1Char">
    <w:name w:val="Sessão 1 Char"/>
    <w:basedOn w:val="Fontepargpadro"/>
    <w:link w:val="Sesso1"/>
    <w:rsid w:val="007E3CB4"/>
    <w:rPr>
      <w:b/>
    </w:rPr>
  </w:style>
  <w:style w:type="paragraph" w:customStyle="1" w:styleId="CorpodoTexto">
    <w:name w:val="Corpo do Texto"/>
    <w:basedOn w:val="Recuodecorpodetexto"/>
    <w:link w:val="CorpodoTextoChar"/>
    <w:qFormat/>
    <w:rsid w:val="00C309C7"/>
    <w:pPr>
      <w:tabs>
        <w:tab w:val="clear" w:pos="567"/>
        <w:tab w:val="left" w:pos="426"/>
      </w:tabs>
    </w:pPr>
    <w:rPr>
      <w:sz w:val="20"/>
      <w:lang w:val="pt-BR"/>
    </w:rPr>
  </w:style>
  <w:style w:type="character" w:customStyle="1" w:styleId="Sesso2Char">
    <w:name w:val="Sessão 2 Char"/>
    <w:basedOn w:val="Fontepargpadro"/>
    <w:link w:val="Sesso2"/>
    <w:rsid w:val="00C309C7"/>
    <w:rPr>
      <w:b/>
    </w:rPr>
  </w:style>
  <w:style w:type="paragraph" w:customStyle="1" w:styleId="TextoAbstract">
    <w:name w:val="Texto Abstract"/>
    <w:basedOn w:val="Ttulo7"/>
    <w:link w:val="TextoAbstractChar"/>
    <w:qFormat/>
    <w:rsid w:val="00C309C7"/>
    <w:rPr>
      <w:b w:val="0"/>
    </w:rPr>
  </w:style>
  <w:style w:type="character" w:customStyle="1" w:styleId="RecuodecorpodetextoChar">
    <w:name w:val="Recuo de corpo de texto Char"/>
    <w:basedOn w:val="Fontepargpadro"/>
    <w:link w:val="Recuodecorpodetexto"/>
    <w:rsid w:val="00C309C7"/>
    <w:rPr>
      <w:sz w:val="24"/>
      <w:lang w:val="en-US" w:eastAsia="en-US"/>
    </w:rPr>
  </w:style>
  <w:style w:type="character" w:customStyle="1" w:styleId="CorpodoTextoChar">
    <w:name w:val="Corpo do Texto Char"/>
    <w:basedOn w:val="RecuodecorpodetextoChar"/>
    <w:link w:val="CorpodoTexto"/>
    <w:rsid w:val="00C309C7"/>
    <w:rPr>
      <w:sz w:val="24"/>
      <w:lang w:val="en-US" w:eastAsia="en-US"/>
    </w:rPr>
  </w:style>
  <w:style w:type="paragraph" w:customStyle="1" w:styleId="Legendas">
    <w:name w:val="Legendas"/>
    <w:basedOn w:val="Normal"/>
    <w:link w:val="LegendasChar"/>
    <w:qFormat/>
    <w:rsid w:val="00C309C7"/>
    <w:pPr>
      <w:jc w:val="center"/>
    </w:pPr>
    <w:rPr>
      <w:szCs w:val="24"/>
    </w:rPr>
  </w:style>
  <w:style w:type="character" w:customStyle="1" w:styleId="TextoAbstractChar">
    <w:name w:val="Texto Abstract Char"/>
    <w:basedOn w:val="Fontepargpadro"/>
    <w:link w:val="TextoAbstract"/>
    <w:rsid w:val="00C309C7"/>
    <w:rPr>
      <w:i/>
      <w:lang w:eastAsia="en-US"/>
    </w:rPr>
  </w:style>
  <w:style w:type="character" w:customStyle="1" w:styleId="LegendasChar">
    <w:name w:val="Legendas Char"/>
    <w:basedOn w:val="Fontepargpadro"/>
    <w:link w:val="Legendas"/>
    <w:rsid w:val="00C309C7"/>
    <w:rPr>
      <w:szCs w:val="24"/>
    </w:rPr>
  </w:style>
  <w:style w:type="table" w:styleId="Tabelacomgrade">
    <w:name w:val="Table Grid"/>
    <w:basedOn w:val="Tabelanormal"/>
    <w:rsid w:val="00843E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S">
    <w:name w:val="REFERÊNCIAS"/>
    <w:basedOn w:val="Normal"/>
    <w:link w:val="REFERNCIASChar"/>
    <w:qFormat/>
    <w:rsid w:val="00843E29"/>
    <w:rPr>
      <w:b/>
      <w:caps/>
    </w:rPr>
  </w:style>
  <w:style w:type="paragraph" w:customStyle="1" w:styleId="Refernciascorpo">
    <w:name w:val="Referências corpo"/>
    <w:basedOn w:val="Normal"/>
    <w:link w:val="RefernciascorpoChar"/>
    <w:qFormat/>
    <w:rsid w:val="00843E29"/>
    <w:pPr>
      <w:tabs>
        <w:tab w:val="left" w:pos="426"/>
      </w:tabs>
      <w:ind w:left="425" w:hanging="425"/>
      <w:jc w:val="both"/>
    </w:pPr>
    <w:rPr>
      <w:bCs/>
      <w:szCs w:val="24"/>
    </w:rPr>
  </w:style>
  <w:style w:type="character" w:customStyle="1" w:styleId="REFERNCIASChar">
    <w:name w:val="REFERÊNCIAS Char"/>
    <w:basedOn w:val="Fontepargpadro"/>
    <w:link w:val="REFERNCIAS"/>
    <w:rsid w:val="00843E29"/>
    <w:rPr>
      <w:b/>
      <w:caps/>
    </w:rPr>
  </w:style>
  <w:style w:type="character" w:customStyle="1" w:styleId="RefernciascorpoChar">
    <w:name w:val="Referências corpo Char"/>
    <w:basedOn w:val="Fontepargpadro"/>
    <w:link w:val="Refernciascorpo"/>
    <w:rsid w:val="00843E29"/>
    <w:rPr>
      <w:bCs/>
      <w:szCs w:val="24"/>
    </w:rPr>
  </w:style>
  <w:style w:type="paragraph" w:styleId="Legenda">
    <w:name w:val="caption"/>
    <w:basedOn w:val="Normal"/>
    <w:next w:val="Normal"/>
    <w:unhideWhenUsed/>
    <w:qFormat/>
    <w:rsid w:val="00C5134C"/>
    <w:pPr>
      <w:spacing w:after="200"/>
    </w:pPr>
    <w:rPr>
      <w:i/>
      <w:iCs/>
      <w:color w:val="44546A" w:themeColor="text2"/>
      <w:sz w:val="18"/>
      <w:szCs w:val="18"/>
    </w:rPr>
  </w:style>
  <w:style w:type="paragraph" w:styleId="NormalWeb">
    <w:name w:val="Normal (Web)"/>
    <w:basedOn w:val="Normal"/>
    <w:uiPriority w:val="99"/>
    <w:unhideWhenUsed/>
    <w:rsid w:val="0096541C"/>
    <w:pPr>
      <w:spacing w:before="100" w:beforeAutospacing="1" w:after="100" w:afterAutospacing="1"/>
    </w:pPr>
    <w:rPr>
      <w:sz w:val="24"/>
      <w:szCs w:val="24"/>
    </w:rPr>
  </w:style>
  <w:style w:type="character" w:styleId="Forte">
    <w:name w:val="Strong"/>
    <w:basedOn w:val="Fontepargpadro"/>
    <w:uiPriority w:val="22"/>
    <w:qFormat/>
    <w:rsid w:val="00361A0C"/>
    <w:rPr>
      <w:b/>
      <w:bCs/>
    </w:rPr>
  </w:style>
  <w:style w:type="character" w:styleId="nfase">
    <w:name w:val="Emphasis"/>
    <w:basedOn w:val="Fontepargpadro"/>
    <w:uiPriority w:val="20"/>
    <w:qFormat/>
    <w:rsid w:val="00361A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81966">
      <w:bodyDiv w:val="1"/>
      <w:marLeft w:val="0"/>
      <w:marRight w:val="0"/>
      <w:marTop w:val="0"/>
      <w:marBottom w:val="0"/>
      <w:divBdr>
        <w:top w:val="none" w:sz="0" w:space="0" w:color="auto"/>
        <w:left w:val="none" w:sz="0" w:space="0" w:color="auto"/>
        <w:bottom w:val="none" w:sz="0" w:space="0" w:color="auto"/>
        <w:right w:val="none" w:sz="0" w:space="0" w:color="auto"/>
      </w:divBdr>
    </w:div>
    <w:div w:id="552470335">
      <w:bodyDiv w:val="1"/>
      <w:marLeft w:val="0"/>
      <w:marRight w:val="0"/>
      <w:marTop w:val="0"/>
      <w:marBottom w:val="0"/>
      <w:divBdr>
        <w:top w:val="none" w:sz="0" w:space="0" w:color="auto"/>
        <w:left w:val="none" w:sz="0" w:space="0" w:color="auto"/>
        <w:bottom w:val="none" w:sz="0" w:space="0" w:color="auto"/>
        <w:right w:val="none" w:sz="0" w:space="0" w:color="auto"/>
      </w:divBdr>
    </w:div>
    <w:div w:id="882987335">
      <w:bodyDiv w:val="1"/>
      <w:marLeft w:val="0"/>
      <w:marRight w:val="0"/>
      <w:marTop w:val="0"/>
      <w:marBottom w:val="0"/>
      <w:divBdr>
        <w:top w:val="none" w:sz="0" w:space="0" w:color="auto"/>
        <w:left w:val="none" w:sz="0" w:space="0" w:color="auto"/>
        <w:bottom w:val="none" w:sz="0" w:space="0" w:color="auto"/>
        <w:right w:val="none" w:sz="0" w:space="0" w:color="auto"/>
      </w:divBdr>
    </w:div>
    <w:div w:id="1181890634">
      <w:bodyDiv w:val="1"/>
      <w:marLeft w:val="0"/>
      <w:marRight w:val="0"/>
      <w:marTop w:val="0"/>
      <w:marBottom w:val="0"/>
      <w:divBdr>
        <w:top w:val="none" w:sz="0" w:space="0" w:color="auto"/>
        <w:left w:val="none" w:sz="0" w:space="0" w:color="auto"/>
        <w:bottom w:val="none" w:sz="0" w:space="0" w:color="auto"/>
        <w:right w:val="none" w:sz="0" w:space="0" w:color="auto"/>
      </w:divBdr>
    </w:div>
    <w:div w:id="1185940222">
      <w:bodyDiv w:val="1"/>
      <w:marLeft w:val="0"/>
      <w:marRight w:val="0"/>
      <w:marTop w:val="0"/>
      <w:marBottom w:val="0"/>
      <w:divBdr>
        <w:top w:val="none" w:sz="0" w:space="0" w:color="auto"/>
        <w:left w:val="none" w:sz="0" w:space="0" w:color="auto"/>
        <w:bottom w:val="none" w:sz="0" w:space="0" w:color="auto"/>
        <w:right w:val="none" w:sz="0" w:space="0" w:color="auto"/>
      </w:divBdr>
    </w:div>
    <w:div w:id="1252813477">
      <w:bodyDiv w:val="1"/>
      <w:marLeft w:val="0"/>
      <w:marRight w:val="0"/>
      <w:marTop w:val="0"/>
      <w:marBottom w:val="0"/>
      <w:divBdr>
        <w:top w:val="none" w:sz="0" w:space="0" w:color="auto"/>
        <w:left w:val="none" w:sz="0" w:space="0" w:color="auto"/>
        <w:bottom w:val="none" w:sz="0" w:space="0" w:color="auto"/>
        <w:right w:val="none" w:sz="0" w:space="0" w:color="auto"/>
      </w:divBdr>
    </w:div>
    <w:div w:id="1677606994">
      <w:bodyDiv w:val="1"/>
      <w:marLeft w:val="0"/>
      <w:marRight w:val="0"/>
      <w:marTop w:val="0"/>
      <w:marBottom w:val="0"/>
      <w:divBdr>
        <w:top w:val="none" w:sz="0" w:space="0" w:color="auto"/>
        <w:left w:val="none" w:sz="0" w:space="0" w:color="auto"/>
        <w:bottom w:val="none" w:sz="0" w:space="0" w:color="auto"/>
        <w:right w:val="none" w:sz="0" w:space="0" w:color="auto"/>
      </w:divBdr>
    </w:div>
    <w:div w:id="1986663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hart" Target="charts/chart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hart" Target="charts/chart2.xml"/><Relationship Id="rId20" Type="http://schemas.openxmlformats.org/officeDocument/2006/relationships/chart" Target="charts/chart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chart" Target="charts/chart1.xm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8.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lan%20Sousa\Documents\Alan\1.%20Pessoal\1.2%20Publica&#231;&#245;es\2023%20-%20X%20CBENS\An&#225;lise%20dos%20eventos%20de%20sobreirrradi&#226;ncia%20na%20cidade%20de%20Sousa-PB\Planilhas\Planilha_Ala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lan%20Sousa\Documents\Alan\1.%20Pessoal\1.2%20Publica&#231;&#245;es\2023%20-%20X%20CBENS\An&#225;lise%20dos%20eventos%20de%20sobreirrradi&#226;ncia%20na%20cidade%20de%20Sousa-PB\Planilhas\Planilha_Alan.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lan%20Sousa\Documents\Alan\1.%20Pessoal\1.2%20Publica&#231;&#245;es\2023%20-%20X%20CBENS\An&#225;lise%20dos%20eventos%20de%20sobreirrradi&#226;ncia%20na%20cidade%20de%20Sousa-PB\Planilhas\Planilha_Alan.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lan%20Sousa\Documents\Alan\1.%20Pessoal\1.2%20Publica&#231;&#245;es\2023%20-%20X%20CBENS\An&#225;lise%20dos%20eventos%20de%20sobreirrradi&#226;ncia%20na%20cidade%20de%20Sousa-PB\Planilhas\Planilha_Alan.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06225490196078"/>
          <c:y val="5.1726126205533886E-2"/>
          <c:w val="0.73879166666666662"/>
          <c:h val="0.83067399719412671"/>
        </c:manualLayout>
      </c:layout>
      <c:barChart>
        <c:barDir val="col"/>
        <c:grouping val="clustered"/>
        <c:varyColors val="0"/>
        <c:ser>
          <c:idx val="0"/>
          <c:order val="0"/>
          <c:tx>
            <c:strRef>
              <c:f>Planilha1!$C$3</c:f>
              <c:strCache>
                <c:ptCount val="1"/>
                <c:pt idx="0">
                  <c:v>1 minuto</c:v>
                </c:pt>
              </c:strCache>
            </c:strRef>
          </c:tx>
          <c:spPr>
            <a:solidFill>
              <a:srgbClr val="FF0000"/>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Planilha1!$B$4:$B$15</c:f>
              <c:strCache>
                <c:ptCount val="12"/>
                <c:pt idx="0">
                  <c:v>Jan</c:v>
                </c:pt>
                <c:pt idx="1">
                  <c:v>Fev</c:v>
                </c:pt>
                <c:pt idx="2">
                  <c:v>Mar</c:v>
                </c:pt>
                <c:pt idx="3">
                  <c:v>Abr</c:v>
                </c:pt>
                <c:pt idx="4">
                  <c:v>Mai</c:v>
                </c:pt>
                <c:pt idx="5">
                  <c:v>Jun</c:v>
                </c:pt>
                <c:pt idx="6">
                  <c:v>Jul</c:v>
                </c:pt>
                <c:pt idx="7">
                  <c:v>Ago</c:v>
                </c:pt>
                <c:pt idx="8">
                  <c:v>Set</c:v>
                </c:pt>
                <c:pt idx="9">
                  <c:v>Out</c:v>
                </c:pt>
                <c:pt idx="10">
                  <c:v>Nov</c:v>
                </c:pt>
                <c:pt idx="11">
                  <c:v>Dez</c:v>
                </c:pt>
              </c:strCache>
            </c:strRef>
          </c:cat>
          <c:val>
            <c:numRef>
              <c:f>Planilha1!$C$4:$C$15</c:f>
              <c:numCache>
                <c:formatCode>General</c:formatCode>
                <c:ptCount val="12"/>
                <c:pt idx="0">
                  <c:v>28</c:v>
                </c:pt>
                <c:pt idx="1">
                  <c:v>21</c:v>
                </c:pt>
                <c:pt idx="2">
                  <c:v>32</c:v>
                </c:pt>
                <c:pt idx="3">
                  <c:v>31</c:v>
                </c:pt>
                <c:pt idx="4">
                  <c:v>25</c:v>
                </c:pt>
                <c:pt idx="5">
                  <c:v>29</c:v>
                </c:pt>
                <c:pt idx="6">
                  <c:v>27</c:v>
                </c:pt>
                <c:pt idx="7">
                  <c:v>41</c:v>
                </c:pt>
                <c:pt idx="8">
                  <c:v>31</c:v>
                </c:pt>
                <c:pt idx="9">
                  <c:v>9</c:v>
                </c:pt>
                <c:pt idx="10">
                  <c:v>9</c:v>
                </c:pt>
                <c:pt idx="11">
                  <c:v>17</c:v>
                </c:pt>
              </c:numCache>
            </c:numRef>
          </c:val>
          <c:extLst>
            <c:ext xmlns:c16="http://schemas.microsoft.com/office/drawing/2014/chart" uri="{C3380CC4-5D6E-409C-BE32-E72D297353CC}">
              <c16:uniqueId val="{00000000-688C-47C7-81DE-CCF85855E81F}"/>
            </c:ext>
          </c:extLst>
        </c:ser>
        <c:ser>
          <c:idx val="1"/>
          <c:order val="1"/>
          <c:tx>
            <c:strRef>
              <c:f>Planilha1!$D$3</c:f>
              <c:strCache>
                <c:ptCount val="1"/>
                <c:pt idx="0">
                  <c:v>1 segundo</c:v>
                </c:pt>
              </c:strCache>
            </c:strRef>
          </c:tx>
          <c:spPr>
            <a:solidFill>
              <a:srgbClr val="002060"/>
            </a:solidFill>
            <a:ln>
              <a:solidFill>
                <a:schemeClr val="tx1">
                  <a:lumMod val="65000"/>
                  <a:lumOff val="35000"/>
                </a:schemeClr>
              </a:solid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Planilha1!$B$4:$B$15</c:f>
              <c:strCache>
                <c:ptCount val="12"/>
                <c:pt idx="0">
                  <c:v>Jan</c:v>
                </c:pt>
                <c:pt idx="1">
                  <c:v>Fev</c:v>
                </c:pt>
                <c:pt idx="2">
                  <c:v>Mar</c:v>
                </c:pt>
                <c:pt idx="3">
                  <c:v>Abr</c:v>
                </c:pt>
                <c:pt idx="4">
                  <c:v>Mai</c:v>
                </c:pt>
                <c:pt idx="5">
                  <c:v>Jun</c:v>
                </c:pt>
                <c:pt idx="6">
                  <c:v>Jul</c:v>
                </c:pt>
                <c:pt idx="7">
                  <c:v>Ago</c:v>
                </c:pt>
                <c:pt idx="8">
                  <c:v>Set</c:v>
                </c:pt>
                <c:pt idx="9">
                  <c:v>Out</c:v>
                </c:pt>
                <c:pt idx="10">
                  <c:v>Nov</c:v>
                </c:pt>
                <c:pt idx="11">
                  <c:v>Dez</c:v>
                </c:pt>
              </c:strCache>
            </c:strRef>
          </c:cat>
          <c:val>
            <c:numRef>
              <c:f>Planilha1!$D$4:$D$15</c:f>
              <c:numCache>
                <c:formatCode>General</c:formatCode>
                <c:ptCount val="12"/>
                <c:pt idx="0">
                  <c:v>287</c:v>
                </c:pt>
                <c:pt idx="1">
                  <c:v>166</c:v>
                </c:pt>
                <c:pt idx="2">
                  <c:v>466</c:v>
                </c:pt>
                <c:pt idx="3">
                  <c:v>611</c:v>
                </c:pt>
                <c:pt idx="4">
                  <c:v>466</c:v>
                </c:pt>
                <c:pt idx="5">
                  <c:v>517</c:v>
                </c:pt>
                <c:pt idx="6">
                  <c:v>468</c:v>
                </c:pt>
                <c:pt idx="7">
                  <c:v>768</c:v>
                </c:pt>
                <c:pt idx="8">
                  <c:v>493</c:v>
                </c:pt>
                <c:pt idx="9">
                  <c:v>182</c:v>
                </c:pt>
                <c:pt idx="10">
                  <c:v>337</c:v>
                </c:pt>
                <c:pt idx="11">
                  <c:v>288</c:v>
                </c:pt>
              </c:numCache>
            </c:numRef>
          </c:val>
          <c:extLst>
            <c:ext xmlns:c16="http://schemas.microsoft.com/office/drawing/2014/chart" uri="{C3380CC4-5D6E-409C-BE32-E72D297353CC}">
              <c16:uniqueId val="{00000001-688C-47C7-81DE-CCF85855E81F}"/>
            </c:ext>
          </c:extLst>
        </c:ser>
        <c:dLbls>
          <c:dLblPos val="outEnd"/>
          <c:showLegendKey val="0"/>
          <c:showVal val="1"/>
          <c:showCatName val="0"/>
          <c:showSerName val="0"/>
          <c:showPercent val="0"/>
          <c:showBubbleSize val="0"/>
        </c:dLbls>
        <c:gapWidth val="25"/>
        <c:overlap val="-27"/>
        <c:axId val="652746192"/>
        <c:axId val="550284912"/>
      </c:barChart>
      <c:catAx>
        <c:axId val="65274619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550284912"/>
        <c:crosses val="autoZero"/>
        <c:auto val="1"/>
        <c:lblAlgn val="ctr"/>
        <c:lblOffset val="100"/>
        <c:noMultiLvlLbl val="0"/>
      </c:catAx>
      <c:valAx>
        <c:axId val="550284912"/>
        <c:scaling>
          <c:orientation val="minMax"/>
          <c:max val="9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pt-BR"/>
                  <a:t>Ocorrências</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652746192"/>
        <c:crosses val="autoZero"/>
        <c:crossBetween val="between"/>
        <c:majorUnit val="150"/>
      </c:valAx>
      <c:spPr>
        <a:noFill/>
        <a:ln>
          <a:solidFill>
            <a:schemeClr val="tx1"/>
          </a:solid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strRef>
              <c:f>Planilha1!$C$21</c:f>
              <c:strCache>
                <c:ptCount val="1"/>
                <c:pt idx="0">
                  <c:v>1 minuto</c:v>
                </c:pt>
              </c:strCache>
            </c:strRef>
          </c:tx>
          <c:spPr>
            <a:solidFill>
              <a:srgbClr val="04A804"/>
            </a:solidFill>
            <a:ln>
              <a:solidFill>
                <a:schemeClr val="tx1">
                  <a:lumMod val="75000"/>
                  <a:lumOff val="25000"/>
                </a:schemeClr>
              </a:solidFill>
            </a:ln>
            <a:effectLst/>
          </c:spPr>
          <c:invertIfNegative val="0"/>
          <c:cat>
            <c:strRef>
              <c:f>Planilha1!$B$22:$B$33</c:f>
              <c:strCache>
                <c:ptCount val="12"/>
                <c:pt idx="0">
                  <c:v>Jan</c:v>
                </c:pt>
                <c:pt idx="1">
                  <c:v>Fev</c:v>
                </c:pt>
                <c:pt idx="2">
                  <c:v>Mar</c:v>
                </c:pt>
                <c:pt idx="3">
                  <c:v>Abr</c:v>
                </c:pt>
                <c:pt idx="4">
                  <c:v>Mai</c:v>
                </c:pt>
                <c:pt idx="5">
                  <c:v>Jun</c:v>
                </c:pt>
                <c:pt idx="6">
                  <c:v>Jul</c:v>
                </c:pt>
                <c:pt idx="7">
                  <c:v>Ago</c:v>
                </c:pt>
                <c:pt idx="8">
                  <c:v>Set</c:v>
                </c:pt>
                <c:pt idx="9">
                  <c:v>Out</c:v>
                </c:pt>
                <c:pt idx="10">
                  <c:v>Nov</c:v>
                </c:pt>
                <c:pt idx="11">
                  <c:v>Dez</c:v>
                </c:pt>
              </c:strCache>
            </c:strRef>
          </c:cat>
          <c:val>
            <c:numRef>
              <c:f>Planilha1!$C$22:$C$33</c:f>
              <c:numCache>
                <c:formatCode>General</c:formatCode>
                <c:ptCount val="12"/>
                <c:pt idx="0">
                  <c:v>0.8571428571428571</c:v>
                </c:pt>
                <c:pt idx="1">
                  <c:v>0.52380952380952384</c:v>
                </c:pt>
                <c:pt idx="2">
                  <c:v>0.8125</c:v>
                </c:pt>
                <c:pt idx="3">
                  <c:v>0.87096774193548387</c:v>
                </c:pt>
                <c:pt idx="4">
                  <c:v>0.72</c:v>
                </c:pt>
                <c:pt idx="5">
                  <c:v>0.68965517241379315</c:v>
                </c:pt>
                <c:pt idx="6">
                  <c:v>0.66666666666666663</c:v>
                </c:pt>
                <c:pt idx="7">
                  <c:v>0.75609756097560976</c:v>
                </c:pt>
                <c:pt idx="8">
                  <c:v>0.67741935483870963</c:v>
                </c:pt>
                <c:pt idx="9">
                  <c:v>0.66666666666666663</c:v>
                </c:pt>
                <c:pt idx="10">
                  <c:v>0.88888888888888884</c:v>
                </c:pt>
                <c:pt idx="11">
                  <c:v>0.58823529411764708</c:v>
                </c:pt>
              </c:numCache>
            </c:numRef>
          </c:val>
          <c:extLst>
            <c:ext xmlns:c16="http://schemas.microsoft.com/office/drawing/2014/chart" uri="{C3380CC4-5D6E-409C-BE32-E72D297353CC}">
              <c16:uniqueId val="{00000000-837E-493C-8861-0D259C6656F0}"/>
            </c:ext>
          </c:extLst>
        </c:ser>
        <c:ser>
          <c:idx val="1"/>
          <c:order val="1"/>
          <c:tx>
            <c:strRef>
              <c:f>Planilha1!$D$21</c:f>
              <c:strCache>
                <c:ptCount val="1"/>
                <c:pt idx="0">
                  <c:v>2 minutos</c:v>
                </c:pt>
              </c:strCache>
            </c:strRef>
          </c:tx>
          <c:spPr>
            <a:solidFill>
              <a:srgbClr val="FFC000"/>
            </a:solidFill>
            <a:ln>
              <a:solidFill>
                <a:schemeClr val="tx1">
                  <a:lumMod val="75000"/>
                  <a:lumOff val="25000"/>
                </a:schemeClr>
              </a:solidFill>
            </a:ln>
            <a:effectLst/>
          </c:spPr>
          <c:invertIfNegative val="0"/>
          <c:cat>
            <c:strRef>
              <c:f>Planilha1!$B$22:$B$33</c:f>
              <c:strCache>
                <c:ptCount val="12"/>
                <c:pt idx="0">
                  <c:v>Jan</c:v>
                </c:pt>
                <c:pt idx="1">
                  <c:v>Fev</c:v>
                </c:pt>
                <c:pt idx="2">
                  <c:v>Mar</c:v>
                </c:pt>
                <c:pt idx="3">
                  <c:v>Abr</c:v>
                </c:pt>
                <c:pt idx="4">
                  <c:v>Mai</c:v>
                </c:pt>
                <c:pt idx="5">
                  <c:v>Jun</c:v>
                </c:pt>
                <c:pt idx="6">
                  <c:v>Jul</c:v>
                </c:pt>
                <c:pt idx="7">
                  <c:v>Ago</c:v>
                </c:pt>
                <c:pt idx="8">
                  <c:v>Set</c:v>
                </c:pt>
                <c:pt idx="9">
                  <c:v>Out</c:v>
                </c:pt>
                <c:pt idx="10">
                  <c:v>Nov</c:v>
                </c:pt>
                <c:pt idx="11">
                  <c:v>Dez</c:v>
                </c:pt>
              </c:strCache>
            </c:strRef>
          </c:cat>
          <c:val>
            <c:numRef>
              <c:f>Planilha1!$D$22:$D$33</c:f>
              <c:numCache>
                <c:formatCode>General</c:formatCode>
                <c:ptCount val="12"/>
                <c:pt idx="0">
                  <c:v>7.1428571428571425E-2</c:v>
                </c:pt>
                <c:pt idx="1">
                  <c:v>0.23809523809523808</c:v>
                </c:pt>
                <c:pt idx="2">
                  <c:v>6.25E-2</c:v>
                </c:pt>
                <c:pt idx="3">
                  <c:v>3.2258064516129031E-2</c:v>
                </c:pt>
                <c:pt idx="4">
                  <c:v>0.2</c:v>
                </c:pt>
                <c:pt idx="5">
                  <c:v>0.17241379310344829</c:v>
                </c:pt>
                <c:pt idx="6">
                  <c:v>0.29629629629629628</c:v>
                </c:pt>
                <c:pt idx="7">
                  <c:v>0.21951219512195122</c:v>
                </c:pt>
                <c:pt idx="8">
                  <c:v>0.25806451612903225</c:v>
                </c:pt>
                <c:pt idx="9">
                  <c:v>0.33333333333333331</c:v>
                </c:pt>
                <c:pt idx="10">
                  <c:v>0</c:v>
                </c:pt>
                <c:pt idx="11">
                  <c:v>0.29411764705882354</c:v>
                </c:pt>
              </c:numCache>
            </c:numRef>
          </c:val>
          <c:extLst>
            <c:ext xmlns:c16="http://schemas.microsoft.com/office/drawing/2014/chart" uri="{C3380CC4-5D6E-409C-BE32-E72D297353CC}">
              <c16:uniqueId val="{00000001-837E-493C-8861-0D259C6656F0}"/>
            </c:ext>
          </c:extLst>
        </c:ser>
        <c:ser>
          <c:idx val="2"/>
          <c:order val="2"/>
          <c:tx>
            <c:strRef>
              <c:f>Planilha1!$E$21</c:f>
              <c:strCache>
                <c:ptCount val="1"/>
                <c:pt idx="0">
                  <c:v>3 minutos</c:v>
                </c:pt>
              </c:strCache>
            </c:strRef>
          </c:tx>
          <c:spPr>
            <a:solidFill>
              <a:srgbClr val="FF0000"/>
            </a:solidFill>
            <a:ln>
              <a:solidFill>
                <a:schemeClr val="tx1">
                  <a:lumMod val="75000"/>
                  <a:lumOff val="25000"/>
                </a:schemeClr>
              </a:solidFill>
            </a:ln>
            <a:effectLst/>
          </c:spPr>
          <c:invertIfNegative val="0"/>
          <c:cat>
            <c:strRef>
              <c:f>Planilha1!$B$22:$B$33</c:f>
              <c:strCache>
                <c:ptCount val="12"/>
                <c:pt idx="0">
                  <c:v>Jan</c:v>
                </c:pt>
                <c:pt idx="1">
                  <c:v>Fev</c:v>
                </c:pt>
                <c:pt idx="2">
                  <c:v>Mar</c:v>
                </c:pt>
                <c:pt idx="3">
                  <c:v>Abr</c:v>
                </c:pt>
                <c:pt idx="4">
                  <c:v>Mai</c:v>
                </c:pt>
                <c:pt idx="5">
                  <c:v>Jun</c:v>
                </c:pt>
                <c:pt idx="6">
                  <c:v>Jul</c:v>
                </c:pt>
                <c:pt idx="7">
                  <c:v>Ago</c:v>
                </c:pt>
                <c:pt idx="8">
                  <c:v>Set</c:v>
                </c:pt>
                <c:pt idx="9">
                  <c:v>Out</c:v>
                </c:pt>
                <c:pt idx="10">
                  <c:v>Nov</c:v>
                </c:pt>
                <c:pt idx="11">
                  <c:v>Dez</c:v>
                </c:pt>
              </c:strCache>
            </c:strRef>
          </c:cat>
          <c:val>
            <c:numRef>
              <c:f>Planilha1!$E$22:$E$33</c:f>
              <c:numCache>
                <c:formatCode>General</c:formatCode>
                <c:ptCount val="12"/>
                <c:pt idx="0">
                  <c:v>7.1428571428571425E-2</c:v>
                </c:pt>
                <c:pt idx="1">
                  <c:v>0.23809523809523808</c:v>
                </c:pt>
                <c:pt idx="2">
                  <c:v>0.125</c:v>
                </c:pt>
                <c:pt idx="3">
                  <c:v>9.6774193548387094E-2</c:v>
                </c:pt>
                <c:pt idx="4">
                  <c:v>0.08</c:v>
                </c:pt>
                <c:pt idx="5">
                  <c:v>0.13793103448275862</c:v>
                </c:pt>
                <c:pt idx="6">
                  <c:v>3.7037037037037035E-2</c:v>
                </c:pt>
                <c:pt idx="7">
                  <c:v>2.4390243902439025E-2</c:v>
                </c:pt>
                <c:pt idx="8">
                  <c:v>6.4516129032258063E-2</c:v>
                </c:pt>
                <c:pt idx="9">
                  <c:v>0</c:v>
                </c:pt>
                <c:pt idx="10">
                  <c:v>0.1111111111111111</c:v>
                </c:pt>
                <c:pt idx="11">
                  <c:v>0.11764705882352941</c:v>
                </c:pt>
              </c:numCache>
            </c:numRef>
          </c:val>
          <c:extLst>
            <c:ext xmlns:c16="http://schemas.microsoft.com/office/drawing/2014/chart" uri="{C3380CC4-5D6E-409C-BE32-E72D297353CC}">
              <c16:uniqueId val="{00000002-837E-493C-8861-0D259C6656F0}"/>
            </c:ext>
          </c:extLst>
        </c:ser>
        <c:dLbls>
          <c:showLegendKey val="0"/>
          <c:showVal val="0"/>
          <c:showCatName val="0"/>
          <c:showSerName val="0"/>
          <c:showPercent val="0"/>
          <c:showBubbleSize val="0"/>
        </c:dLbls>
        <c:gapWidth val="50"/>
        <c:overlap val="100"/>
        <c:axId val="739211632"/>
        <c:axId val="562189456"/>
      </c:barChart>
      <c:catAx>
        <c:axId val="73921163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pt-BR"/>
          </a:p>
        </c:txPr>
        <c:crossAx val="562189456"/>
        <c:crosses val="autoZero"/>
        <c:auto val="1"/>
        <c:lblAlgn val="ctr"/>
        <c:lblOffset val="100"/>
        <c:noMultiLvlLbl val="0"/>
      </c:catAx>
      <c:valAx>
        <c:axId val="562189456"/>
        <c:scaling>
          <c:orientation val="minMax"/>
          <c:min val="0.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pt-BR" sz="1000">
                    <a:solidFill>
                      <a:schemeClr val="tx1"/>
                    </a:solidFill>
                    <a:latin typeface="Times New Roman" panose="02020603050405020304" pitchFamily="18" charset="0"/>
                    <a:cs typeface="Times New Roman" panose="02020603050405020304" pitchFamily="18" charset="0"/>
                  </a:rPr>
                  <a:t>Frequência</a:t>
                </a:r>
                <a:r>
                  <a:rPr lang="pt-BR" sz="1000" baseline="0">
                    <a:solidFill>
                      <a:schemeClr val="tx1"/>
                    </a:solidFill>
                    <a:latin typeface="Times New Roman" panose="02020603050405020304" pitchFamily="18" charset="0"/>
                    <a:cs typeface="Times New Roman" panose="02020603050405020304" pitchFamily="18" charset="0"/>
                  </a:rPr>
                  <a:t> das ocorrências</a:t>
                </a:r>
                <a:endParaRPr lang="pt-BR" sz="1000">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pt-BR"/>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pt-BR"/>
          </a:p>
        </c:txPr>
        <c:crossAx val="739211632"/>
        <c:crosses val="autoZero"/>
        <c:crossBetween val="between"/>
        <c:majorUnit val="0.1"/>
      </c:valAx>
      <c:spPr>
        <a:noFill/>
        <a:ln>
          <a:solidFill>
            <a:schemeClr val="tx1"/>
          </a:solidFill>
        </a:ln>
        <a:effectLst/>
      </c:spPr>
    </c:plotArea>
    <c:legend>
      <c:legendPos val="r"/>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bg1"/>
    </a:solidFill>
    <a:ln w="9525" cap="flat" cmpd="sng" algn="ctr">
      <a:noFill/>
      <a:round/>
    </a:ln>
    <a:effectLst/>
  </c:spPr>
  <c:txPr>
    <a:bodyPr/>
    <a:lstStyle/>
    <a:p>
      <a:pPr>
        <a:defRPr/>
      </a:pPr>
      <a:endParaRPr lang="pt-B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648777476766915"/>
          <c:y val="5.1631454162762894E-2"/>
          <c:w val="0.69065957304357906"/>
          <c:h val="0.83948124617707331"/>
        </c:manualLayout>
      </c:layout>
      <c:barChart>
        <c:barDir val="col"/>
        <c:grouping val="percentStacked"/>
        <c:varyColors val="0"/>
        <c:ser>
          <c:idx val="0"/>
          <c:order val="0"/>
          <c:tx>
            <c:strRef>
              <c:f>Planilha1!$C$39</c:f>
              <c:strCache>
                <c:ptCount val="1"/>
                <c:pt idx="0">
                  <c:v>&lt; 30 s</c:v>
                </c:pt>
              </c:strCache>
            </c:strRef>
          </c:tx>
          <c:spPr>
            <a:solidFill>
              <a:srgbClr val="002060"/>
            </a:solidFill>
            <a:ln>
              <a:solidFill>
                <a:schemeClr val="tx1">
                  <a:lumMod val="75000"/>
                  <a:lumOff val="25000"/>
                </a:schemeClr>
              </a:solidFill>
            </a:ln>
            <a:effectLst/>
          </c:spPr>
          <c:invertIfNegative val="0"/>
          <c:cat>
            <c:strRef>
              <c:f>Planilha1!$B$40:$B$51</c:f>
              <c:strCache>
                <c:ptCount val="12"/>
                <c:pt idx="0">
                  <c:v>Jan</c:v>
                </c:pt>
                <c:pt idx="1">
                  <c:v>Fev</c:v>
                </c:pt>
                <c:pt idx="2">
                  <c:v>Mar</c:v>
                </c:pt>
                <c:pt idx="3">
                  <c:v>Abr</c:v>
                </c:pt>
                <c:pt idx="4">
                  <c:v>Mai</c:v>
                </c:pt>
                <c:pt idx="5">
                  <c:v>Jun</c:v>
                </c:pt>
                <c:pt idx="6">
                  <c:v>Jul</c:v>
                </c:pt>
                <c:pt idx="7">
                  <c:v>Ago</c:v>
                </c:pt>
                <c:pt idx="8">
                  <c:v>Set</c:v>
                </c:pt>
                <c:pt idx="9">
                  <c:v>Out</c:v>
                </c:pt>
                <c:pt idx="10">
                  <c:v>Nov</c:v>
                </c:pt>
                <c:pt idx="11">
                  <c:v>Dez</c:v>
                </c:pt>
              </c:strCache>
            </c:strRef>
          </c:cat>
          <c:val>
            <c:numRef>
              <c:f>Planilha1!$C$40:$C$51</c:f>
              <c:numCache>
                <c:formatCode>General</c:formatCode>
                <c:ptCount val="12"/>
                <c:pt idx="0">
                  <c:v>0.86759581881533099</c:v>
                </c:pt>
                <c:pt idx="1">
                  <c:v>0.83734939759036142</c:v>
                </c:pt>
                <c:pt idx="2">
                  <c:v>0.91201716738197425</c:v>
                </c:pt>
                <c:pt idx="3">
                  <c:v>0.91489361702127658</c:v>
                </c:pt>
                <c:pt idx="4">
                  <c:v>0.89914163090128751</c:v>
                </c:pt>
                <c:pt idx="5">
                  <c:v>0.90135396518375244</c:v>
                </c:pt>
                <c:pt idx="6">
                  <c:v>0.88675213675213671</c:v>
                </c:pt>
                <c:pt idx="7">
                  <c:v>0.91145833333333337</c:v>
                </c:pt>
                <c:pt idx="8">
                  <c:v>0.88235294117647056</c:v>
                </c:pt>
                <c:pt idx="9">
                  <c:v>0.89560439560439564</c:v>
                </c:pt>
                <c:pt idx="10">
                  <c:v>0.82195845697329373</c:v>
                </c:pt>
                <c:pt idx="11">
                  <c:v>0.89930555555555558</c:v>
                </c:pt>
              </c:numCache>
            </c:numRef>
          </c:val>
          <c:extLst>
            <c:ext xmlns:c16="http://schemas.microsoft.com/office/drawing/2014/chart" uri="{C3380CC4-5D6E-409C-BE32-E72D297353CC}">
              <c16:uniqueId val="{00000000-0A2F-4CBB-BB53-150E0C104924}"/>
            </c:ext>
          </c:extLst>
        </c:ser>
        <c:ser>
          <c:idx val="1"/>
          <c:order val="1"/>
          <c:tx>
            <c:strRef>
              <c:f>Planilha1!$D$39</c:f>
              <c:strCache>
                <c:ptCount val="1"/>
                <c:pt idx="0">
                  <c:v>&gt; 30 e ≤ 60 s</c:v>
                </c:pt>
              </c:strCache>
            </c:strRef>
          </c:tx>
          <c:spPr>
            <a:solidFill>
              <a:srgbClr val="04A804"/>
            </a:solidFill>
            <a:ln>
              <a:solidFill>
                <a:schemeClr val="tx1">
                  <a:lumMod val="75000"/>
                  <a:lumOff val="25000"/>
                </a:schemeClr>
              </a:solidFill>
            </a:ln>
            <a:effectLst/>
          </c:spPr>
          <c:invertIfNegative val="0"/>
          <c:cat>
            <c:strRef>
              <c:f>Planilha1!$B$40:$B$51</c:f>
              <c:strCache>
                <c:ptCount val="12"/>
                <c:pt idx="0">
                  <c:v>Jan</c:v>
                </c:pt>
                <c:pt idx="1">
                  <c:v>Fev</c:v>
                </c:pt>
                <c:pt idx="2">
                  <c:v>Mar</c:v>
                </c:pt>
                <c:pt idx="3">
                  <c:v>Abr</c:v>
                </c:pt>
                <c:pt idx="4">
                  <c:v>Mai</c:v>
                </c:pt>
                <c:pt idx="5">
                  <c:v>Jun</c:v>
                </c:pt>
                <c:pt idx="6">
                  <c:v>Jul</c:v>
                </c:pt>
                <c:pt idx="7">
                  <c:v>Ago</c:v>
                </c:pt>
                <c:pt idx="8">
                  <c:v>Set</c:v>
                </c:pt>
                <c:pt idx="9">
                  <c:v>Out</c:v>
                </c:pt>
                <c:pt idx="10">
                  <c:v>Nov</c:v>
                </c:pt>
                <c:pt idx="11">
                  <c:v>Dez</c:v>
                </c:pt>
              </c:strCache>
            </c:strRef>
          </c:cat>
          <c:val>
            <c:numRef>
              <c:f>Planilha1!$D$40:$D$51</c:f>
              <c:numCache>
                <c:formatCode>General</c:formatCode>
                <c:ptCount val="12"/>
                <c:pt idx="0">
                  <c:v>8.3623693379790948E-2</c:v>
                </c:pt>
                <c:pt idx="1">
                  <c:v>7.8313253012048195E-2</c:v>
                </c:pt>
                <c:pt idx="2">
                  <c:v>5.3648068669527899E-2</c:v>
                </c:pt>
                <c:pt idx="3">
                  <c:v>6.8739770867430439E-2</c:v>
                </c:pt>
                <c:pt idx="4">
                  <c:v>7.2961373390557943E-2</c:v>
                </c:pt>
                <c:pt idx="5">
                  <c:v>6.7698259187620888E-2</c:v>
                </c:pt>
                <c:pt idx="6">
                  <c:v>7.9059829059829057E-2</c:v>
                </c:pt>
                <c:pt idx="7">
                  <c:v>6.5104166666666671E-2</c:v>
                </c:pt>
                <c:pt idx="8">
                  <c:v>7.9107505070993914E-2</c:v>
                </c:pt>
                <c:pt idx="9">
                  <c:v>9.3406593406593408E-2</c:v>
                </c:pt>
                <c:pt idx="10">
                  <c:v>9.1988130563798218E-2</c:v>
                </c:pt>
                <c:pt idx="11">
                  <c:v>3.8194444444444448E-2</c:v>
                </c:pt>
              </c:numCache>
            </c:numRef>
          </c:val>
          <c:extLst>
            <c:ext xmlns:c16="http://schemas.microsoft.com/office/drawing/2014/chart" uri="{C3380CC4-5D6E-409C-BE32-E72D297353CC}">
              <c16:uniqueId val="{00000001-0A2F-4CBB-BB53-150E0C104924}"/>
            </c:ext>
          </c:extLst>
        </c:ser>
        <c:ser>
          <c:idx val="2"/>
          <c:order val="2"/>
          <c:tx>
            <c:strRef>
              <c:f>Planilha1!$E$39</c:f>
              <c:strCache>
                <c:ptCount val="1"/>
                <c:pt idx="0">
                  <c:v>&gt; 60 e ≤ 120 s</c:v>
                </c:pt>
              </c:strCache>
            </c:strRef>
          </c:tx>
          <c:spPr>
            <a:solidFill>
              <a:srgbClr val="FFC000"/>
            </a:solidFill>
            <a:ln>
              <a:solidFill>
                <a:schemeClr val="tx1">
                  <a:lumMod val="75000"/>
                  <a:lumOff val="25000"/>
                </a:schemeClr>
              </a:solidFill>
            </a:ln>
            <a:effectLst/>
          </c:spPr>
          <c:invertIfNegative val="0"/>
          <c:cat>
            <c:strRef>
              <c:f>Planilha1!$B$40:$B$51</c:f>
              <c:strCache>
                <c:ptCount val="12"/>
                <c:pt idx="0">
                  <c:v>Jan</c:v>
                </c:pt>
                <c:pt idx="1">
                  <c:v>Fev</c:v>
                </c:pt>
                <c:pt idx="2">
                  <c:v>Mar</c:v>
                </c:pt>
                <c:pt idx="3">
                  <c:v>Abr</c:v>
                </c:pt>
                <c:pt idx="4">
                  <c:v>Mai</c:v>
                </c:pt>
                <c:pt idx="5">
                  <c:v>Jun</c:v>
                </c:pt>
                <c:pt idx="6">
                  <c:v>Jul</c:v>
                </c:pt>
                <c:pt idx="7">
                  <c:v>Ago</c:v>
                </c:pt>
                <c:pt idx="8">
                  <c:v>Set</c:v>
                </c:pt>
                <c:pt idx="9">
                  <c:v>Out</c:v>
                </c:pt>
                <c:pt idx="10">
                  <c:v>Nov</c:v>
                </c:pt>
                <c:pt idx="11">
                  <c:v>Dez</c:v>
                </c:pt>
              </c:strCache>
            </c:strRef>
          </c:cat>
          <c:val>
            <c:numRef>
              <c:f>Planilha1!$E$40:$E$51</c:f>
              <c:numCache>
                <c:formatCode>General</c:formatCode>
                <c:ptCount val="12"/>
                <c:pt idx="0">
                  <c:v>3.484320557491289E-2</c:v>
                </c:pt>
                <c:pt idx="1">
                  <c:v>4.8192771084337352E-2</c:v>
                </c:pt>
                <c:pt idx="2">
                  <c:v>2.7896995708154508E-2</c:v>
                </c:pt>
                <c:pt idx="3">
                  <c:v>1.1456628477905073E-2</c:v>
                </c:pt>
                <c:pt idx="4">
                  <c:v>1.9313304721030045E-2</c:v>
                </c:pt>
                <c:pt idx="5">
                  <c:v>2.5145067698259187E-2</c:v>
                </c:pt>
                <c:pt idx="6">
                  <c:v>2.564102564102564E-2</c:v>
                </c:pt>
                <c:pt idx="7">
                  <c:v>1.6927083333333332E-2</c:v>
                </c:pt>
                <c:pt idx="8">
                  <c:v>3.2454361054766734E-2</c:v>
                </c:pt>
                <c:pt idx="9">
                  <c:v>1.098901098901099E-2</c:v>
                </c:pt>
                <c:pt idx="10">
                  <c:v>7.1216617210682495E-2</c:v>
                </c:pt>
                <c:pt idx="11">
                  <c:v>3.8194444444444448E-2</c:v>
                </c:pt>
              </c:numCache>
            </c:numRef>
          </c:val>
          <c:extLst>
            <c:ext xmlns:c16="http://schemas.microsoft.com/office/drawing/2014/chart" uri="{C3380CC4-5D6E-409C-BE32-E72D297353CC}">
              <c16:uniqueId val="{00000002-0A2F-4CBB-BB53-150E0C104924}"/>
            </c:ext>
          </c:extLst>
        </c:ser>
        <c:ser>
          <c:idx val="3"/>
          <c:order val="3"/>
          <c:tx>
            <c:strRef>
              <c:f>Planilha1!$F$39</c:f>
              <c:strCache>
                <c:ptCount val="1"/>
                <c:pt idx="0">
                  <c:v>&gt; 120 s</c:v>
                </c:pt>
              </c:strCache>
            </c:strRef>
          </c:tx>
          <c:spPr>
            <a:solidFill>
              <a:srgbClr val="FF0000"/>
            </a:solidFill>
            <a:ln>
              <a:solidFill>
                <a:schemeClr val="tx1">
                  <a:lumMod val="75000"/>
                  <a:lumOff val="25000"/>
                </a:schemeClr>
              </a:solidFill>
            </a:ln>
            <a:effectLst/>
          </c:spPr>
          <c:invertIfNegative val="0"/>
          <c:cat>
            <c:strRef>
              <c:f>Planilha1!$B$40:$B$51</c:f>
              <c:strCache>
                <c:ptCount val="12"/>
                <c:pt idx="0">
                  <c:v>Jan</c:v>
                </c:pt>
                <c:pt idx="1">
                  <c:v>Fev</c:v>
                </c:pt>
                <c:pt idx="2">
                  <c:v>Mar</c:v>
                </c:pt>
                <c:pt idx="3">
                  <c:v>Abr</c:v>
                </c:pt>
                <c:pt idx="4">
                  <c:v>Mai</c:v>
                </c:pt>
                <c:pt idx="5">
                  <c:v>Jun</c:v>
                </c:pt>
                <c:pt idx="6">
                  <c:v>Jul</c:v>
                </c:pt>
                <c:pt idx="7">
                  <c:v>Ago</c:v>
                </c:pt>
                <c:pt idx="8">
                  <c:v>Set</c:v>
                </c:pt>
                <c:pt idx="9">
                  <c:v>Out</c:v>
                </c:pt>
                <c:pt idx="10">
                  <c:v>Nov</c:v>
                </c:pt>
                <c:pt idx="11">
                  <c:v>Dez</c:v>
                </c:pt>
              </c:strCache>
            </c:strRef>
          </c:cat>
          <c:val>
            <c:numRef>
              <c:f>Planilha1!$F$40:$F$51</c:f>
              <c:numCache>
                <c:formatCode>General</c:formatCode>
                <c:ptCount val="12"/>
                <c:pt idx="0">
                  <c:v>1.3937282229965157E-2</c:v>
                </c:pt>
                <c:pt idx="1">
                  <c:v>3.614457831325301E-2</c:v>
                </c:pt>
                <c:pt idx="2">
                  <c:v>6.4377682403433476E-3</c:v>
                </c:pt>
                <c:pt idx="3">
                  <c:v>4.9099836333878887E-3</c:v>
                </c:pt>
                <c:pt idx="4">
                  <c:v>8.5836909871244635E-3</c:v>
                </c:pt>
                <c:pt idx="5">
                  <c:v>5.8027079303675051E-3</c:v>
                </c:pt>
                <c:pt idx="6">
                  <c:v>8.5470085470085479E-3</c:v>
                </c:pt>
                <c:pt idx="7">
                  <c:v>6.510416666666667E-3</c:v>
                </c:pt>
                <c:pt idx="8">
                  <c:v>6.0851926977687626E-3</c:v>
                </c:pt>
                <c:pt idx="9">
                  <c:v>0</c:v>
                </c:pt>
                <c:pt idx="10">
                  <c:v>1.483679525222552E-2</c:v>
                </c:pt>
                <c:pt idx="11">
                  <c:v>2.4305555555555556E-2</c:v>
                </c:pt>
              </c:numCache>
            </c:numRef>
          </c:val>
          <c:extLst>
            <c:ext xmlns:c16="http://schemas.microsoft.com/office/drawing/2014/chart" uri="{C3380CC4-5D6E-409C-BE32-E72D297353CC}">
              <c16:uniqueId val="{00000003-0A2F-4CBB-BB53-150E0C104924}"/>
            </c:ext>
          </c:extLst>
        </c:ser>
        <c:dLbls>
          <c:showLegendKey val="0"/>
          <c:showVal val="0"/>
          <c:showCatName val="0"/>
          <c:showSerName val="0"/>
          <c:showPercent val="0"/>
          <c:showBubbleSize val="0"/>
        </c:dLbls>
        <c:gapWidth val="50"/>
        <c:overlap val="100"/>
        <c:axId val="571772672"/>
        <c:axId val="818661216"/>
      </c:barChart>
      <c:catAx>
        <c:axId val="571772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pt-BR"/>
          </a:p>
        </c:txPr>
        <c:crossAx val="818661216"/>
        <c:crosses val="autoZero"/>
        <c:auto val="1"/>
        <c:lblAlgn val="ctr"/>
        <c:lblOffset val="100"/>
        <c:noMultiLvlLbl val="0"/>
      </c:catAx>
      <c:valAx>
        <c:axId val="818661216"/>
        <c:scaling>
          <c:orientation val="minMax"/>
          <c:min val="0.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pt-BR" sz="1000">
                    <a:solidFill>
                      <a:schemeClr val="tx1"/>
                    </a:solidFill>
                    <a:latin typeface="Times New Roman" panose="02020603050405020304" pitchFamily="18" charset="0"/>
                    <a:cs typeface="Times New Roman" panose="02020603050405020304" pitchFamily="18" charset="0"/>
                  </a:rPr>
                  <a:t>Frequência</a:t>
                </a:r>
                <a:r>
                  <a:rPr lang="pt-BR" sz="1000" baseline="0">
                    <a:solidFill>
                      <a:schemeClr val="tx1"/>
                    </a:solidFill>
                    <a:latin typeface="Times New Roman" panose="02020603050405020304" pitchFamily="18" charset="0"/>
                    <a:cs typeface="Times New Roman" panose="02020603050405020304" pitchFamily="18" charset="0"/>
                  </a:rPr>
                  <a:t> das ocorrências</a:t>
                </a:r>
                <a:endParaRPr lang="pt-BR" sz="1000">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pt-BR"/>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pt-BR"/>
          </a:p>
        </c:txPr>
        <c:crossAx val="571772672"/>
        <c:crosses val="autoZero"/>
        <c:crossBetween val="between"/>
        <c:majorUnit val="0.1"/>
      </c:valAx>
      <c:spPr>
        <a:noFill/>
        <a:ln>
          <a:solidFill>
            <a:schemeClr val="tx1"/>
          </a:solidFill>
        </a:ln>
        <a:effectLst/>
      </c:spPr>
    </c:plotArea>
    <c:legend>
      <c:legendPos val="r"/>
      <c:layout>
        <c:manualLayout>
          <c:xMode val="edge"/>
          <c:yMode val="edge"/>
          <c:x val="0.8216644539918776"/>
          <c:y val="0.29006133294977188"/>
          <c:w val="0.16796618445052999"/>
          <c:h val="0.4154106873494797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bg1"/>
    </a:solidFill>
    <a:ln w="9525" cap="flat" cmpd="sng" algn="ctr">
      <a:noFill/>
      <a:round/>
    </a:ln>
    <a:effectLst/>
  </c:spPr>
  <c:txPr>
    <a:bodyPr/>
    <a:lstStyle/>
    <a:p>
      <a:pPr>
        <a:defRPr/>
      </a:pPr>
      <a:endParaRPr lang="pt-B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Planilha1!$C$74</c:f>
              <c:strCache>
                <c:ptCount val="1"/>
                <c:pt idx="0">
                  <c:v>Segundos</c:v>
                </c:pt>
              </c:strCache>
            </c:strRef>
          </c:tx>
          <c:spPr>
            <a:solidFill>
              <a:schemeClr val="accent5">
                <a:lumMod val="60000"/>
                <a:lumOff val="40000"/>
              </a:schemeClr>
            </a:solidFill>
            <a:ln>
              <a:solidFill>
                <a:schemeClr val="tx1">
                  <a:lumMod val="50000"/>
                  <a:lumOff val="50000"/>
                </a:schemeClr>
              </a:solid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Planilha1!$B$75:$B$86</c:f>
              <c:strCache>
                <c:ptCount val="12"/>
                <c:pt idx="0">
                  <c:v>Jan</c:v>
                </c:pt>
                <c:pt idx="1">
                  <c:v>Fev</c:v>
                </c:pt>
                <c:pt idx="2">
                  <c:v>Mar</c:v>
                </c:pt>
                <c:pt idx="3">
                  <c:v>Abr</c:v>
                </c:pt>
                <c:pt idx="4">
                  <c:v>Mai</c:v>
                </c:pt>
                <c:pt idx="5">
                  <c:v>Jun</c:v>
                </c:pt>
                <c:pt idx="6">
                  <c:v>Jul</c:v>
                </c:pt>
                <c:pt idx="7">
                  <c:v>Ago</c:v>
                </c:pt>
                <c:pt idx="8">
                  <c:v>Set</c:v>
                </c:pt>
                <c:pt idx="9">
                  <c:v>Out</c:v>
                </c:pt>
                <c:pt idx="10">
                  <c:v>Nov</c:v>
                </c:pt>
                <c:pt idx="11">
                  <c:v>Dez</c:v>
                </c:pt>
              </c:strCache>
            </c:strRef>
          </c:cat>
          <c:val>
            <c:numRef>
              <c:f>Planilha1!$C$75:$C$86</c:f>
              <c:numCache>
                <c:formatCode>General</c:formatCode>
                <c:ptCount val="12"/>
                <c:pt idx="0">
                  <c:v>128</c:v>
                </c:pt>
                <c:pt idx="1">
                  <c:v>176</c:v>
                </c:pt>
                <c:pt idx="2">
                  <c:v>259</c:v>
                </c:pt>
                <c:pt idx="3">
                  <c:v>326</c:v>
                </c:pt>
                <c:pt idx="4">
                  <c:v>234</c:v>
                </c:pt>
                <c:pt idx="5">
                  <c:v>147</c:v>
                </c:pt>
                <c:pt idx="6">
                  <c:v>160</c:v>
                </c:pt>
                <c:pt idx="7">
                  <c:v>153</c:v>
                </c:pt>
                <c:pt idx="8">
                  <c:v>156</c:v>
                </c:pt>
                <c:pt idx="9">
                  <c:v>85</c:v>
                </c:pt>
                <c:pt idx="10">
                  <c:v>225</c:v>
                </c:pt>
                <c:pt idx="11">
                  <c:v>155</c:v>
                </c:pt>
              </c:numCache>
            </c:numRef>
          </c:val>
          <c:extLst>
            <c:ext xmlns:c16="http://schemas.microsoft.com/office/drawing/2014/chart" uri="{C3380CC4-5D6E-409C-BE32-E72D297353CC}">
              <c16:uniqueId val="{00000000-4CC2-44D1-A057-5ACBAFCF17CC}"/>
            </c:ext>
          </c:extLst>
        </c:ser>
        <c:dLbls>
          <c:showLegendKey val="0"/>
          <c:showVal val="0"/>
          <c:showCatName val="0"/>
          <c:showSerName val="0"/>
          <c:showPercent val="0"/>
          <c:showBubbleSize val="0"/>
        </c:dLbls>
        <c:gapWidth val="50"/>
        <c:overlap val="-27"/>
        <c:axId val="676147616"/>
        <c:axId val="875241280"/>
      </c:barChart>
      <c:catAx>
        <c:axId val="676147616"/>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875241280"/>
        <c:crosses val="autoZero"/>
        <c:auto val="1"/>
        <c:lblAlgn val="ctr"/>
        <c:lblOffset val="100"/>
        <c:noMultiLvlLbl val="0"/>
      </c:catAx>
      <c:valAx>
        <c:axId val="875241280"/>
        <c:scaling>
          <c:orientation val="minMax"/>
          <c:max val="400"/>
        </c:scaling>
        <c:delete val="1"/>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pt-BR"/>
                  <a:t>Duração (segundos)</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title>
        <c:numFmt formatCode="General" sourceLinked="1"/>
        <c:majorTickMark val="none"/>
        <c:minorTickMark val="none"/>
        <c:tickLblPos val="nextTo"/>
        <c:crossAx val="676147616"/>
        <c:crosses val="autoZero"/>
        <c:crossBetween val="between"/>
      </c:valAx>
      <c:spPr>
        <a:noFill/>
        <a:ln>
          <a:solidFill>
            <a:schemeClr val="tx1"/>
          </a:solidFill>
        </a:ln>
        <a:effectLst/>
      </c:spPr>
    </c:plotArea>
    <c:plotVisOnly val="1"/>
    <c:dispBlanksAs val="gap"/>
    <c:showDLblsOverMax val="0"/>
  </c:chart>
  <c:spPr>
    <a:solidFill>
      <a:schemeClr val="bg1"/>
    </a:solidFill>
    <a:ln w="9525" cap="flat" cmpd="sng" algn="ctr">
      <a:noFill/>
      <a:round/>
    </a:ln>
    <a:effectLst/>
  </c:spPr>
  <c:txPr>
    <a:bodyPr/>
    <a:lstStyle/>
    <a:p>
      <a:pPr>
        <a:defRPr sz="1000">
          <a:solidFill>
            <a:sysClr val="windowText" lastClr="000000"/>
          </a:solidFill>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675C37488A8F46B0EFEADEF769218A" ma:contentTypeVersion="3" ma:contentTypeDescription="Create a new document." ma:contentTypeScope="" ma:versionID="9cdd75cc590ab6cb243e130ec61c09c4">
  <xsd:schema xmlns:xsd="http://www.w3.org/2001/XMLSchema" xmlns:xs="http://www.w3.org/2001/XMLSchema" xmlns:p="http://schemas.microsoft.com/office/2006/metadata/properties" xmlns:ns3="0a8223e3-eea1-4f62-9954-c88e8c076bbd" targetNamespace="http://schemas.microsoft.com/office/2006/metadata/properties" ma:root="true" ma:fieldsID="e38728592c5fd154289f6c7b7c750bf6" ns3:_="">
    <xsd:import namespace="0a8223e3-eea1-4f62-9954-c88e8c076bbd"/>
    <xsd:element name="properties">
      <xsd:complexType>
        <xsd:sequence>
          <xsd:element name="documentManagement">
            <xsd:complexType>
              <xsd:all>
                <xsd:element ref="ns3:MediaServiceMetadata" minOccurs="0"/>
                <xsd:element ref="ns3:MediaServiceFastMetadata"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8223e3-eea1-4f62-9954-c88e8c076b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BCDF7B-897B-48ED-BD61-658BB5DF95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8223e3-eea1-4f62-9954-c88e8c076b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C3E885-0FD4-486D-85DD-D0A8559476F2}">
  <ds:schemaRefs>
    <ds:schemaRef ds:uri="http://schemas.openxmlformats.org/officeDocument/2006/bibliography"/>
  </ds:schemaRefs>
</ds:datastoreItem>
</file>

<file path=customXml/itemProps3.xml><?xml version="1.0" encoding="utf-8"?>
<ds:datastoreItem xmlns:ds="http://schemas.openxmlformats.org/officeDocument/2006/customXml" ds:itemID="{E645BE0C-2AE5-486E-8E21-6325FA56A01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006D656-CB81-46DC-B031-9580C6BB55C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4393</Words>
  <Characters>23723</Characters>
  <Application>Microsoft Office Word</Application>
  <DocSecurity>0</DocSecurity>
  <Lines>197</Lines>
  <Paragraphs>56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lpstr> </vt:lpstr>
    </vt:vector>
  </TitlesOfParts>
  <Company>ABENS</Company>
  <LinksUpToDate>false</LinksUpToDate>
  <CharactersWithSpaces>28060</CharactersWithSpaces>
  <SharedDoc>false</SharedDoc>
  <HLinks>
    <vt:vector size="6" baseType="variant">
      <vt:variant>
        <vt:i4>7077927</vt:i4>
      </vt:variant>
      <vt:variant>
        <vt:i4>0</vt:i4>
      </vt:variant>
      <vt:variant>
        <vt:i4>0</vt:i4>
      </vt:variant>
      <vt:variant>
        <vt:i4>5</vt:i4>
      </vt:variant>
      <vt:variant>
        <vt:lpwstr>http://cbens2020.abens.org.br/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III CBENS</dc:creator>
  <cp:keywords/>
  <cp:lastModifiedBy>Vitória Silva</cp:lastModifiedBy>
  <cp:revision>3</cp:revision>
  <cp:lastPrinted>2011-11-19T13:29:00Z</cp:lastPrinted>
  <dcterms:created xsi:type="dcterms:W3CDTF">2024-01-31T17:13:00Z</dcterms:created>
  <dcterms:modified xsi:type="dcterms:W3CDTF">2024-01-31T17:23:00Z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http://www.zotero.org/styles/automation-in-construction</vt:lpwstr>
  </property>
  <property fmtid="{D5CDD505-2E9C-101B-9397-08002B2CF9AE}" pid="9" name="Mendeley Recent Style Name 3_1">
    <vt:lpwstr>Automation in Construction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http://www.zotero.org/styles/energy-conversion-and-management</vt:lpwstr>
  </property>
  <property fmtid="{D5CDD505-2E9C-101B-9397-08002B2CF9AE}" pid="13" name="Mendeley Recent Style Name 5_1">
    <vt:lpwstr>Energy Conversion and Management</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http://www.zotero.org/styles/associacao-brasileira-de-normas-tecnicas-ufmg-face-full</vt:lpwstr>
  </property>
  <property fmtid="{D5CDD505-2E9C-101B-9397-08002B2CF9AE}" pid="17" name="Mendeley Recent Style Name 7_1">
    <vt:lpwstr>Universidade Federal de Minas Gerais - Faculdade de Ciências Econômicas - ABNT (autoria completa) (Portuguese - Brazil)</vt:lpwstr>
  </property>
  <property fmtid="{D5CDD505-2E9C-101B-9397-08002B2CF9AE}" pid="18" name="Mendeley Recent Style Id 8_1">
    <vt:lpwstr>http://www.zotero.org/styles/associacao-brasileira-de-normas-tecnicas-ufrgs-initials</vt:lpwstr>
  </property>
  <property fmtid="{D5CDD505-2E9C-101B-9397-08002B2CF9AE}" pid="19" name="Mendeley Recent Style Name 8_1">
    <vt:lpwstr>Universidade Federal do Rio Grande do Sul - SBUFRGS - ABNT (autoria abreviada) (Portuguese - Brazil)</vt:lpwstr>
  </property>
  <property fmtid="{D5CDD505-2E9C-101B-9397-08002B2CF9AE}" pid="20" name="Mendeley Recent Style Id 9_1">
    <vt:lpwstr>http://www.zotero.org/styles/wiley-vch-books</vt:lpwstr>
  </property>
  <property fmtid="{D5CDD505-2E9C-101B-9397-08002B2CF9AE}" pid="21" name="Mendeley Recent Style Name 9_1">
    <vt:lpwstr>Wiley-VCH books</vt:lpwstr>
  </property>
  <property fmtid="{D5CDD505-2E9C-101B-9397-08002B2CF9AE}" pid="22" name="ContentTypeId">
    <vt:lpwstr>0x0101006E675C37488A8F46B0EFEADEF769218A</vt:lpwstr>
  </property>
  <property fmtid="{D5CDD505-2E9C-101B-9397-08002B2CF9AE}" pid="23" name="MSIP_Label_defa4170-0d19-0005-0004-bc88714345d2_Enabled">
    <vt:lpwstr>true</vt:lpwstr>
  </property>
  <property fmtid="{D5CDD505-2E9C-101B-9397-08002B2CF9AE}" pid="24" name="MSIP_Label_defa4170-0d19-0005-0004-bc88714345d2_SetDate">
    <vt:lpwstr>2023-11-30T13:03:49Z</vt:lpwstr>
  </property>
  <property fmtid="{D5CDD505-2E9C-101B-9397-08002B2CF9AE}" pid="25" name="MSIP_Label_defa4170-0d19-0005-0004-bc88714345d2_Method">
    <vt:lpwstr>Standard</vt:lpwstr>
  </property>
  <property fmtid="{D5CDD505-2E9C-101B-9397-08002B2CF9AE}" pid="26" name="MSIP_Label_defa4170-0d19-0005-0004-bc88714345d2_Name">
    <vt:lpwstr>defa4170-0d19-0005-0004-bc88714345d2</vt:lpwstr>
  </property>
  <property fmtid="{D5CDD505-2E9C-101B-9397-08002B2CF9AE}" pid="27" name="MSIP_Label_defa4170-0d19-0005-0004-bc88714345d2_SiteId">
    <vt:lpwstr>71d148f0-0587-4393-99dc-9f0064d9883e</vt:lpwstr>
  </property>
  <property fmtid="{D5CDD505-2E9C-101B-9397-08002B2CF9AE}" pid="28" name="MSIP_Label_defa4170-0d19-0005-0004-bc88714345d2_ActionId">
    <vt:lpwstr>dbb049ef-a5ee-4c36-af4d-16069710d813</vt:lpwstr>
  </property>
  <property fmtid="{D5CDD505-2E9C-101B-9397-08002B2CF9AE}" pid="29" name="MSIP_Label_defa4170-0d19-0005-0004-bc88714345d2_ContentBits">
    <vt:lpwstr>0</vt:lpwstr>
  </property>
</Properties>
</file>