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hd w:fill="b6d7a8" w:val="clear"/>
        </w:rPr>
      </w:pPr>
      <w:r w:rsidDel="00000000" w:rsidR="00000000" w:rsidRPr="00000000">
        <w:rPr>
          <w:rtl w:val="0"/>
        </w:rPr>
        <w:t xml:space="preserve">O modelo de</w:t>
      </w:r>
      <w:r w:rsidDel="00000000" w:rsidR="00000000" w:rsidRPr="00000000">
        <w:rPr>
          <w:shd w:fill="a4c2f4" w:val="clear"/>
          <w:rtl w:val="0"/>
        </w:rPr>
        <w:t xml:space="preserve"> transporte químico GEOS-Chem </w:t>
      </w:r>
      <w:r w:rsidDel="00000000" w:rsidR="00000000" w:rsidRPr="00000000">
        <w:rPr>
          <w:rtl w:val="0"/>
        </w:rPr>
        <w:t xml:space="preserve">observou </w:t>
      </w:r>
      <w:r w:rsidDel="00000000" w:rsidR="00000000" w:rsidRPr="00000000">
        <w:rPr>
          <w:shd w:fill="b6d7a8" w:val="clear"/>
          <w:rtl w:val="0"/>
        </w:rPr>
        <w:t xml:space="preserve">mudanças significativas causadas por halogênio na concentração de oxidantes, como os radicais O3 e OH° troposféricos, 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shd w:fill="b6d7a8" w:val="clear"/>
          <w:rtl w:val="0"/>
        </w:rPr>
        <w:t xml:space="preserve">que diminuíram 18,6 e 8,2%, </w:t>
      </w:r>
      <w:r w:rsidDel="00000000" w:rsidR="00000000" w:rsidRPr="00000000">
        <w:rPr>
          <w:rtl w:val="0"/>
        </w:rPr>
        <w:t xml:space="preserve">respectivamente (Sherwen et al. 2016). No mesmo estudo, o </w:t>
      </w:r>
      <w:r w:rsidDel="00000000" w:rsidR="00000000" w:rsidRPr="00000000">
        <w:rPr>
          <w:shd w:fill="ffd966" w:val="clear"/>
          <w:rtl w:val="0"/>
        </w:rPr>
        <w:t xml:space="preserve">efeito da química do halogênio no tempo de vida do metano também foi estimado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widowControl w:val="0"/>
        <w:rPr>
          <w:shd w:fill="ffd966" w:val="clear"/>
        </w:rPr>
      </w:pPr>
      <w:r w:rsidDel="00000000" w:rsidR="00000000" w:rsidRPr="00000000">
        <w:rPr>
          <w:rtl w:val="0"/>
        </w:rPr>
        <w:t xml:space="preserve">O tempo de </w:t>
      </w:r>
      <w:r w:rsidDel="00000000" w:rsidR="00000000" w:rsidRPr="00000000">
        <w:rPr>
          <w:shd w:fill="ffd966" w:val="clear"/>
          <w:rtl w:val="0"/>
        </w:rPr>
        <w:t xml:space="preserve">vida do metano na troposfera devido ao OH° (sem halogênio) foi calculado em 7,47 anos. 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Com a </w:t>
      </w:r>
      <w:r w:rsidDel="00000000" w:rsidR="00000000" w:rsidRPr="00000000">
        <w:rPr>
          <w:shd w:fill="ffd966" w:val="clear"/>
          <w:rtl w:val="0"/>
        </w:rPr>
        <w:t xml:space="preserve">inclusão da química do halogênio, o efeito na queda da concentração de OH° levou a um aumento de 10,8% no tempo de vida do metano (agora 8,28 anos)</w:t>
      </w:r>
      <w:r w:rsidDel="00000000" w:rsidR="00000000" w:rsidRPr="00000000">
        <w:rPr>
          <w:rtl w:val="0"/>
        </w:rPr>
        <w:t xml:space="preserve">. No entanto, com a </w:t>
      </w:r>
      <w:r w:rsidDel="00000000" w:rsidR="00000000" w:rsidRPr="00000000">
        <w:rPr>
          <w:shd w:fill="ffd966" w:val="clear"/>
          <w:rtl w:val="0"/>
        </w:rPr>
        <w:t xml:space="preserve">inclusão</w:t>
      </w:r>
      <w:r w:rsidDel="00000000" w:rsidR="00000000" w:rsidRPr="00000000">
        <w:rPr>
          <w:rtl w:val="0"/>
        </w:rPr>
        <w:t xml:space="preserve"> da química </w:t>
      </w:r>
      <w:r w:rsidDel="00000000" w:rsidR="00000000" w:rsidRPr="00000000">
        <w:rPr>
          <w:shd w:fill="ffd966" w:val="clear"/>
          <w:rtl w:val="0"/>
        </w:rPr>
        <w:t xml:space="preserve">do halogênio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d966" w:val="clear"/>
          <w:rtl w:val="0"/>
        </w:rPr>
        <w:t xml:space="preserve">os radicais</w:t>
      </w:r>
      <w:r w:rsidDel="00000000" w:rsidR="00000000" w:rsidRPr="00000000">
        <w:rPr>
          <w:rtl w:val="0"/>
        </w:rPr>
        <w:t xml:space="preserve"> cloro</w:t>
      </w:r>
      <w:r w:rsidDel="00000000" w:rsidR="00000000" w:rsidRPr="00000000">
        <w:rPr>
          <w:shd w:fill="ffd966" w:val="clear"/>
          <w:rtl w:val="0"/>
        </w:rPr>
        <w:t xml:space="preserve"> induziram a oxidação do metano</w:t>
      </w:r>
      <w:r w:rsidDel="00000000" w:rsidR="00000000" w:rsidRPr="00000000">
        <w:rPr>
          <w:rtl w:val="0"/>
        </w:rPr>
        <w:t xml:space="preserve"> reduziu sua vida útil em 1,52%, encurtando a vida útil para </w:t>
      </w:r>
      <w:r w:rsidDel="00000000" w:rsidR="00000000" w:rsidRPr="00000000">
        <w:rPr>
          <w:shd w:fill="ffd966" w:val="clear"/>
          <w:rtl w:val="0"/>
        </w:rPr>
        <w:t xml:space="preserve">8,16 anos</w:t>
      </w:r>
      <w:r w:rsidDel="00000000" w:rsidR="00000000" w:rsidRPr="00000000">
        <w:rPr>
          <w:rtl w:val="0"/>
        </w:rPr>
        <w:t xml:space="preserve"> (Sherwen et al. 2016). 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Também demonstraram que as espécies de Cl e Br afetam significativamente a </w:t>
      </w:r>
      <w:r w:rsidDel="00000000" w:rsidR="00000000" w:rsidRPr="00000000">
        <w:rPr>
          <w:shd w:fill="c27ba0" w:val="clear"/>
          <w:rtl w:val="0"/>
        </w:rPr>
        <w:t xml:space="preserve">sensibilidade temporal e espacial de antioxidantes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c27ba0" w:val="clear"/>
          <w:rtl w:val="0"/>
        </w:rPr>
        <w:t xml:space="preserve">atmosféricos primários como O3, HOx, metano, hidrocarbonetos não metânicos etc</w:t>
      </w:r>
      <w:r w:rsidDel="00000000" w:rsidR="00000000" w:rsidRPr="00000000">
        <w:rPr>
          <w:rtl w:val="0"/>
        </w:rPr>
        <w:t xml:space="preserve">. o modelo químico de transporte global resulta em uma redução de 14 e 11% </w:t>
      </w:r>
      <w:r w:rsidDel="00000000" w:rsidR="00000000" w:rsidRPr="00000000">
        <w:rPr>
          <w:shd w:fill="c27ba0" w:val="clear"/>
          <w:rtl w:val="0"/>
        </w:rPr>
        <w:t xml:space="preserve">nas cargas globais de radicais O3 e OH° troposféricos,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rPr>
          <w:shd w:fill="cc0000" w:val="clear"/>
        </w:rPr>
      </w:pPr>
      <w:r w:rsidDel="00000000" w:rsidR="00000000" w:rsidRPr="00000000">
        <w:rPr>
          <w:rtl w:val="0"/>
        </w:rPr>
        <w:t xml:space="preserve">respectivamente,</w:t>
      </w:r>
      <w:r w:rsidDel="00000000" w:rsidR="00000000" w:rsidRPr="00000000">
        <w:rPr>
          <w:shd w:fill="c27ba0" w:val="clear"/>
          <w:rtl w:val="0"/>
        </w:rPr>
        <w:t xml:space="preserve"> e um aumento de 16% no tempo de vida atmosférico do metano</w:t>
      </w:r>
      <w:r w:rsidDel="00000000" w:rsidR="00000000" w:rsidRPr="00000000">
        <w:rPr>
          <w:rtl w:val="0"/>
        </w:rPr>
        <w:t xml:space="preserve"> (Schmidt et al. 2016). </w:t>
      </w:r>
      <w:r w:rsidDel="00000000" w:rsidR="00000000" w:rsidRPr="00000000">
        <w:rPr>
          <w:shd w:fill="cc0000" w:val="clear"/>
          <w:rtl w:val="0"/>
        </w:rPr>
        <w:t xml:space="preserve">As variações observadas nas previsões podem ser explicadas pelo fato 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shd w:fill="cc0000" w:val="clear"/>
          <w:rtl w:val="0"/>
        </w:rPr>
        <w:t xml:space="preserve">de o estudo posterior não incluir o fenômeno de desbrominação do sal marinho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