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0.393700787401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419100</wp:posOffset>
            </wp:positionH>
            <wp:positionV relativeFrom="page">
              <wp:posOffset>914400</wp:posOffset>
            </wp:positionV>
            <wp:extent cx="1000125" cy="1147763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147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UNIVERSIDADE FEDERAL DO RIO GRANDE DO NORTE                                                                                      DEPARTAMENTO DE CIÊNCIAS ATMOSFÉRICAS E CLIMÁTICAS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4895850</wp:posOffset>
            </wp:positionH>
            <wp:positionV relativeFrom="paragraph">
              <wp:posOffset>224600</wp:posOffset>
            </wp:positionV>
            <wp:extent cx="1123950" cy="523875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19160" l="0" r="-9259" t="1967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52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CURSO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METEOROLOGIA</w:t>
        <w:br w:type="textWrapping"/>
        <w:t xml:space="preserve">                                       BIOMETEOROLOGIA</w:t>
      </w:r>
    </w:p>
    <w:p w:rsidR="00000000" w:rsidDel="00000000" w:rsidP="00000000" w:rsidRDefault="00000000" w:rsidRPr="00000000" w14:paraId="00000003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PAULO SÉRGIO LÚCIO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QUINTO PERÍODO</w:t>
      </w:r>
    </w:p>
    <w:p w:rsidR="00000000" w:rsidDel="00000000" w:rsidP="00000000" w:rsidRDefault="00000000" w:rsidRPr="00000000" w14:paraId="00000004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UNIDADE 2</w:t>
      </w:r>
    </w:p>
    <w:p w:rsidR="00000000" w:rsidDel="00000000" w:rsidP="00000000" w:rsidRDefault="00000000" w:rsidRPr="00000000" w14:paraId="00000005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VITÓRIA RÉGIA SILVA DE SOUZA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               ATIVIDADE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NATAL - RN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2023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pesquisa foi destinada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Biometeorologia, Bioclimatologia, Conforto Térmico e Zoneamento Climático Animal. Para as produções de carne de frango, no cenário da avicultura.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ab/>
        <w:t xml:space="preserve">O Estado do Rio Grande do Sul é o 3º maior produtor e exportador de carne de frango do Brasil, produzindo anualmente 1,6 milhões de toneladas (ASGAV, 2020).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ab/>
        <w:t xml:space="preserve">Possuindo um intuito de pesquisa para períodos do desconforto térmico, conforto térmico, gerando questões de saúde do próprio animal, ou seja, seu desconforto.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ab/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ab/>
        <w:t xml:space="preserve">Para este estudo foi colocado em questão o índice de temperatura e umidade, adimensional e semivariância em função da distância de separação entre pares de pontos, mas este resumo terá total foco somente para a equação 1.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249752</wp:posOffset>
            </wp:positionV>
            <wp:extent cx="5731200" cy="3873500"/>
            <wp:effectExtent b="0" l="0" r="0" t="0"/>
            <wp:wrapNone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ab/>
        <w:t xml:space="preserve">Os períodos de estações do ano que mais apresentaram desconforto, para uma alta temperatura, são, para o ITU max: primeira semana da primavera e verão, todas as estações para a segunda semana, assim como as demais semanas iniciais.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-161924</wp:posOffset>
            </wp:positionH>
            <wp:positionV relativeFrom="paragraph">
              <wp:posOffset>114300</wp:posOffset>
            </wp:positionV>
            <wp:extent cx="5731200" cy="5003800"/>
            <wp:effectExtent b="0" l="0" r="0" t="0"/>
            <wp:wrapNone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ab/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ab/>
        <w:t xml:space="preserve">Os valores de cidades que possuem mais "ITUmed" são os mais qualificados para a produção de frangos para corte.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4838700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ab/>
        <w:t xml:space="preserve">Para esta figura os pontos sobre ela, são de alto desconforto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“ITUmax”,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o “ITUmed” fica próximo ao desconforto, porém para a primavera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“ITUmin”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ainda se encontra longe de atingir o conforto e para o verão algumas cidades chegam na marca de conforto.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114300</wp:posOffset>
            </wp:positionV>
            <wp:extent cx="5731200" cy="4191000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ab/>
        <w:t xml:space="preserve">A terceira e quarta semanas apresentam o enquadramento para o conforto para frangos, as demais apresentam desconforto em decorrência do frio e do calor. As duas últimas semanas apresentaram o limite de ITU para o conforto, neste período.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114300</wp:posOffset>
            </wp:positionV>
            <wp:extent cx="5731200" cy="4064000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ab/>
        <w:t xml:space="preserve">Para o período do verão, que a linha de pensamento é o aumento de temperatura, o que se encontra, já é a “cor” limite para a ultrapassagem da linha de conforto.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566.9291338582675" w:firstLine="0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566.9291338582675" w:firstLine="0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4965"/>
        <w:tblGridChange w:id="0">
          <w:tblGrid>
            <w:gridCol w:w="2250"/>
            <w:gridCol w:w="4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&lt;52 a &lt;60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Estresse por frio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&gt;60 a &gt;68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Conforto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&gt;60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Estresse por calor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&gt;56 a &lt;64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Conforto térmico para o estado</w:t>
            </w:r>
          </w:p>
        </w:tc>
      </w:tr>
    </w:tbl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           Tabela 1 - valores e suas especificações.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ab/>
        <w:t xml:space="preserve">A conclusão dada pela presente pesquisa do artigo é, a capacidade de dividir o território do Rio Grande do Sul em duas partes, das quais, a maior parte do estado possui a alteração do estresse por frio a estresse por calor, para as primeiras três semanas, a quarta semana apresenta o conforto e a quinta e sexta já apresentam estresse por calor.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ab/>
        <w:t xml:space="preserve">As condições ambientais para conforto térmico de frangos de corte ocorrem em maior parte do território do Rio Grande do Sul no outono para a quarta e quinta semana,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 inverno para a quinta e sexta semana, na primavera para a terceira e quarta semana e no verão para a segunda e terceira semana de vida dos frangos de corte. (DE OLIVEIRA, Z.B, 2021).</w:t>
      </w:r>
      <w:r w:rsidDel="00000000" w:rsidR="00000000" w:rsidRPr="00000000">
        <w:rPr>
          <w:rtl w:val="0"/>
        </w:rPr>
      </w:r>
    </w:p>
    <w:sectPr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