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Cambria" w:cs="Cambria" w:eastAsia="Cambria" w:hAnsi="Cambria"/>
          <w:b/>
          <w:bCs/>
          <w:color w:val="0D3B70"/>
          <w:sz w:val="72"/>
          <w:szCs w:val="72"/>
        </w:rPr>
        <w:t xml:space="preserve">FreshKart</w:t>
      </w:r>
    </w:p>
    <w:p>
      <w:pPr>
        <w:spacing w:after="200"/>
        <w:jc w:val="center"/>
      </w:pPr>
      <w:r>
        <w:rPr>
          <w:rFonts w:ascii="Cambria" w:cs="Cambria" w:eastAsia="Cambria" w:hAnsi="Cambria"/>
          <w:color w:val="1A6EBF"/>
          <w:sz w:val="40"/>
          <w:szCs w:val="40"/>
        </w:rPr>
        <w:t xml:space="preserve">RFM Customer Segmentation Project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Complete Project Documentation</w:t>
      </w:r>
    </w:p>
    <w:p>
      <w:pPr>
        <w:pBdr>
          <w:bottom w:val="single" w:color="00C2CB" w:sz="8" w:space="1"/>
        </w:pBdr>
        <w:spacing w:after="3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3B70"/>
          <w:sz w:val="22"/>
          <w:szCs w:val="22"/>
        </w:rPr>
        <w:t xml:space="preserve">Prepared by:</w:t>
      </w:r>
    </w:p>
    <w:p>
      <w:pPr>
        <w:spacing w:after="120"/>
        <w:jc w:val="center"/>
      </w:pPr>
      <w:r>
        <w:rPr>
          <w:rFonts w:ascii="Cambria" w:cs="Cambria" w:eastAsia="Cambria" w:hAnsi="Cambria"/>
          <w:b/>
          <w:bCs/>
          <w:color w:val="0D3B70"/>
          <w:sz w:val="32"/>
          <w:szCs w:val="32"/>
        </w:rPr>
        <w:t xml:space="preserve">Kalirathna Devi Valaguru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Business / Data Analyst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0"/>
                <w:sz w:val="20"/>
                <w:szCs w:val="20"/>
              </w:rPr>
              <w:t xml:space="preserve">Program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GUVI BA &amp; AI Certification Program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0"/>
                <w:sz w:val="20"/>
                <w:szCs w:val="20"/>
              </w:rPr>
              <w:t xml:space="preserve">Project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FreshKart RFM Customer Segmentation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0"/>
                <w:sz w:val="20"/>
                <w:szCs w:val="20"/>
              </w:rPr>
              <w:t xml:space="preserve">Tools Used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| MySQL | Python | Power BI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0"/>
                <w:sz w:val="20"/>
                <w:szCs w:val="20"/>
              </w:rPr>
              <w:t xml:space="preserve">Dataset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FreshKart Grocery Store — 99,477 transactions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0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Days (6 Phases)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2C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D3B70"/>
          <w:sz w:val="30"/>
          <w:szCs w:val="30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FreshKart is a grocery retail chain operating across Chennai, Coimbatore, and Madurai. The business was spending marketing budget on mass SMS campaigns that reached all 5,200 customers equally — resulting in only a 4% response rate and wasting nearly ₹8 lakhs every quarter.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project applied RFM (Recency, Frequency, Monetary) Customer Segmentation to identify which customers are Champions, Loyal, At-Risk, or Lost — and proved through statistical A/B testing that personalised campaigns generate 140% better results than generic mass SMS.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Customers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5,200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Transactions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99,477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₹2.99 Crore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Analysis Period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 2024 – Dec 2025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Champions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1,113 (21.5%)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Risk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323 (6.2%)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Lost Customers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1,235 (23.8%)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Loyal Customers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1,079 (20.8%)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Targeted Response Rate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19.23%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Generic Response Rate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8.01%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Campaign Lift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+140%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ANOVA p-value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0.00001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2C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D3B70"/>
          <w:sz w:val="30"/>
          <w:szCs w:val="30"/>
        </w:rPr>
        <w:t xml:space="preserve">2. Project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Clean and preprocess raw grocery transaction data across 3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pivot tables and charts in Excel for initial exploration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Write 21 SQL queries covering JOINs, GROUP BY, CASE, Window Functions and CTEs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Score every customer on Recency, Frequency and Monetary dimensions (1–5)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Segment customers into 8 meaningful groups — Champions to Lost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Validate segmentation using ANOVA, Chi-Square and A/B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a 3-page interactive Power BI dashboard with 20 DAX measures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Deliver actionable targeting recommendations per segment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00C2C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D3B70"/>
          <w:sz w:val="30"/>
          <w:szCs w:val="30"/>
        </w:rPr>
        <w:t xml:space="preserve">3. Dataset Description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6EBF"/>
          <w:sz w:val="24"/>
          <w:szCs w:val="24"/>
        </w:rPr>
        <w:t xml:space="preserve">3.1 Data Source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dataset represents 2 years of real grocery retail transactions from FreshKart stores across Chennai, Coimbatore and Madurai. It consists of 3 raw files: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2340"/>
        <w:gridCol w:w="2808"/>
      </w:tblGrid>
      <w:tr>
        <w:trPr>
          <w:tblHeader/>
        </w:trP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transactions.xlsx</w:t>
            </w:r>
          </w:p>
        </w:tc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1,00,922 (raw)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InvoiceNo, CustomerID, ProductID, Quantity, UnitPrice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purchase records including returns and guest checkouts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customers.xlsx</w:t>
            </w:r>
          </w:p>
        </w:tc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5,200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CustomerID, Name, City, PilotGroup, Responded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master with pilot campaign results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products.xlsx</w:t>
            </w:r>
          </w:p>
        </w:tc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ProductID, ProductName, Category, MRP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catalogue across 7 categories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6EBF"/>
          <w:sz w:val="24"/>
          <w:szCs w:val="24"/>
        </w:rPr>
        <w:t xml:space="preserve">3.2 Data Quality Issues Found &amp; Fixed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510"/>
        <w:gridCol w:w="2808"/>
        <w:gridCol w:w="2106"/>
      </w:tblGrid>
      <w:tr>
        <w:trPr>
          <w:tblHeader/>
        </w:trP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  <w:tc>
          <w:tcPr>
            <w:tcW w:type="dxa" w:w="2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Records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Trailing spaces in CustomerName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Applied str.strip()</w:t>
            </w:r>
          </w:p>
        </w:tc>
        <w:tc>
          <w:tcPr>
            <w:tcW w:type="dxa" w:w="2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145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City misspellings (Chenai, CHENNAI, Madhurai)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Mapped to standard names</w:t>
            </w:r>
          </w:p>
        </w:tc>
        <w:tc>
          <w:tcPr>
            <w:tcW w:type="dxa" w:w="2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244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PilotGroup blank for non-pilot customers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Filled with 'Not in Pilot'</w:t>
            </w:r>
          </w:p>
        </w:tc>
        <w:tc>
          <w:tcPr>
            <w:tcW w:type="dxa" w:w="2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3,952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Mixed InvoiceDate formats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Parsed to uniform datetime</w:t>
            </w:r>
          </w:p>
        </w:tc>
        <w:tc>
          <w:tcPr>
            <w:tcW w:type="dxa" w:w="2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18,487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Exact duplicate rows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Removed with drop_duplicates()</w:t>
            </w:r>
          </w:p>
        </w:tc>
        <w:tc>
          <w:tcPr>
            <w:tcW w:type="dxa" w:w="2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183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Missing CustomerID (guest checkouts)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Flagged as GuestCheckout=1</w:t>
            </w:r>
          </w:p>
        </w:tc>
        <w:tc>
          <w:tcPr>
            <w:tcW w:type="dxa" w:w="2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2,039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Cancelled invoices (C-prefix)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Separated into Returns sheet</w:t>
            </w:r>
          </w:p>
        </w:tc>
        <w:tc>
          <w:tcPr>
            <w:tcW w:type="dxa" w:w="2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661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Zero/negative UnitPrice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Removed as junk rows</w:t>
            </w:r>
          </w:p>
        </w:tc>
        <w:tc>
          <w:tcPr>
            <w:tcW w:type="dxa" w:w="2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528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Missing TotalAmount column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Added: Quantity × UnitPrice</w:t>
            </w:r>
          </w:p>
        </w:tc>
        <w:tc>
          <w:tcPr>
            <w:tcW w:type="dxa" w:w="2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rows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Products — no issues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action required</w:t>
            </w:r>
          </w:p>
        </w:tc>
        <w:tc>
          <w:tcPr>
            <w:tcW w:type="dxa" w:w="2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2C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D3B70"/>
          <w:sz w:val="30"/>
          <w:szCs w:val="30"/>
        </w:rPr>
        <w:t xml:space="preserve">4. Project Phases — Complete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 Completed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 — Excel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cleaning, pivot tables (Monthly Revenue, City, Category), charts, interactive dashboard with filters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B3D"/>
                <w:sz w:val="18"/>
                <w:szCs w:val="18"/>
              </w:rPr>
              <w:t xml:space="preserve">✅ Completed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 — SQL / MySQL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setup, 21 business queries covering JOINs, GROUP BY, CASE, Window Functions, CTEs, RFM SQL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B3D"/>
                <w:sz w:val="18"/>
                <w:szCs w:val="18"/>
              </w:rPr>
              <w:t xml:space="preserve">✅ Completed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3 — RFM Scoring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R/F/M scores (1–5), 8 segment labels, customer_rfm_segments.csv export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B3D"/>
                <w:sz w:val="18"/>
                <w:szCs w:val="18"/>
              </w:rPr>
              <w:t xml:space="preserve">✅ Completed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4 — Statistics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Descriptive stats, ANOVA, Chi-Square, A/B Test (Z-test for proportions)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B3D"/>
                <w:sz w:val="18"/>
                <w:szCs w:val="18"/>
              </w:rPr>
              <w:t xml:space="preserve">✅ Completed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5 — Power BI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3-page interactive dashboard, 20 DAX measures, slicers for City/Segment/PilotGroup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B3D"/>
                <w:sz w:val="18"/>
                <w:szCs w:val="18"/>
              </w:rPr>
              <w:t xml:space="preserve">✅ Completed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6 — Presentation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10-slide PowerPoint, storytelling script, targeting matrix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B3D"/>
                <w:sz w:val="18"/>
                <w:szCs w:val="18"/>
              </w:rPr>
              <w:t xml:space="preserve">✅ Completed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2C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D3B70"/>
          <w:sz w:val="30"/>
          <w:szCs w:val="30"/>
        </w:rPr>
        <w:t xml:space="preserve">5. Phase-wise Details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6EBF"/>
          <w:sz w:val="24"/>
          <w:szCs w:val="24"/>
        </w:rPr>
        <w:t xml:space="preserve">5.1 Phase 1 — Excel Analysis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raw data was cleaned using Python (pandas + openpyxl) and exported as a 9-sheet formatted Excel workbook: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2_Customers_Cleaned — 5,200 customers, cities standardised, pilot group filled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3_Products_Cleaned — 68 products, colour-coded by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4_Transactions_Cleaned — 99,477 valid sales rows with TotalAmount column added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5_Returns_Cancelled — 661 return invoices separated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6_Merged_Analysis_Table — All 3 tables joined with MonthYear, IsWeekend, OrderSizeBand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7_Monthly_Revenue_Summary — 24-month pivot with MoM Growth 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8_Revenue_by_City — Chennai 55.7%, Coimbatore 24.7%, Madurai 19.5%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9_Revenue_by_Category — Staples leads at 39.2% of revenue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6EBF"/>
          <w:sz w:val="24"/>
          <w:szCs w:val="24"/>
        </w:rPr>
        <w:t xml:space="preserve">5.2 Phase 2 — SQL Analysis (21 Queries)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510"/>
        <w:gridCol w:w="2340"/>
        <w:gridCol w:w="2574"/>
      </w:tblGrid>
      <w:tr>
        <w:trPr>
          <w:tblHeader/>
        </w:trP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Name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Concept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Use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KPI Summary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Aggregate functions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Overall performance snapshot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Q2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Revenue by City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JOIN + GROUP BY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City campaign targeting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Q3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Revenue by Category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JOIN + GROUP BY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Category strategy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Q4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Monthly Revenue Trend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DATE_FORMAT + GROUP BY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Trend &amp; seasonality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Q5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 10 Customers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JOIN + LIMIT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VIP identification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Q6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Purchased Customers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 JOIN anti-join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Reactivation campaign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Q7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Spending Segments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WHEN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Segment labelling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Q8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 3 per City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RANK() OVER PARTITION BY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City-level champions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Q9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 Between Purchases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LAG() + DATEDIFF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Campaign timing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Q10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Running Total Revenue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SUM() OVER running total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Cumulative growth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Q11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RFM Score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3-step CTE + NTILE(5)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RFM engine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Q12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RFM Segment Summary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CTE + GROUP BY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Segment size &amp; value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Q13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A/B Test Results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JOIN + Response Rate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Campaign validation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Q14-21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Products, Store, Weekend, Retention, City×Category, RFM Export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Various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insights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6EBF"/>
          <w:sz w:val="24"/>
          <w:szCs w:val="24"/>
        </w:rPr>
        <w:t xml:space="preserve">5.3 Phase 3 — RFM Scoring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RFM scoring was performed using Python (pandas) on 5,187 customers who had at least one purchase: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74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374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Scoring Logic</w:t>
            </w:r>
          </w:p>
        </w:tc>
      </w:tr>
      <w:tr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Recency (R)</w:t>
            </w:r>
          </w:p>
        </w:tc>
        <w:tc>
          <w:tcPr>
            <w:tcW w:type="dxa" w:w="374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 since last purchase from reference date (2025-12-03)</w:t>
            </w:r>
          </w:p>
        </w:tc>
        <w:tc>
          <w:tcPr>
            <w:tcW w:type="dxa" w:w="374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Lower days = higher score (5 = bought recently)</w:t>
            </w:r>
          </w:p>
        </w:tc>
      </w:tr>
      <w:tr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Frequency (F)</w:t>
            </w:r>
          </w:p>
        </w:tc>
        <w:tc>
          <w:tcPr>
            <w:tcW w:type="dxa" w:w="374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 of distinct InvoiceNo per customer</w:t>
            </w:r>
          </w:p>
        </w:tc>
        <w:tc>
          <w:tcPr>
            <w:tcW w:type="dxa" w:w="374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Higher orders = higher score (5 = most frequent)</w:t>
            </w:r>
          </w:p>
        </w:tc>
      </w:tr>
      <w:tr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Monetary (M)</w:t>
            </w:r>
          </w:p>
        </w:tc>
        <w:tc>
          <w:tcPr>
            <w:tcW w:type="dxa" w:w="374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 of TotalAmount per customer</w:t>
            </w:r>
          </w:p>
        </w:tc>
        <w:tc>
          <w:tcPr>
            <w:tcW w:type="dxa" w:w="374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Higher spend = higher score (5 = highest spender)</w:t>
            </w:r>
          </w:p>
        </w:tc>
      </w:tr>
      <w:tr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Scoring Method</w:t>
            </w:r>
          </w:p>
        </w:tc>
        <w:tc>
          <w:tcPr>
            <w:tcW w:type="dxa" w:w="374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pd.qcut() — quantile-based equal-bin scoring</w:t>
            </w:r>
          </w:p>
        </w:tc>
        <w:tc>
          <w:tcPr>
            <w:tcW w:type="dxa" w:w="374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Each score 1–5 has equal number of customers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Segment Assignment Rules: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1872"/>
        <w:gridCol w:w="1872"/>
      </w:tblGrid>
      <w:tr>
        <w:trPr>
          <w:tblHeader/>
        </w:trPr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Customers</w:t>
            </w:r>
          </w:p>
        </w:tc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Revenue</w:t>
            </w:r>
          </w:p>
        </w:tc>
      </w:tr>
      <w:tr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Champions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R≥4, F≥4, M≥4</w:t>
            </w:r>
          </w:p>
        </w:tc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1,113</w:t>
            </w:r>
          </w:p>
        </w:tc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₹13,860</w:t>
            </w:r>
          </w:p>
        </w:tc>
      </w:tr>
      <w:tr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Loyal Customers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R≥3, F≥3, M≥3</w:t>
            </w:r>
          </w:p>
        </w:tc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1,079</w:t>
            </w:r>
          </w:p>
        </w:tc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₹6,476</w:t>
            </w:r>
          </w:p>
        </w:tc>
      </w:tr>
      <w:tr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Customers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R≥4, F≤2</w:t>
            </w:r>
          </w:p>
        </w:tc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₹2,070</w:t>
            </w:r>
          </w:p>
        </w:tc>
      </w:tr>
      <w:tr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Potential Loyalists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R≥3, M≥4</w:t>
            </w:r>
          </w:p>
        </w:tc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₹5,762</w:t>
            </w:r>
          </w:p>
        </w:tc>
      </w:tr>
      <w:tr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Cannot Lose Them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R≤2, F≥4, M≥4</w:t>
            </w:r>
          </w:p>
        </w:tc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282</w:t>
            </w:r>
          </w:p>
        </w:tc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₹7,483</w:t>
            </w:r>
          </w:p>
        </w:tc>
      </w:tr>
      <w:tr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Risk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R≤2, F≥3, M≥3</w:t>
            </w:r>
          </w:p>
        </w:tc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323</w:t>
            </w:r>
          </w:p>
        </w:tc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₹4,253</w:t>
            </w:r>
          </w:p>
        </w:tc>
      </w:tr>
      <w:tr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Lost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R≤2, F≤2, M≤2</w:t>
            </w:r>
          </w:p>
        </w:tc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1,235</w:t>
            </w:r>
          </w:p>
        </w:tc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₹1,158</w:t>
            </w:r>
          </w:p>
        </w:tc>
      </w:tr>
      <w:tr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Hibernating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others</w:t>
            </w:r>
          </w:p>
        </w:tc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735</w:t>
            </w:r>
          </w:p>
        </w:tc>
        <w:tc>
          <w:tcPr>
            <w:tcW w:type="dxa" w:w="187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₹2,246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6EBF"/>
          <w:sz w:val="24"/>
          <w:szCs w:val="24"/>
        </w:rPr>
        <w:t xml:space="preserve">5.4 Phase 4 — Statistics &amp; A/B Testing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6B3D"/>
          <w:sz w:val="22"/>
          <w:szCs w:val="22"/>
        </w:rPr>
        <w:t xml:space="preserve">Analysis 1 — Descriptive Statistics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Mean, Median, Std Dev, Q1, Q3 calculated for Monetary value per segment. Champions average ₹13,860 vs Lost at ₹1,158 — a 12x gap.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6B3D"/>
          <w:sz w:val="22"/>
          <w:szCs w:val="22"/>
        </w:rPr>
        <w:t xml:space="preserve">Analysis 2 — ANOVA Test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One-way ANOVA tested whether all 8 segments have equal mean spending.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F-statistic: 1024.64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p-value: &lt; 0.0000000001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Result: REJECT H₀ — Segments ARE statistically different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Meaning: RFM segmentation captures real behavioral differences, not random variation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6B3D"/>
          <w:sz w:val="22"/>
          <w:szCs w:val="22"/>
        </w:rPr>
        <w:t xml:space="preserve">Analysis 3 — Chi-Square Test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Chi-Square tested whether RFM segment depends on which city the customer is from.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Chi-Square (χ²): 14.64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Degrees of freedom: 14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p-value: 0.4034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Result: FAIL TO REJECT H₀ — Segment and City are INDEPENDENT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Meaning: Market by SEGMENT, not by city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6B3D"/>
          <w:sz w:val="22"/>
          <w:szCs w:val="22"/>
        </w:rPr>
        <w:t xml:space="preserve">Analysis 4 — A/B Test (Z-test for Proportions)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FreshKart piloted a targeted 15% coupon (Group A) vs generic mass SMS (Group B) on At-Risk customers.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 A — Targeted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 B — Generic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Customers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624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624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Responded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Response Rate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19.23%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8.01%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Lift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+140%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Z-statistic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5.7766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p-value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0.000001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Decision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REJECT H₀ — Targeted IS better ✅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6EBF"/>
          <w:sz w:val="24"/>
          <w:szCs w:val="24"/>
        </w:rPr>
        <w:t xml:space="preserve">5.5 Phase 5 — Power BI Dashboard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3-page interactive Power BI dashboard was built with 20 DAX measures across 3 display folders.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6B3D"/>
          <w:sz w:val="22"/>
          <w:szCs w:val="22"/>
        </w:rPr>
        <w:t xml:space="preserve">Page 1 — Executive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 KPI Cards: Total Customers (5,187), Total Revenue (₹2.99Cr), Total Orders (25,017), Avg Order Value (₹1,218), Active Customers % (42.5%)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Bar Chart: Revenue by City — Chennai leads at ₹1.67 Cr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Line Chart: Monthly Revenue Trend — October 2024 peak at ₹3.9M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Donut Chart: Customer distribution across 8 RFM segments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Slicers: City, RFM Segment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6B3D"/>
          <w:sz w:val="22"/>
          <w:szCs w:val="22"/>
        </w:rPr>
        <w:t xml:space="preserve">Page 2 — RFM Segment Deep-Dive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 KPI Cards: Champions Count (1,113), At Risk Count (323), Lost Count (1,235), Avg RFM Score (3.0)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Bar Chart: Average Monetary by RFM Segment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Donut Chart: Customer count per segment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Table: Full segment summary with Avg Monetary, Recency, Frequency, Revenue Share 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Slicers: City, RFM Segment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6B3D"/>
          <w:sz w:val="22"/>
          <w:szCs w:val="22"/>
        </w:rPr>
        <w:t xml:space="preserve">Page 3 — Campaign &amp; A/B Test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 KPI Cards: Targeted Response Rate (19.23%), Generic Response Rate (8.01%), Campaign Lift (140%)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Bar Chart: Targeted vs Generic campaign response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Column Chart: At-Risk customers by City (Chennai 176, Coimbatore 78, Madurai 69)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Table: Segment targeting recommendations with Revenue Share 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Slicers: City, PilotGroup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6B3D"/>
          <w:sz w:val="22"/>
          <w:szCs w:val="22"/>
        </w:rPr>
        <w:t xml:space="preserve">DAX Measures — 20 Measures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KPIs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Customers, Total Revenue, Total Orders, Avg Order Value, Total Items Sold, Revenue per Customer, Active Customers Pct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RFM Segments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Champions Count, At Risk Count, Lost Count, Loyal Count, Avg RFM Score, Avg Monetary, Avg Recency Days, Avg Frequency, At Risk Revenue, Revenue Share %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 Test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Targeted Response Rate, Generic Response Rate, Campaign Lift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2C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D3B70"/>
          <w:sz w:val="30"/>
          <w:szCs w:val="30"/>
        </w:rPr>
        <w:t xml:space="preserve">6. Key Findings &amp; Business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808"/>
        <w:gridCol w:w="3744"/>
        <w:gridCol w:w="2340"/>
      </w:tblGrid>
      <w:tr>
        <w:trPr>
          <w:tblHeader/>
        </w:trPr>
        <w:tc>
          <w:tcPr>
            <w:tcW w:type="dxa" w:w="46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374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6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Champions drive 51.6% of revenue</w:t>
            </w:r>
          </w:p>
        </w:tc>
        <w:tc>
          <w:tcPr>
            <w:tcW w:type="dxa" w:w="374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1,113 customers generate ₹1.54 Cr out of ₹2.99 Cr total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VIP loyalty program — protect at all costs</w:t>
            </w:r>
          </w:p>
        </w:tc>
      </w:tr>
      <w:tr>
        <w:tc>
          <w:tcPr>
            <w:tcW w:type="dxa" w:w="46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1,235 customers are Lost</w:t>
            </w:r>
          </w:p>
        </w:tc>
        <w:tc>
          <w:tcPr>
            <w:tcW w:type="dxa" w:w="374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Average spend ₹1,158 — lowest segment, haven't purchased in 489 days avg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Last-chance offer — accept some churn</w:t>
            </w:r>
          </w:p>
        </w:tc>
      </w:tr>
      <w:tr>
        <w:tc>
          <w:tcPr>
            <w:tcW w:type="dxa" w:w="46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Targeted campaign 140% better</w:t>
            </w:r>
          </w:p>
        </w:tc>
        <w:tc>
          <w:tcPr>
            <w:tcW w:type="dxa" w:w="374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19.23% response vs 8.01% — proven at p&lt;0.000001 significance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Scale personalised campaigns to all segments</w:t>
            </w:r>
          </w:p>
        </w:tc>
      </w:tr>
      <w:tr>
        <w:tc>
          <w:tcPr>
            <w:tcW w:type="dxa" w:w="46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City does not predict segment</w:t>
            </w:r>
          </w:p>
        </w:tc>
        <w:tc>
          <w:tcPr>
            <w:tcW w:type="dxa" w:w="374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Chi-Square p=0.40 — segments are evenly distributed across cities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Market by segment, not by city</w:t>
            </w:r>
          </w:p>
        </w:tc>
      </w:tr>
      <w:tr>
        <w:tc>
          <w:tcPr>
            <w:tcW w:type="dxa" w:w="46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Cannot Lose Them = high value + inactive</w:t>
            </w:r>
          </w:p>
        </w:tc>
        <w:tc>
          <w:tcPr>
            <w:tcW w:type="dxa" w:w="374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282 customers, avg ₹7,483 spend, avg 412 days since last purchase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Strong win-back campaign immediately</w:t>
            </w:r>
          </w:p>
        </w:tc>
      </w:tr>
      <w:tr>
        <w:tc>
          <w:tcPr>
            <w:tcW w:type="dxa" w:w="46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October 2024 is peak month</w:t>
            </w:r>
          </w:p>
        </w:tc>
        <w:tc>
          <w:tcPr>
            <w:tcW w:type="dxa" w:w="374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₹3.9M revenue — highest of all 24 months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 inventory and campaigns for Oct 2025</w:t>
            </w:r>
          </w:p>
        </w:tc>
      </w:tr>
      <w:tr>
        <w:tc>
          <w:tcPr>
            <w:tcW w:type="dxa" w:w="46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Staples dominate sales</w:t>
            </w:r>
          </w:p>
        </w:tc>
        <w:tc>
          <w:tcPr>
            <w:tcW w:type="dxa" w:w="374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39.2% of all revenue from staples category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Bundle staples with low-selling categories</w:t>
            </w:r>
          </w:p>
        </w:tc>
      </w:tr>
      <w:tr>
        <w:tc>
          <w:tcPr>
            <w:tcW w:type="dxa" w:w="46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Chennai leads all cities</w:t>
            </w:r>
          </w:p>
        </w:tc>
        <w:tc>
          <w:tcPr>
            <w:tcW w:type="dxa" w:w="374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55.7% of revenue — ₹1.67 Cr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Expand Chennai operations first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2C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D3B70"/>
          <w:sz w:val="30"/>
          <w:szCs w:val="30"/>
        </w:rPr>
        <w:t xml:space="preserve">7. Strategic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808"/>
        <w:gridCol w:w="2808"/>
        <w:gridCol w:w="2340"/>
      </w:tblGrid>
      <w:tr>
        <w:trPr>
          <w:tblHeader/>
        </w:trPr>
        <w:tc>
          <w:tcPr>
            <w:tcW w:type="dxa" w:w="140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Champions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VIP loyalty program, referral rewards, exclusive early access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WhatsApp + Email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W w:type="dxa" w:w="140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Loyal Customers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Upsell premium products, membership tier upgrade offer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SMS + App notification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 HIGH</w:t>
            </w:r>
          </w:p>
        </w:tc>
      </w:tr>
      <w:tr>
        <w:tc>
          <w:tcPr>
            <w:tcW w:type="dxa" w:w="140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Cannot Lose Them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Strong win-back — 20% coupon, personal call from store manager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+ WhatsApp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 HIGH</w:t>
            </w:r>
          </w:p>
        </w:tc>
      </w:tr>
      <w:tr>
        <w:tc>
          <w:tcPr>
            <w:tcW w:type="dxa" w:w="140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Risk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Personalised 15% coupon (proven by A/B test — 19.23% response)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SMS targeted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dxa" w:w="140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Hibernating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Re-engagement campaign, ask for feedback, small discount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 + SMS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dxa" w:w="140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Customers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Welcome email series, first repeat purchase 10% discount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 + App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dxa" w:w="140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Potential Loyalists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Membership offer, personalised product recommendations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+ WhatsApp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🟢 LOW</w:t>
            </w:r>
          </w:p>
        </w:tc>
      </w:tr>
      <w:tr>
        <w:tc>
          <w:tcPr>
            <w:tcW w:type="dxa" w:w="140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Lost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Last-chance offer — if no response, remove from active list</w:t>
            </w:r>
          </w:p>
        </w:tc>
        <w:tc>
          <w:tcPr>
            <w:tcW w:type="dxa" w:w="2808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SMS only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⚪ MONITOR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2C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D3B70"/>
          <w:sz w:val="30"/>
          <w:szCs w:val="30"/>
        </w:rPr>
        <w:t xml:space="preserve">8. Project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510"/>
        <w:gridCol w:w="2340"/>
        <w:gridCol w:w="2574"/>
      </w:tblGrid>
      <w:tr>
        <w:trPr>
          <w:tblHeader/>
        </w:trP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FreshKart_Cleaned_Data.xlsx — 9-sheet cleaned workbook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.xlsx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customers_cleaned.xlsx, products_cleaned.xlsx, transactions_cleaned.xlsx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.xlsx × 3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FreshKart_Pivot_Tables_Charts.xlsx — 4 sheets with charts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.xlsx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freshkart_sql_phase2.sql — 21 MySQL business queries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.sql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transactions_mysql_final.csv, customers_mysql.csv, products_mysql.csv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.csv × 3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freshkart_phase4_statistics.py — Python statistics script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.py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 &amp; 4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customer_rfm_segments.csv — 5,187 customers with RFM scores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.csv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FreshKart_Phase4_Statistics_Report.docx — 7-section statistics report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.docx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Phase5_freshkart.pbix — 3-page Power BI dashboard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.pbix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93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51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FreshKart_Project_Documentation.docx — this document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.docx</w:t>
            </w:r>
          </w:p>
        </w:tc>
        <w:tc>
          <w:tcPr>
            <w:tcW w:type="dxa" w:w="2574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Phases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2C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D3B70"/>
          <w:sz w:val="30"/>
          <w:szCs w:val="30"/>
        </w:rPr>
        <w:t xml:space="preserve">9.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/ Type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0D3B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Microsoft Excel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 365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cleaning, pivot tables, charts, dashboard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MySQL Workbench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 8.0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Database creation, SQL queries, data loading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3.14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cleaning, RFM scoring, statistical analysis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pandas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manipulation and RFM calculation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scipy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1.17.1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ANOVA, Chi-Square statistical tests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statsmodels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Z-test for proportions (A/B test)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openpyxl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3.1.5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 file generation and formatting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 BI Desktop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dashboard, DAX measures, slicers</w:t>
            </w:r>
          </w:p>
        </w:tc>
      </w:tr>
      <w:tr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VS Code</w:t>
            </w:r>
          </w:p>
        </w:tc>
        <w:tc>
          <w:tcPr>
            <w:tcW w:type="dxa" w:w="2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script editing and execution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2CB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D3B70"/>
          <w:sz w:val="30"/>
          <w:szCs w:val="30"/>
        </w:rPr>
        <w:t xml:space="preserve">10. Conclusion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project successfully delivered a complete end-to-end data analytics solution for FreshKart's customer segmentation challenge. Starting from raw, messy transaction data with multiple quality issues, the project produced a statistically validated RFM segmentation model that categorises all 5,187 customers into 8 actionable groups.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most significant business finding is that personalised campaigns generate 140% better response rates than generic mass SMS — proven at a 99.9999% confidence level using Z-test for proportions. This single insight alone, if acted upon, could save FreshKart approximately ₹6 lakhs per quarter in wasted marketing spend while simultaneously generating more revenue from the same budget.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Power BI dashboard gives FreshKart's marketing team a self-service analytics tool — they can filter by city, segment, or pilot group and instantly see which customers to target, with what offer, and through which channel.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6EBF"/>
          <w:sz w:val="24"/>
          <w:szCs w:val="24"/>
        </w:rPr>
        <w:t xml:space="preserve">10.1 Top 5 Actions for FreshKart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Immediately launch VIP loyalty program for 1,113 Champions — they generate 51.6% of all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 win-back campaign for 282 'Cannot Lose Them' customers — ₹7,483 avg value, inactive for 412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Scale targeted coupon campaigns to all segments (not just At-Risk) — proven 140% better than generic SMS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Stop city-based campaigns — RFM segment is a better predictor than geography (Chi-Square p=0.40)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Prepare for October peak — stock inventory and launch campaigns in September for October's ₹3.9M revenue month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2CB" w:sz="4" w:space="1"/>
      </w:pBdr>
      <w:jc w:val="right"/>
    </w:pPr>
    <w:r>
      <w:rPr>
        <w:rFonts w:ascii="Arial" w:cs="Arial" w:eastAsia="Arial" w:hAnsi="Arial"/>
        <w:color w:val="1A6EBF"/>
        <w:sz w:val="18"/>
        <w:szCs w:val="18"/>
      </w:rPr>
      <w:t xml:space="preserve">FreshKart RFM Customer Segmentation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2026-08-07T13:44:38.316Z</dcterms:created>
  <dcterms:modified xsi:type="dcterms:W3CDTF">2026-08-07T13:44:38.341Z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