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Weighted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58"/>
        <w:gridCol w:w="2912"/>
        <w:gridCol w:w="2924"/>
        <w:gridCol w:w="264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391,437,023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199,073,750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192,363,273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312,285,282   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150,893,743   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161,391,539   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79,151,741   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48,180,008   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30,971,734   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ragey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raeducl_2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lower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334,783,851   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180,254,970   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154,528,881   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10,676,821   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3,159,396  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7,517,425   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&amp; 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45,976,351   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15,659,384   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30,316,967   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148,003,531   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68,432,541   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79,570,990   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243,433,492   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130,641,209   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112,792,283   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chronic_free_heart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316,726,984   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154,660,188   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162,066,797   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74,710,039   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44,413,563   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30,296,476   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chronic_free_diabe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348,968,850   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175,351,368   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173,617,482   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42,468,173   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23,722,382   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18,745,791  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chronic_free_arthre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223,622,192   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102,685,567   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120,936,625   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167,814,832   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96,388,184   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71,426,648   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chronic_free_lunge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333,481,209   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174,103,226   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159,377,983   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57,955,815   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24,970,524   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32,985,290   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373,144,302   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192,054,712   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181,089,589   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18,292,722   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7,019,038   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11,273,684   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chronic_free_cancre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384,580,244   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194,258,871   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190,321,373   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6,856,779   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4,814,879   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2,041,900   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chronic_severe_2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148,003,531   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68,432,541   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79,570,990   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 &amp; &lt;3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217,160,896   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115,205,643   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101,955,253   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 &amp;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25,542,039  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15,234,379  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10,307,660   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730,558    (0.2%)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201,187    (0.1%)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529,370    (0.3%)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2023-02-27T17:49:08Z</dcterms:modified>
  <cp:category/>
</cp:coreProperties>
</file>