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Weighted descriptive statistics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04"/>
        <w:gridCol w:w="2790"/>
        <w:gridCol w:w="2801"/>
        <w:gridCol w:w="2404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19,345,913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10,754,392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8,591,521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16,546,293    (85.5%)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8,944,390    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7,601,903   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2,799,620   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1,810,002   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989,618   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ragey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10,412,866   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5,226,551   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5,186,315    (60.4%)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8,933,047   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5,527,841    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3,405,206    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chronic_free_heart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17,936,671   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9,990,104   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7,946,567    (92.5%)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1,409,242   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764,288   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644,954   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chronic_free_diabe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14,900,532    (77.0%)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8,016,066    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6,884,466   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4,445,381   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2,738,326   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1,707,055   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chronic_free_arthre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15,350,307   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7,940,898    (73.8%)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7,409,409   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3,995,606   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2,813,494   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1,182,112   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chronic_free_lunge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17,835,569   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9,771,277   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8,064,292   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1,510,344   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983,115   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527,229   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18,677,667    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10,409,638   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8,268,029   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668,246   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344,754   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323,492   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chronic_free_cancre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18,853,103    (97.5%)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10,410,982   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8,442,121    (98.3%)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492,810   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343,410   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149,400   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chronic_severe_2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10,412,866   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5,226,551   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5,186,315    (60.4%)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 &amp; &lt;3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8,279,307    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5,060,056   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3,219,251   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 3 &amp; 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636,082   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463,663   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172,419   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 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17,658    (0.1%)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4,122   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13,536    (0.2%)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   (%); Mean (SD)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 test with Rao &amp; Scott's second-order correction; Wilcoxon rank-sum test for complex survey samples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2023-02-27T17:16:27Z</dcterms:modified>
  <cp:category/>
</cp:coreProperties>
</file>