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5" w14:textId="77777777" w:rsidR="00B133DD" w:rsidRDefault="00A50CB3">
      <w:pPr>
        <w:pStyle w:val="SMcaption"/>
        <w:rPr>
          <w:rFonts w:eastAsia="Arial"/>
        </w:rPr>
        <w:pPrChange w:id="0" w:author="Author" w:date="2023-06-16T11:21:00Z">
          <w:pPr/>
        </w:pPrChange>
      </w:pPr>
      <w:bookmarkStart w:id="1" w:name="_Hlk131503646"/>
      <w:bookmarkStart w:id="2" w:name="_Hlk131605437"/>
      <w:r>
        <w:rPr>
          <w:rFonts w:eastAsia="Arial"/>
        </w:rPr>
        <w:t>Going beyond the gender gap in healthy lifespans</w:t>
      </w:r>
    </w:p>
    <w:p w14:paraId="00000006" w14:textId="77777777" w:rsidR="00B133DD" w:rsidRPr="00742769" w:rsidRDefault="00A50CB3">
      <w:pPr>
        <w:rPr>
          <w:rFonts w:ascii="Arial" w:eastAsia="Arial" w:hAnsi="Arial" w:cs="Arial"/>
          <w:sz w:val="20"/>
          <w:szCs w:val="20"/>
          <w:lang w:val="pt-BR"/>
          <w:rPrChange w:id="3" w:author="Author" w:date="2023-06-16T11:22:00Z">
            <w:rPr>
              <w:rFonts w:ascii="Arial" w:eastAsia="Arial" w:hAnsi="Arial" w:cs="Arial"/>
              <w:sz w:val="20"/>
              <w:szCs w:val="20"/>
            </w:rPr>
          </w:rPrChange>
        </w:rPr>
      </w:pPr>
      <w:bookmarkStart w:id="4" w:name="_Hlk131503656"/>
      <w:bookmarkEnd w:id="1"/>
      <w:r w:rsidRPr="00742769">
        <w:rPr>
          <w:rFonts w:ascii="Arial" w:eastAsia="Arial" w:hAnsi="Arial" w:cs="Arial"/>
          <w:sz w:val="20"/>
          <w:szCs w:val="20"/>
          <w:lang w:val="pt-BR"/>
          <w:rPrChange w:id="5" w:author="Author" w:date="2023-06-16T11:22:00Z">
            <w:rPr>
              <w:rFonts w:ascii="Arial" w:eastAsia="Arial" w:hAnsi="Arial" w:cs="Arial"/>
              <w:sz w:val="20"/>
              <w:szCs w:val="20"/>
            </w:rPr>
          </w:rPrChange>
        </w:rPr>
        <w:t>Vanessa di Lego</w:t>
      </w:r>
      <w:r w:rsidRPr="00742769">
        <w:rPr>
          <w:rFonts w:ascii="Arial" w:eastAsia="Arial" w:hAnsi="Arial" w:cs="Arial"/>
          <w:sz w:val="20"/>
          <w:szCs w:val="20"/>
          <w:vertAlign w:val="superscript"/>
          <w:lang w:val="pt-BR"/>
          <w:rPrChange w:id="6" w:author="Author" w:date="2023-06-16T11:22:00Z">
            <w:rPr>
              <w:rFonts w:ascii="Arial" w:eastAsia="Arial" w:hAnsi="Arial" w:cs="Arial"/>
              <w:sz w:val="20"/>
              <w:szCs w:val="20"/>
              <w:vertAlign w:val="superscript"/>
            </w:rPr>
          </w:rPrChange>
        </w:rPr>
        <w:t>1</w:t>
      </w:r>
      <w:r w:rsidRPr="00742769">
        <w:rPr>
          <w:rFonts w:ascii="Arial" w:eastAsia="Arial" w:hAnsi="Arial" w:cs="Arial"/>
          <w:sz w:val="20"/>
          <w:szCs w:val="20"/>
          <w:lang w:val="pt-BR"/>
          <w:rPrChange w:id="7" w:author="Author" w:date="2023-06-16T11:22:00Z">
            <w:rPr>
              <w:rFonts w:ascii="Arial" w:eastAsia="Arial" w:hAnsi="Arial" w:cs="Arial"/>
              <w:sz w:val="20"/>
              <w:szCs w:val="20"/>
            </w:rPr>
          </w:rPrChange>
        </w:rPr>
        <w:t>*, Marília R. Nepomuceno</w:t>
      </w:r>
      <w:r w:rsidRPr="00742769">
        <w:rPr>
          <w:rFonts w:ascii="Arial" w:eastAsia="Arial" w:hAnsi="Arial" w:cs="Arial"/>
          <w:sz w:val="20"/>
          <w:szCs w:val="20"/>
          <w:vertAlign w:val="superscript"/>
          <w:lang w:val="pt-BR"/>
          <w:rPrChange w:id="8" w:author="Author" w:date="2023-06-16T11:22:00Z">
            <w:rPr>
              <w:rFonts w:ascii="Arial" w:eastAsia="Arial" w:hAnsi="Arial" w:cs="Arial"/>
              <w:sz w:val="20"/>
              <w:szCs w:val="20"/>
              <w:vertAlign w:val="superscript"/>
            </w:rPr>
          </w:rPrChange>
        </w:rPr>
        <w:t>2</w:t>
      </w:r>
      <w:r w:rsidRPr="00742769">
        <w:rPr>
          <w:rFonts w:ascii="Arial" w:eastAsia="Arial" w:hAnsi="Arial" w:cs="Arial"/>
          <w:sz w:val="20"/>
          <w:szCs w:val="20"/>
          <w:lang w:val="pt-BR"/>
          <w:rPrChange w:id="9" w:author="Author" w:date="2023-06-16T11:22:00Z">
            <w:rPr>
              <w:rFonts w:ascii="Arial" w:eastAsia="Arial" w:hAnsi="Arial" w:cs="Arial"/>
              <w:sz w:val="20"/>
              <w:szCs w:val="20"/>
            </w:rPr>
          </w:rPrChange>
        </w:rPr>
        <w:t xml:space="preserve">, Cássio M. Turra </w:t>
      </w:r>
      <w:r w:rsidRPr="00742769">
        <w:rPr>
          <w:rFonts w:ascii="Arial" w:eastAsia="Arial" w:hAnsi="Arial" w:cs="Arial"/>
          <w:sz w:val="20"/>
          <w:szCs w:val="20"/>
          <w:vertAlign w:val="superscript"/>
          <w:lang w:val="pt-BR"/>
          <w:rPrChange w:id="10" w:author="Author" w:date="2023-06-16T11:22:00Z">
            <w:rPr>
              <w:rFonts w:ascii="Arial" w:eastAsia="Arial" w:hAnsi="Arial" w:cs="Arial"/>
              <w:sz w:val="20"/>
              <w:szCs w:val="20"/>
              <w:vertAlign w:val="superscript"/>
            </w:rPr>
          </w:rPrChange>
        </w:rPr>
        <w:t>3</w:t>
      </w:r>
    </w:p>
    <w:p w14:paraId="00000007" w14:textId="77777777" w:rsidR="00B133DD" w:rsidRDefault="00A50CB3">
      <w:pPr>
        <w:rPr>
          <w:rFonts w:ascii="Arial" w:eastAsia="Arial" w:hAnsi="Arial" w:cs="Arial"/>
          <w:sz w:val="20"/>
          <w:szCs w:val="20"/>
        </w:rPr>
      </w:pPr>
      <w:bookmarkStart w:id="11" w:name="_Hlk131503675"/>
      <w:bookmarkEnd w:id="4"/>
      <w:r>
        <w:rPr>
          <w:rFonts w:ascii="Arial" w:eastAsia="Arial" w:hAnsi="Arial" w:cs="Arial"/>
          <w:sz w:val="20"/>
          <w:szCs w:val="20"/>
          <w:vertAlign w:val="superscript"/>
        </w:rPr>
        <w:t>1</w:t>
      </w:r>
      <w:r>
        <w:rPr>
          <w:rFonts w:ascii="Arial" w:eastAsia="Arial" w:hAnsi="Arial" w:cs="Arial"/>
          <w:sz w:val="20"/>
          <w:szCs w:val="20"/>
        </w:rPr>
        <w:t xml:space="preserve"> Wittgenstein Centre for Demography and Global Human Capital (IIASA, </w:t>
      </w:r>
      <w:proofErr w:type="spellStart"/>
      <w:r>
        <w:rPr>
          <w:rFonts w:ascii="Arial" w:eastAsia="Arial" w:hAnsi="Arial" w:cs="Arial"/>
          <w:sz w:val="20"/>
          <w:szCs w:val="20"/>
        </w:rPr>
        <w:t>OeAW</w:t>
      </w:r>
      <w:proofErr w:type="spellEnd"/>
      <w:r>
        <w:rPr>
          <w:rFonts w:ascii="Arial" w:eastAsia="Arial" w:hAnsi="Arial" w:cs="Arial"/>
          <w:sz w:val="20"/>
          <w:szCs w:val="20"/>
        </w:rPr>
        <w:t>, Univ. Vienna), Vienna Institute of Demography at the Austrian Academy of Sciences</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Pr="00742769" w:rsidRDefault="00A50CB3">
      <w:pPr>
        <w:rPr>
          <w:rFonts w:ascii="Arial" w:eastAsia="Arial" w:hAnsi="Arial" w:cs="Arial"/>
          <w:sz w:val="20"/>
          <w:szCs w:val="20"/>
          <w:lang w:val="pt-BR"/>
          <w:rPrChange w:id="12" w:author="Author" w:date="2023-06-16T11:22:00Z">
            <w:rPr>
              <w:rFonts w:ascii="Arial" w:eastAsia="Arial" w:hAnsi="Arial" w:cs="Arial"/>
              <w:sz w:val="20"/>
              <w:szCs w:val="20"/>
            </w:rPr>
          </w:rPrChange>
        </w:rPr>
      </w:pPr>
      <w:r w:rsidRPr="00742769">
        <w:rPr>
          <w:rFonts w:ascii="Arial" w:eastAsia="Arial" w:hAnsi="Arial" w:cs="Arial"/>
          <w:sz w:val="20"/>
          <w:szCs w:val="20"/>
          <w:vertAlign w:val="superscript"/>
          <w:lang w:val="pt-BR"/>
          <w:rPrChange w:id="13" w:author="Author" w:date="2023-06-16T11:22:00Z">
            <w:rPr>
              <w:rFonts w:ascii="Arial" w:eastAsia="Arial" w:hAnsi="Arial" w:cs="Arial"/>
              <w:sz w:val="20"/>
              <w:szCs w:val="20"/>
              <w:vertAlign w:val="superscript"/>
            </w:rPr>
          </w:rPrChange>
        </w:rPr>
        <w:t xml:space="preserve">3 </w:t>
      </w:r>
      <w:r w:rsidRPr="00742769">
        <w:rPr>
          <w:rFonts w:ascii="Arial" w:eastAsia="Arial" w:hAnsi="Arial" w:cs="Arial"/>
          <w:sz w:val="20"/>
          <w:szCs w:val="20"/>
          <w:lang w:val="pt-BR"/>
          <w:rPrChange w:id="14" w:author="Author" w:date="2023-06-16T11:22:00Z">
            <w:rPr>
              <w:rFonts w:ascii="Arial" w:eastAsia="Arial" w:hAnsi="Arial" w:cs="Arial"/>
              <w:sz w:val="20"/>
              <w:szCs w:val="20"/>
            </w:rPr>
          </w:rPrChange>
        </w:rPr>
        <w:t>Universidade Federal de Minas Gerais, Cedeplar, Brazil.</w:t>
      </w:r>
    </w:p>
    <w:p w14:paraId="0000000A" w14:textId="1C7B4595" w:rsidR="00B133DD" w:rsidRDefault="00A50CB3">
      <w:pPr>
        <w:rPr>
          <w:rFonts w:ascii="Arial" w:eastAsia="Arial" w:hAnsi="Arial" w:cs="Arial"/>
          <w:sz w:val="20"/>
          <w:szCs w:val="20"/>
        </w:rPr>
      </w:pPr>
      <w:r>
        <w:rPr>
          <w:rFonts w:ascii="Arial" w:eastAsia="Arial" w:hAnsi="Arial" w:cs="Arial"/>
          <w:sz w:val="20"/>
          <w:szCs w:val="20"/>
        </w:rPr>
        <w:t>*</w:t>
      </w:r>
      <w:r w:rsidR="0032523C">
        <w:rPr>
          <w:rFonts w:ascii="Arial" w:eastAsia="Arial" w:hAnsi="Arial" w:cs="Arial"/>
          <w:sz w:val="20"/>
          <w:szCs w:val="20"/>
        </w:rPr>
        <w:t>Corresponding author</w:t>
      </w:r>
    </w:p>
    <w:p w14:paraId="0000000B" w14:textId="77777777" w:rsidR="00B133DD" w:rsidRDefault="00A50CB3">
      <w:pPr>
        <w:rPr>
          <w:rFonts w:ascii="Arial" w:eastAsia="Arial" w:hAnsi="Arial" w:cs="Arial"/>
          <w:sz w:val="20"/>
          <w:szCs w:val="20"/>
        </w:rPr>
      </w:pPr>
      <w:r>
        <w:rPr>
          <w:rFonts w:ascii="Arial" w:eastAsia="Arial" w:hAnsi="Arial" w:cs="Arial"/>
          <w:b/>
          <w:sz w:val="20"/>
          <w:szCs w:val="20"/>
        </w:rPr>
        <w:t xml:space="preserve">Email: </w:t>
      </w:r>
      <w:r>
        <w:rPr>
          <w:rFonts w:ascii="Arial" w:eastAsia="Arial" w:hAnsi="Arial" w:cs="Arial"/>
          <w:sz w:val="20"/>
          <w:szCs w:val="20"/>
        </w:rPr>
        <w:t xml:space="preserve"> </w:t>
      </w:r>
      <w:hyperlink r:id="rId8">
        <w:r>
          <w:rPr>
            <w:rFonts w:ascii="Arial" w:eastAsia="Arial" w:hAnsi="Arial" w:cs="Arial"/>
            <w:color w:val="0000FF"/>
            <w:sz w:val="20"/>
            <w:szCs w:val="20"/>
            <w:u w:val="single"/>
          </w:rPr>
          <w:t>Vanessa.DiLego@oeaw.ac.at</w:t>
        </w:r>
      </w:hyperlink>
    </w:p>
    <w:bookmarkEnd w:id="11"/>
    <w:p w14:paraId="00000016" w14:textId="77777777" w:rsidR="00B133DD" w:rsidRDefault="00B133DD" w:rsidP="008B1C35">
      <w:pPr>
        <w:spacing w:after="0"/>
        <w:rPr>
          <w:rFonts w:ascii="Arial" w:eastAsia="Arial" w:hAnsi="Arial" w:cs="Arial"/>
          <w:sz w:val="20"/>
          <w:szCs w:val="20"/>
        </w:rPr>
      </w:pPr>
    </w:p>
    <w:p w14:paraId="0000002E"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bookmarkStart w:id="15" w:name="_Hlk131605738"/>
    </w:p>
    <w:p w14:paraId="0000002F" w14:textId="77777777" w:rsidR="00B133DD" w:rsidRDefault="00A50CB3" w:rsidP="008B1C35">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Introduction</w:t>
      </w:r>
    </w:p>
    <w:p w14:paraId="00000030"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p>
    <w:p w14:paraId="00000031" w14:textId="08C0E2D7" w:rsidR="00B133DD" w:rsidRDefault="00A50CB3" w:rsidP="008B1C35">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 xml:space="preserve">licy makers use </w:t>
      </w:r>
      <w:r w:rsidR="00FE28AF">
        <w:rPr>
          <w:rFonts w:ascii="Arial" w:eastAsia="Arial" w:hAnsi="Arial" w:cs="Arial"/>
          <w:sz w:val="24"/>
          <w:szCs w:val="24"/>
        </w:rPr>
        <w:t xml:space="preserve">these </w:t>
      </w:r>
      <w:r>
        <w:rPr>
          <w:rFonts w:ascii="Arial" w:eastAsia="Arial" w:hAnsi="Arial" w:cs="Arial"/>
          <w:sz w:val="24"/>
          <w:szCs w:val="24"/>
        </w:rPr>
        <w:t>gaps</w:t>
      </w:r>
      <w:r>
        <w:rPr>
          <w:rFonts w:ascii="Arial" w:eastAsia="Arial" w:hAnsi="Arial" w:cs="Arial"/>
          <w:color w:val="000000"/>
          <w:sz w:val="24"/>
          <w:szCs w:val="24"/>
        </w:rPr>
        <w:t xml:space="preserve"> to benchmark countries, monitor changes over time, and identify the pace at which countries are closing or widening gender </w:t>
      </w:r>
      <w:r w:rsidR="00280AD5">
        <w:rPr>
          <w:rFonts w:ascii="Arial" w:eastAsia="Arial" w:hAnsi="Arial" w:cs="Arial"/>
          <w:color w:val="000000"/>
          <w:sz w:val="24"/>
          <w:szCs w:val="24"/>
        </w:rPr>
        <w:t>inequality</w:t>
      </w:r>
      <w:r w:rsidR="00FE28AF">
        <w:rPr>
          <w:rFonts w:ascii="Arial" w:eastAsia="Arial" w:hAnsi="Arial" w:cs="Arial"/>
          <w:color w:val="000000"/>
          <w:sz w:val="24"/>
          <w:szCs w:val="24"/>
        </w:rPr>
        <w:t xml:space="preserve"> </w:t>
      </w:r>
      <w:r>
        <w:rPr>
          <w:rFonts w:ascii="Arial" w:eastAsia="Arial" w:hAnsi="Arial" w:cs="Arial"/>
          <w:color w:val="000000"/>
          <w:sz w:val="24"/>
          <w:szCs w:val="24"/>
        </w:rPr>
        <w:t>in health</w:t>
      </w:r>
      <w:r w:rsidR="004D3975">
        <w:rPr>
          <w:rFonts w:ascii="Arial" w:eastAsia="Arial" w:hAnsi="Arial" w:cs="Arial"/>
          <w:color w:val="000000"/>
          <w:sz w:val="24"/>
          <w:szCs w:val="24"/>
        </w:rPr>
        <w:t xml:space="preserve"> </w:t>
      </w:r>
      <w:r w:rsidR="004D3975">
        <w:rPr>
          <w:rFonts w:ascii="Arial" w:eastAsia="Arial" w:hAnsi="Arial" w:cs="Arial"/>
          <w:color w:val="000000"/>
          <w:sz w:val="24"/>
          <w:szCs w:val="24"/>
        </w:rPr>
        <w:fldChar w:fldCharType="begin" w:fldLock="1"/>
      </w:r>
      <w:r w:rsidR="004A78A8">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Health","type":"report"},"uris":["http://www.mendeley.com/documents/?uuid=fd6fbcb5-2fe4-42ff-af5f-181da538f995"]}],"mendeley":{"formattedCitation":"(WHO 2020; European Institute for Gender Equality 2021; World Economic Forum 2021)","plainTextFormattedCitation":"(WHO 2020; European Institute for Gender Equality 2021; World Economic Forum 2021)","previouslyFormattedCitation":"(WHO 2020; European Institute for Gender Equality 2021; World Economic Forum 2021)"},"properties":{"noteIndex":0},"schema":"https://github.com/citation-style-language/schema/raw/master/csl-citation.json"}</w:instrText>
      </w:r>
      <w:r w:rsidR="004D3975">
        <w:rPr>
          <w:rFonts w:ascii="Arial" w:eastAsia="Arial" w:hAnsi="Arial" w:cs="Arial"/>
          <w:color w:val="000000"/>
          <w:sz w:val="24"/>
          <w:szCs w:val="24"/>
        </w:rPr>
        <w:fldChar w:fldCharType="separate"/>
      </w:r>
      <w:r w:rsidR="002E222B" w:rsidRPr="002E222B">
        <w:rPr>
          <w:rFonts w:ascii="Arial" w:eastAsia="Arial" w:hAnsi="Arial" w:cs="Arial"/>
          <w:noProof/>
          <w:color w:val="000000"/>
          <w:sz w:val="24"/>
          <w:szCs w:val="24"/>
        </w:rPr>
        <w:t>(WHO 2020; European Institute for Gender Equality 2021; World Economic Forum 2021)</w:t>
      </w:r>
      <w:r w:rsidR="004D3975">
        <w:rPr>
          <w:rFonts w:ascii="Arial" w:eastAsia="Arial" w:hAnsi="Arial" w:cs="Arial"/>
          <w:color w:val="000000"/>
          <w:sz w:val="24"/>
          <w:szCs w:val="24"/>
        </w:rPr>
        <w:fldChar w:fldCharType="end"/>
      </w:r>
      <w:r>
        <w:rPr>
          <w:rFonts w:ascii="Arial" w:eastAsia="Arial" w:hAnsi="Arial" w:cs="Arial"/>
          <w:color w:val="000000"/>
          <w:sz w:val="24"/>
          <w:szCs w:val="24"/>
        </w:rPr>
        <w:t xml:space="preserve">. </w:t>
      </w:r>
      <w:r>
        <w:rPr>
          <w:rFonts w:ascii="Arial" w:eastAsia="Arial" w:hAnsi="Arial" w:cs="Arial"/>
          <w:sz w:val="24"/>
          <w:szCs w:val="24"/>
        </w:rPr>
        <w:t>Overall, gaps are an easy and straightforward way to relate the difference between two quantities. However, to measure health differences between genders, gaps may blend several dimensions of health differences between women and men, and consequently lead to misleading conclusions.</w:t>
      </w:r>
    </w:p>
    <w:p w14:paraId="3FC6C470" w14:textId="476AE0B7" w:rsidR="00545D6E" w:rsidRDefault="00545D6E"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2A8E4791" w14:textId="7EBBA491" w:rsidR="00BD724E" w:rsidRDefault="00835DCE" w:rsidP="004B0C1F">
      <w:pPr>
        <w:keepNext/>
        <w:pBdr>
          <w:top w:val="nil"/>
          <w:left w:val="nil"/>
          <w:bottom w:val="nil"/>
          <w:right w:val="nil"/>
          <w:between w:val="nil"/>
        </w:pBdr>
        <w:spacing w:after="0" w:line="360" w:lineRule="auto"/>
        <w:jc w:val="both"/>
        <w:rPr>
          <w:rFonts w:ascii="Arial" w:eastAsia="Arial" w:hAnsi="Arial" w:cs="Arial"/>
          <w:sz w:val="24"/>
          <w:szCs w:val="24"/>
        </w:rPr>
      </w:pPr>
      <w:commentRangeStart w:id="16"/>
      <w:commentRangeStart w:id="17"/>
      <w:r w:rsidRPr="00835DCE">
        <w:rPr>
          <w:rFonts w:ascii="Arial" w:eastAsia="Arial" w:hAnsi="Arial" w:cs="Arial"/>
          <w:sz w:val="24"/>
          <w:szCs w:val="24"/>
        </w:rPr>
        <w:t>The complex interplay between gender, health, and mortality unveils a paradox</w:t>
      </w:r>
      <w:commentRangeEnd w:id="16"/>
      <w:r w:rsidR="004B0C1F">
        <w:rPr>
          <w:rStyle w:val="CommentReference"/>
          <w:rFonts w:ascii="Times New Roman" w:eastAsia="Times New Roman" w:hAnsi="Times New Roman" w:cs="Times New Roman"/>
        </w:rPr>
        <w:commentReference w:id="16"/>
      </w:r>
      <w:commentRangeEnd w:id="17"/>
      <w:r w:rsidR="00994A69">
        <w:rPr>
          <w:rStyle w:val="CommentReference"/>
          <w:rFonts w:ascii="Times New Roman" w:eastAsia="Times New Roman" w:hAnsi="Times New Roman" w:cs="Times New Roman"/>
        </w:rPr>
        <w:commentReference w:id="17"/>
      </w:r>
      <w:r w:rsidRPr="00835DCE">
        <w:rPr>
          <w:rFonts w:ascii="Arial" w:eastAsia="Arial" w:hAnsi="Arial" w:cs="Arial"/>
          <w:sz w:val="24"/>
          <w:szCs w:val="24"/>
        </w:rPr>
        <w:t>:</w:t>
      </w:r>
      <w:r w:rsidR="00545D6E" w:rsidRPr="00545D6E">
        <w:rPr>
          <w:rFonts w:ascii="Arial" w:eastAsia="Arial" w:hAnsi="Arial" w:cs="Arial"/>
          <w:sz w:val="24"/>
          <w:szCs w:val="24"/>
        </w:rPr>
        <w:t xml:space="preserve"> women tend to outlive men but experience more years of ill health</w:t>
      </w:r>
      <w:r w:rsidR="00F830E9">
        <w:rPr>
          <w:rFonts w:ascii="Arial" w:eastAsia="Arial" w:hAnsi="Arial" w:cs="Arial"/>
          <w:sz w:val="24"/>
          <w:szCs w:val="24"/>
        </w:rPr>
        <w:t>. This paradox</w:t>
      </w:r>
      <w:r w:rsidR="00545D6E" w:rsidRPr="00545D6E">
        <w:rPr>
          <w:rFonts w:ascii="Arial" w:eastAsia="Arial" w:hAnsi="Arial" w:cs="Arial"/>
          <w:sz w:val="24"/>
          <w:szCs w:val="24"/>
        </w:rPr>
        <w:t xml:space="preserve"> underscores the multifaceted nature of gender gaps in health.</w:t>
      </w:r>
      <w:r w:rsidR="00F91693">
        <w:rPr>
          <w:rFonts w:ascii="Arial" w:eastAsia="Arial" w:hAnsi="Arial" w:cs="Arial"/>
          <w:sz w:val="24"/>
          <w:szCs w:val="24"/>
        </w:rPr>
        <w:t xml:space="preserve"> Despite women survival advantage</w:t>
      </w:r>
      <w:r w:rsidR="002C55ED">
        <w:rPr>
          <w:rFonts w:ascii="Arial" w:eastAsia="Arial" w:hAnsi="Arial" w:cs="Arial"/>
          <w:sz w:val="24"/>
          <w:szCs w:val="24"/>
        </w:rPr>
        <w:t>,</w:t>
      </w:r>
      <w:r w:rsidR="00F91693">
        <w:rPr>
          <w:rFonts w:ascii="Arial" w:eastAsia="Arial" w:hAnsi="Arial" w:cs="Arial"/>
          <w:sz w:val="24"/>
          <w:szCs w:val="24"/>
        </w:rPr>
        <w:t xml:space="preserve"> they </w:t>
      </w:r>
      <w:r w:rsidR="00F91693" w:rsidRPr="00F91693">
        <w:rPr>
          <w:rFonts w:ascii="Arial" w:eastAsia="Arial" w:hAnsi="Arial" w:cs="Arial"/>
          <w:sz w:val="24"/>
          <w:szCs w:val="24"/>
        </w:rPr>
        <w:t xml:space="preserve">tend to </w:t>
      </w:r>
      <w:r w:rsidR="00F91693">
        <w:rPr>
          <w:rFonts w:ascii="Arial" w:eastAsia="Arial" w:hAnsi="Arial" w:cs="Arial"/>
          <w:sz w:val="24"/>
          <w:szCs w:val="24"/>
        </w:rPr>
        <w:t>have</w:t>
      </w:r>
      <w:r w:rsidR="00F91693" w:rsidRPr="00F91693">
        <w:rPr>
          <w:rFonts w:ascii="Arial" w:eastAsia="Arial" w:hAnsi="Arial" w:cs="Arial"/>
          <w:sz w:val="24"/>
          <w:szCs w:val="24"/>
        </w:rPr>
        <w:t xml:space="preserve"> disadvantages in terms of physical health, self-rated health, and cognition at older ages</w:t>
      </w:r>
      <w:r w:rsidR="00F91693">
        <w:rPr>
          <w:rFonts w:ascii="Arial" w:eastAsia="Arial" w:hAnsi="Arial" w:cs="Arial"/>
          <w:sz w:val="24"/>
          <w:szCs w:val="24"/>
        </w:rPr>
        <w:t xml:space="preserve"> </w:t>
      </w:r>
      <w:r w:rsidR="00F91693" w:rsidRP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F91693" w:rsidRPr="00F91693">
        <w:rPr>
          <w:rFonts w:ascii="Arial" w:eastAsia="Arial" w:hAnsi="Arial" w:cs="Arial"/>
          <w:sz w:val="24"/>
          <w:szCs w:val="24"/>
        </w:rPr>
        <w:t>.</w:t>
      </w:r>
      <w:r w:rsidR="00F91693">
        <w:rPr>
          <w:rFonts w:ascii="Arial" w:eastAsia="Arial" w:hAnsi="Arial" w:cs="Arial"/>
          <w:sz w:val="24"/>
          <w:szCs w:val="24"/>
        </w:rPr>
        <w:t xml:space="preserve"> Women also </w:t>
      </w:r>
      <w:r w:rsidR="00F91693">
        <w:rPr>
          <w:rFonts w:ascii="Arial" w:eastAsia="Arial" w:hAnsi="Arial" w:cs="Arial"/>
          <w:sz w:val="24"/>
          <w:szCs w:val="24"/>
        </w:rPr>
        <w:t xml:space="preserve">tend to </w:t>
      </w:r>
      <w:r w:rsidR="00F91693">
        <w:rPr>
          <w:rFonts w:ascii="Arial" w:eastAsia="Arial" w:hAnsi="Arial" w:cs="Arial"/>
          <w:sz w:val="24"/>
          <w:szCs w:val="24"/>
        </w:rPr>
        <w:t xml:space="preserve">experience </w:t>
      </w:r>
      <w:r w:rsidR="00F91693">
        <w:rPr>
          <w:rFonts w:ascii="Arial" w:eastAsia="Arial" w:hAnsi="Arial" w:cs="Arial"/>
          <w:sz w:val="24"/>
          <w:szCs w:val="24"/>
        </w:rPr>
        <w:t xml:space="preserve">higher morbidity from acute and chronic </w:t>
      </w:r>
      <w:r w:rsidR="00F91693">
        <w:rPr>
          <w:rFonts w:ascii="Arial" w:eastAsia="Arial" w:hAnsi="Arial" w:cs="Arial"/>
          <w:sz w:val="24"/>
          <w:szCs w:val="24"/>
        </w:rPr>
        <w:t>conditions</w:t>
      </w:r>
      <w:r w:rsidR="00F91693">
        <w:rPr>
          <w:rFonts w:ascii="Arial" w:eastAsia="Arial" w:hAnsi="Arial" w:cs="Arial"/>
          <w:sz w:val="24"/>
          <w:szCs w:val="24"/>
        </w:rPr>
        <w:t xml:space="preserve"> and </w:t>
      </w:r>
      <w:r w:rsidR="00F91693">
        <w:rPr>
          <w:rFonts w:ascii="Arial" w:eastAsia="Arial" w:hAnsi="Arial" w:cs="Arial"/>
          <w:sz w:val="24"/>
          <w:szCs w:val="24"/>
        </w:rPr>
        <w:t>more short-term disability</w:t>
      </w:r>
      <w:r w:rsidR="00752552">
        <w:rPr>
          <w:rFonts w:ascii="Arial" w:eastAsia="Arial" w:hAnsi="Arial" w:cs="Arial"/>
          <w:sz w:val="24"/>
          <w:szCs w:val="24"/>
        </w:rPr>
        <w:t xml:space="preserve"> </w:t>
      </w:r>
      <w:r w:rsid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ED56E3">
        <w:rPr>
          <w:rFonts w:ascii="Arial" w:eastAsia="Arial" w:hAnsi="Arial" w:cs="Arial"/>
          <w:sz w:val="24"/>
          <w:szCs w:val="24"/>
        </w:rPr>
        <w:t xml:space="preserve"> When analyzing the gender gap </w:t>
      </w:r>
      <w:r w:rsidR="0069074D">
        <w:rPr>
          <w:rFonts w:ascii="Arial" w:eastAsia="Arial" w:hAnsi="Arial" w:cs="Arial"/>
          <w:sz w:val="24"/>
          <w:szCs w:val="24"/>
        </w:rPr>
        <w:t>from an aggregate measure such as health</w:t>
      </w:r>
      <w:r w:rsidR="00BD724E">
        <w:rPr>
          <w:rFonts w:ascii="Arial" w:eastAsia="Arial" w:hAnsi="Arial" w:cs="Arial"/>
          <w:sz w:val="24"/>
          <w:szCs w:val="24"/>
        </w:rPr>
        <w:t>y life</w:t>
      </w:r>
      <w:r w:rsidR="0069074D">
        <w:rPr>
          <w:rFonts w:ascii="Arial" w:eastAsia="Arial" w:hAnsi="Arial" w:cs="Arial"/>
          <w:sz w:val="24"/>
          <w:szCs w:val="24"/>
        </w:rPr>
        <w:t xml:space="preserve"> </w:t>
      </w:r>
      <w:r w:rsidR="0069074D">
        <w:rPr>
          <w:rFonts w:ascii="Arial" w:eastAsia="Arial" w:hAnsi="Arial" w:cs="Arial"/>
          <w:sz w:val="24"/>
          <w:szCs w:val="24"/>
        </w:rPr>
        <w:t xml:space="preserve">expectancy, </w:t>
      </w:r>
      <w:r w:rsidR="00704DF4">
        <w:rPr>
          <w:rFonts w:ascii="Arial" w:eastAsia="Arial" w:hAnsi="Arial" w:cs="Arial"/>
          <w:sz w:val="24"/>
          <w:szCs w:val="24"/>
        </w:rPr>
        <w:t xml:space="preserve">some of these facets </w:t>
      </w:r>
      <w:r w:rsidR="00F15D8A" w:rsidRPr="00F15D8A">
        <w:rPr>
          <w:rFonts w:ascii="Arial" w:eastAsia="Arial" w:hAnsi="Arial" w:cs="Arial"/>
          <w:sz w:val="24"/>
          <w:szCs w:val="24"/>
        </w:rPr>
        <w:t>may be overlooked, which highlights the importance of disentangl</w:t>
      </w:r>
      <w:r w:rsidR="00A11134">
        <w:rPr>
          <w:rFonts w:ascii="Arial" w:eastAsia="Arial" w:hAnsi="Arial" w:cs="Arial"/>
          <w:sz w:val="24"/>
          <w:szCs w:val="24"/>
        </w:rPr>
        <w:t>ing</w:t>
      </w:r>
      <w:r w:rsidR="00F15D8A" w:rsidRPr="00F15D8A">
        <w:rPr>
          <w:rFonts w:ascii="Arial" w:eastAsia="Arial" w:hAnsi="Arial" w:cs="Arial"/>
          <w:sz w:val="24"/>
          <w:szCs w:val="24"/>
        </w:rPr>
        <w:t xml:space="preserve"> the various components of </w:t>
      </w:r>
      <w:r w:rsidR="00A11134">
        <w:rPr>
          <w:rFonts w:ascii="Arial" w:eastAsia="Arial" w:hAnsi="Arial" w:cs="Arial"/>
          <w:sz w:val="24"/>
          <w:szCs w:val="24"/>
        </w:rPr>
        <w:t xml:space="preserve">gender </w:t>
      </w:r>
      <w:r w:rsidR="00F15D8A" w:rsidRPr="00F15D8A">
        <w:rPr>
          <w:rFonts w:ascii="Arial" w:eastAsia="Arial" w:hAnsi="Arial" w:cs="Arial"/>
          <w:sz w:val="24"/>
          <w:szCs w:val="24"/>
        </w:rPr>
        <w:t>gaps in healt</w:t>
      </w:r>
      <w:r w:rsidR="00A11134">
        <w:rPr>
          <w:rFonts w:ascii="Arial" w:eastAsia="Arial" w:hAnsi="Arial" w:cs="Arial"/>
          <w:sz w:val="24"/>
          <w:szCs w:val="24"/>
        </w:rPr>
        <w:t>hy lifespans</w:t>
      </w:r>
      <w:r w:rsidR="00F15D8A" w:rsidRPr="00F15D8A">
        <w:rPr>
          <w:rFonts w:ascii="Arial" w:eastAsia="Arial" w:hAnsi="Arial" w:cs="Arial"/>
          <w:sz w:val="24"/>
          <w:szCs w:val="24"/>
        </w:rPr>
        <w:t>.</w:t>
      </w:r>
      <w:r w:rsidR="00F15D8A">
        <w:rPr>
          <w:rFonts w:ascii="Arial" w:eastAsia="Arial" w:hAnsi="Arial" w:cs="Arial"/>
          <w:sz w:val="24"/>
          <w:szCs w:val="24"/>
        </w:rPr>
        <w:t xml:space="preserve"> </w:t>
      </w:r>
    </w:p>
    <w:p w14:paraId="07BEC062" w14:textId="7B27B472" w:rsidR="001750AF" w:rsidDel="00987CD0" w:rsidRDefault="001750AF" w:rsidP="008B1C35">
      <w:pPr>
        <w:keepNext/>
        <w:pBdr>
          <w:top w:val="nil"/>
          <w:left w:val="nil"/>
          <w:bottom w:val="nil"/>
          <w:right w:val="nil"/>
          <w:between w:val="nil"/>
        </w:pBdr>
        <w:spacing w:after="0" w:line="360" w:lineRule="auto"/>
        <w:jc w:val="both"/>
        <w:rPr>
          <w:del w:id="18" w:author="Nepomuceno, Marilia" w:date="2023-05-15T15:32:00Z"/>
          <w:rFonts w:ascii="Arial" w:eastAsia="Arial" w:hAnsi="Arial" w:cs="Arial"/>
          <w:sz w:val="24"/>
          <w:szCs w:val="24"/>
        </w:rPr>
      </w:pPr>
    </w:p>
    <w:p w14:paraId="0F68C088" w14:textId="0AD263F2" w:rsidR="000D2DC7" w:rsidRDefault="00BD724E" w:rsidP="000D2DC7">
      <w:pPr>
        <w:keepNext/>
        <w:spacing w:after="0" w:line="360" w:lineRule="auto"/>
        <w:jc w:val="both"/>
        <w:rPr>
          <w:rFonts w:ascii="Arial" w:eastAsia="Arial" w:hAnsi="Arial" w:cs="Arial"/>
          <w:sz w:val="24"/>
          <w:szCs w:val="24"/>
        </w:rPr>
      </w:pPr>
      <w:r w:rsidRPr="00BD724E">
        <w:rPr>
          <w:rFonts w:ascii="Arial" w:eastAsia="Arial" w:hAnsi="Arial" w:cs="Arial"/>
          <w:sz w:val="24"/>
          <w:szCs w:val="24"/>
        </w:rPr>
        <w:t>Breaking down the gender gap in healthy life expectancy into mortality and morbidity has been shown to be a crucial factor in understanding gender disparities in health</w:t>
      </w:r>
      <w:r w:rsidR="006E13FD">
        <w:rPr>
          <w:rFonts w:ascii="Arial" w:eastAsia="Arial" w:hAnsi="Arial" w:cs="Arial"/>
          <w:sz w:val="24"/>
          <w:szCs w:val="24"/>
        </w:rPr>
        <w:t xml:space="preserve"> </w:t>
      </w:r>
      <w:r w:rsidR="006E13FD">
        <w:rPr>
          <w:rFonts w:ascii="Arial" w:eastAsia="Arial" w:hAnsi="Arial" w:cs="Arial"/>
          <w:sz w:val="24"/>
          <w:szCs w:val="24"/>
        </w:rPr>
        <w:fldChar w:fldCharType="begin" w:fldLock="1"/>
      </w:r>
      <w:r w:rsidR="006E13FD">
        <w:rPr>
          <w:rFonts w:ascii="Arial" w:eastAsia="Arial" w:hAnsi="Arial" w:cs="Arial"/>
          <w:sz w:val="24"/>
          <w:szCs w:val="24"/>
        </w:rPr>
        <w: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Expectancy","type":"chapter"},"uris":["http://www.mendeley.com/documents/?uuid=917c8c59-1e6e-3d3e-b8f6-7a93bf969289"]}],"mendeley":{"formattedCitation":"(Nusselder and Looman 2004; van Raalte and Nepomuceno 2020; Nepomuceno et al. 2021)","plainTextFormattedCitation":"(Nusselder and Looman 2004; van Raalte and Nepomuceno 2020; Nepomuceno et al. 2021)","previouslyFormattedCitation":"(Nusselder and Looman 2004; van Raalte and Nepomuceno 2020; Nepomuceno et al. 2021)"},"properties":{"noteIndex":0},"schema":"https://github.com/citation-style-language/schema/raw/master/csl-citation.json"}</w:instrText>
      </w:r>
      <w:r w:rsidR="006E13FD">
        <w:rPr>
          <w:rFonts w:ascii="Arial" w:eastAsia="Arial" w:hAnsi="Arial" w:cs="Arial"/>
          <w:sz w:val="24"/>
          <w:szCs w:val="24"/>
        </w:rPr>
        <w:fldChar w:fldCharType="separate"/>
      </w:r>
      <w:r w:rsidR="006E13FD" w:rsidRPr="002E222B">
        <w:rPr>
          <w:rFonts w:ascii="Arial" w:eastAsia="Arial" w:hAnsi="Arial" w:cs="Arial"/>
          <w:noProof/>
          <w:sz w:val="24"/>
          <w:szCs w:val="24"/>
        </w:rPr>
        <w:t>(Nusselder and Looman 2004; van Raalte and Nepomuceno 2020; Nepomuceno et al. 2021</w:t>
      </w:r>
      <w:r w:rsidR="00A42757">
        <w:rPr>
          <w:rFonts w:ascii="Arial" w:eastAsia="Arial" w:hAnsi="Arial" w:cs="Arial"/>
          <w:noProof/>
          <w:sz w:val="24"/>
          <w:szCs w:val="24"/>
        </w:rPr>
        <w:t>;</w:t>
      </w:r>
      <w:r w:rsidR="00A42757" w:rsidRPr="00A42757">
        <w:rPr>
          <w:rFonts w:ascii="Arial" w:eastAsia="Arial" w:hAnsi="Arial" w:cs="Arial"/>
          <w:noProof/>
          <w:sz w:val="24"/>
          <w:szCs w:val="24"/>
        </w:rPr>
        <w:t xml:space="preserve"> </w:t>
      </w:r>
      <w:r w:rsidR="00A42757" w:rsidRPr="002E222B">
        <w:rPr>
          <w:rFonts w:ascii="Arial" w:eastAsia="Arial" w:hAnsi="Arial" w:cs="Arial"/>
          <w:noProof/>
          <w:sz w:val="24"/>
          <w:szCs w:val="24"/>
        </w:rPr>
        <w:t>Jagger et al. 2010; Mairey et al. 2014</w:t>
      </w:r>
      <w:r w:rsidR="006E13FD" w:rsidRPr="002E222B">
        <w:rPr>
          <w:rFonts w:ascii="Arial" w:eastAsia="Arial" w:hAnsi="Arial" w:cs="Arial"/>
          <w:noProof/>
          <w:sz w:val="24"/>
          <w:szCs w:val="24"/>
        </w:rPr>
        <w:t>)</w:t>
      </w:r>
      <w:r w:rsidR="006E13FD">
        <w:rPr>
          <w:rFonts w:ascii="Arial" w:eastAsia="Arial" w:hAnsi="Arial" w:cs="Arial"/>
          <w:sz w:val="24"/>
          <w:szCs w:val="24"/>
        </w:rPr>
        <w:fldChar w:fldCharType="end"/>
      </w:r>
      <w:r w:rsidR="006E13FD">
        <w:rPr>
          <w:rFonts w:ascii="Arial" w:eastAsia="Arial" w:hAnsi="Arial" w:cs="Arial"/>
          <w:sz w:val="24"/>
          <w:szCs w:val="24"/>
        </w:rPr>
        <w:t>.</w:t>
      </w:r>
      <w:r w:rsidR="000D2DC7" w:rsidRPr="000D2DC7">
        <w:rPr>
          <w:rFonts w:ascii="Arial" w:eastAsia="Arial" w:hAnsi="Arial" w:cs="Arial"/>
          <w:sz w:val="24"/>
          <w:szCs w:val="24"/>
        </w:rPr>
        <w:t xml:space="preserve"> </w:t>
      </w:r>
      <w:r w:rsidR="000D2DC7" w:rsidRPr="0043713B">
        <w:rPr>
          <w:rFonts w:ascii="Arial" w:eastAsia="Arial" w:hAnsi="Arial" w:cs="Arial"/>
          <w:sz w:val="24"/>
          <w:szCs w:val="24"/>
        </w:rPr>
        <w:t xml:space="preserve">For some countries, where the gender gap in health expectancies was </w:t>
      </w:r>
      <w:r w:rsidR="000D2DC7" w:rsidRPr="0043713B">
        <w:rPr>
          <w:rFonts w:ascii="Arial" w:eastAsia="Arial" w:hAnsi="Arial" w:cs="Arial"/>
          <w:sz w:val="24"/>
          <w:szCs w:val="24"/>
        </w:rPr>
        <w:lastRenderedPageBreak/>
        <w:t>virtually zero, decomposition</w:t>
      </w:r>
      <w:r w:rsidR="000D2DC7">
        <w:rPr>
          <w:rFonts w:ascii="Arial" w:eastAsia="Arial" w:hAnsi="Arial" w:cs="Arial"/>
          <w:sz w:val="24"/>
          <w:szCs w:val="24"/>
        </w:rPr>
        <w:t xml:space="preserve"> </w:t>
      </w:r>
      <w:r w:rsidR="000D2DC7" w:rsidRPr="0043713B">
        <w:rPr>
          <w:rFonts w:ascii="Arial" w:eastAsia="Arial" w:hAnsi="Arial" w:cs="Arial"/>
          <w:sz w:val="24"/>
          <w:szCs w:val="24"/>
        </w:rPr>
        <w:t>analyses revealed considerable</w:t>
      </w:r>
      <w:r w:rsidR="000D2DC7">
        <w:rPr>
          <w:rFonts w:ascii="Arial" w:eastAsia="Arial" w:hAnsi="Arial" w:cs="Arial"/>
          <w:sz w:val="24"/>
          <w:szCs w:val="24"/>
        </w:rPr>
        <w:t xml:space="preserve"> </w:t>
      </w:r>
      <w:r w:rsidR="000D2DC7" w:rsidRPr="0043713B">
        <w:rPr>
          <w:rFonts w:ascii="Arial" w:eastAsia="Arial" w:hAnsi="Arial" w:cs="Arial"/>
          <w:sz w:val="24"/>
          <w:szCs w:val="24"/>
        </w:rPr>
        <w:t>differences in both mortality and health, but</w:t>
      </w:r>
      <w:r w:rsidR="000D2DC7">
        <w:rPr>
          <w:rFonts w:ascii="Arial" w:eastAsia="Arial" w:hAnsi="Arial" w:cs="Arial"/>
          <w:sz w:val="24"/>
          <w:szCs w:val="24"/>
        </w:rPr>
        <w:t xml:space="preserve"> </w:t>
      </w:r>
      <w:r w:rsidR="000D2DC7" w:rsidRPr="0043713B">
        <w:rPr>
          <w:rFonts w:ascii="Arial" w:eastAsia="Arial" w:hAnsi="Arial" w:cs="Arial"/>
          <w:sz w:val="24"/>
          <w:szCs w:val="24"/>
        </w:rPr>
        <w:t>in different directions</w:t>
      </w:r>
      <w:r w:rsidR="000D2DC7">
        <w:rPr>
          <w:rFonts w:ascii="Arial" w:eastAsia="Arial" w:hAnsi="Arial" w:cs="Arial"/>
          <w:sz w:val="24"/>
          <w:szCs w:val="24"/>
        </w:rPr>
        <w:t xml:space="preserve"> </w:t>
      </w:r>
      <w:r w:rsidR="000D2DC7">
        <w:rPr>
          <w:rFonts w:ascii="Arial" w:eastAsia="Arial" w:hAnsi="Arial" w:cs="Arial"/>
          <w:sz w:val="24"/>
          <w:szCs w:val="24"/>
        </w:rPr>
        <w:fldChar w:fldCharType="begin" w:fldLock="1"/>
      </w:r>
      <w:r w:rsidR="000D2DC7">
        <w:rPr>
          <w:rFonts w:ascii="Arial" w:eastAsia="Arial" w:hAnsi="Arial" w:cs="Arial"/>
          <w:sz w:val="24"/>
          <w:szCs w:val="24"/>
        </w:rPr>
        <w: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w:instrText>
      </w:r>
      <w:r w:rsidR="000D2DC7" w:rsidRPr="00742769">
        <w:rPr>
          <w:rFonts w:ascii="Arial" w:eastAsia="Arial" w:hAnsi="Arial" w:cs="Arial"/>
          <w:sz w:val="24"/>
          <w:szCs w:val="24"/>
          <w:lang w:val="de-AT"/>
          <w:rPrChange w:id="19" w:author="Author" w:date="2023-06-16T11:22:00Z">
            <w:rPr>
              <w:rFonts w:ascii="Arial" w:eastAsia="Arial" w:hAnsi="Arial" w:cs="Arial"/>
              <w:sz w:val="24"/>
              <w:szCs w:val="24"/>
            </w:rPr>
          </w:rPrChange>
        </w:rPr>
        <w:instrText>,"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paradox","type":"article-journal","volume":"58"},"uris":["http://www.mendeley.com/documents/?uuid=598e4721-915d-4cb2-a376-34883f41c01f"]}],"mendeley":{"formattedCitation":"(Nusselder et al. 2010; Van Oyen et al. 2013)","plainTextFormattedCitation":"(Nusselder et al. 2010; Van Oyen et al. 2013)","previouslyFormattedCitation":"(Nusselder et al. 2010; Van Oyen et al. 2013)"},"properties":{"noteIndex":0},"schema":"https://github.com/citation-style-language/schema/raw/master/csl-citation.json"}</w:instrText>
      </w:r>
      <w:r w:rsidR="000D2DC7">
        <w:rPr>
          <w:rFonts w:ascii="Arial" w:eastAsia="Arial" w:hAnsi="Arial" w:cs="Arial"/>
          <w:sz w:val="24"/>
          <w:szCs w:val="24"/>
        </w:rPr>
        <w:fldChar w:fldCharType="separate"/>
      </w:r>
      <w:r w:rsidR="000D2DC7" w:rsidRPr="00742769">
        <w:rPr>
          <w:rFonts w:ascii="Arial" w:eastAsia="Arial" w:hAnsi="Arial" w:cs="Arial"/>
          <w:noProof/>
          <w:sz w:val="24"/>
          <w:szCs w:val="24"/>
          <w:lang w:val="de-AT"/>
          <w:rPrChange w:id="20" w:author="Author" w:date="2023-06-16T11:22:00Z">
            <w:rPr>
              <w:rFonts w:ascii="Arial" w:eastAsia="Arial" w:hAnsi="Arial" w:cs="Arial"/>
              <w:noProof/>
              <w:sz w:val="24"/>
              <w:szCs w:val="24"/>
            </w:rPr>
          </w:rPrChange>
        </w:rPr>
        <w:t>(Nusselder et al. 2010; Van Oyen et al. 2013</w:t>
      </w:r>
      <w:r w:rsidR="00C21BF9" w:rsidRPr="00742769">
        <w:rPr>
          <w:rFonts w:ascii="Arial" w:eastAsia="Arial" w:hAnsi="Arial" w:cs="Arial"/>
          <w:noProof/>
          <w:sz w:val="24"/>
          <w:szCs w:val="24"/>
          <w:lang w:val="de-AT"/>
          <w:rPrChange w:id="21" w:author="Author" w:date="2023-06-16T11:22:00Z">
            <w:rPr>
              <w:rFonts w:ascii="Arial" w:eastAsia="Arial" w:hAnsi="Arial" w:cs="Arial"/>
              <w:noProof/>
              <w:sz w:val="24"/>
              <w:szCs w:val="24"/>
            </w:rPr>
          </w:rPrChange>
        </w:rPr>
        <w:t>; Nepomuceno et al. 2021</w:t>
      </w:r>
      <w:r w:rsidR="000D2DC7" w:rsidRPr="00742769">
        <w:rPr>
          <w:rFonts w:ascii="Arial" w:eastAsia="Arial" w:hAnsi="Arial" w:cs="Arial"/>
          <w:noProof/>
          <w:sz w:val="24"/>
          <w:szCs w:val="24"/>
          <w:lang w:val="de-AT"/>
          <w:rPrChange w:id="22" w:author="Author" w:date="2023-06-16T11:22:00Z">
            <w:rPr>
              <w:rFonts w:ascii="Arial" w:eastAsia="Arial" w:hAnsi="Arial" w:cs="Arial"/>
              <w:noProof/>
              <w:sz w:val="24"/>
              <w:szCs w:val="24"/>
            </w:rPr>
          </w:rPrChange>
        </w:rPr>
        <w:t>)</w:t>
      </w:r>
      <w:r w:rsidR="000D2DC7">
        <w:rPr>
          <w:rFonts w:ascii="Arial" w:eastAsia="Arial" w:hAnsi="Arial" w:cs="Arial"/>
          <w:sz w:val="24"/>
          <w:szCs w:val="24"/>
        </w:rPr>
        <w:fldChar w:fldCharType="end"/>
      </w:r>
      <w:r w:rsidR="000D2DC7" w:rsidRPr="00742769">
        <w:rPr>
          <w:rFonts w:ascii="Arial" w:eastAsia="Arial" w:hAnsi="Arial" w:cs="Arial"/>
          <w:sz w:val="24"/>
          <w:szCs w:val="24"/>
          <w:lang w:val="de-AT"/>
          <w:rPrChange w:id="23" w:author="Author" w:date="2023-06-16T11:22:00Z">
            <w:rPr>
              <w:rFonts w:ascii="Arial" w:eastAsia="Arial" w:hAnsi="Arial" w:cs="Arial"/>
              <w:sz w:val="24"/>
              <w:szCs w:val="24"/>
            </w:rPr>
          </w:rPrChange>
        </w:rPr>
        <w:t xml:space="preserve">. </w:t>
      </w:r>
      <w:r w:rsidR="000D2DC7" w:rsidRPr="0043713B">
        <w:rPr>
          <w:rFonts w:ascii="Arial" w:eastAsia="Arial" w:hAnsi="Arial" w:cs="Arial"/>
          <w:sz w:val="24"/>
          <w:szCs w:val="24"/>
        </w:rPr>
        <w:t xml:space="preserve">As a consequence, the combination of a high prevalence of disability coupled with a high mortality advantage among women resulted in a small gender gap. In such cases, </w:t>
      </w:r>
      <w:r w:rsidR="000D2DC7">
        <w:rPr>
          <w:rFonts w:ascii="Arial" w:eastAsia="Arial" w:hAnsi="Arial" w:cs="Arial"/>
          <w:sz w:val="24"/>
          <w:szCs w:val="24"/>
        </w:rPr>
        <w:t>i</w:t>
      </w:r>
      <w:r w:rsidR="000D2DC7" w:rsidRPr="0043713B">
        <w:rPr>
          <w:rFonts w:ascii="Arial" w:eastAsia="Arial" w:hAnsi="Arial" w:cs="Arial"/>
          <w:sz w:val="24"/>
          <w:szCs w:val="24"/>
        </w:rPr>
        <w:t>nterpreting a small gender gap in health expectancy as a me</w:t>
      </w:r>
      <w:r w:rsidR="00E25A70">
        <w:rPr>
          <w:rFonts w:ascii="Arial" w:eastAsia="Arial" w:hAnsi="Arial" w:cs="Arial"/>
          <w:sz w:val="24"/>
          <w:szCs w:val="24"/>
        </w:rPr>
        <w:t>a</w:t>
      </w:r>
      <w:r w:rsidR="00E25A70">
        <w:rPr>
          <w:rFonts w:ascii="Arial" w:eastAsia="Arial" w:hAnsi="Arial" w:cs="Arial"/>
          <w:sz w:val="24"/>
          <w:szCs w:val="24"/>
        </w:rPr>
        <w:t>sure</w:t>
      </w:r>
      <w:r w:rsidR="000D2DC7" w:rsidRPr="0043713B">
        <w:rPr>
          <w:rFonts w:ascii="Arial" w:eastAsia="Arial" w:hAnsi="Arial" w:cs="Arial"/>
          <w:sz w:val="24"/>
          <w:szCs w:val="24"/>
        </w:rPr>
        <w:t xml:space="preserve"> for low gender inequality</w:t>
      </w:r>
      <w:r w:rsidR="000D2DC7">
        <w:rPr>
          <w:rFonts w:ascii="Arial" w:eastAsia="Arial" w:hAnsi="Arial" w:cs="Arial"/>
          <w:sz w:val="24"/>
          <w:szCs w:val="24"/>
        </w:rPr>
        <w:t xml:space="preserve"> </w:t>
      </w:r>
      <w:r w:rsidR="000D2DC7" w:rsidRPr="0043713B">
        <w:rPr>
          <w:rFonts w:ascii="Arial" w:eastAsia="Arial" w:hAnsi="Arial" w:cs="Arial"/>
          <w:sz w:val="24"/>
          <w:szCs w:val="24"/>
        </w:rPr>
        <w:t xml:space="preserve">ignores the higher </w:t>
      </w:r>
      <w:r w:rsidR="00E25A70">
        <w:rPr>
          <w:rFonts w:ascii="Arial" w:eastAsia="Arial" w:hAnsi="Arial" w:cs="Arial"/>
          <w:sz w:val="24"/>
          <w:szCs w:val="24"/>
        </w:rPr>
        <w:t>disabi</w:t>
      </w:r>
      <w:r w:rsidR="00E25A70">
        <w:rPr>
          <w:rFonts w:ascii="Arial" w:eastAsia="Arial" w:hAnsi="Arial" w:cs="Arial"/>
          <w:sz w:val="24"/>
          <w:szCs w:val="24"/>
        </w:rPr>
        <w:t>lity experienced by</w:t>
      </w:r>
      <w:r w:rsidR="000D2DC7" w:rsidRPr="0043713B">
        <w:rPr>
          <w:rFonts w:ascii="Arial" w:eastAsia="Arial" w:hAnsi="Arial" w:cs="Arial"/>
          <w:sz w:val="24"/>
          <w:szCs w:val="24"/>
        </w:rPr>
        <w:t xml:space="preserve"> women and disregards the intricate relationship between health and mortality</w:t>
      </w:r>
      <w:r w:rsidR="000D2DC7">
        <w:rPr>
          <w:rFonts w:ascii="Arial" w:eastAsia="Arial" w:hAnsi="Arial" w:cs="Arial"/>
          <w:sz w:val="24"/>
          <w:szCs w:val="24"/>
        </w:rPr>
        <w:t xml:space="preserve">. </w:t>
      </w:r>
    </w:p>
    <w:p w14:paraId="00000032" w14:textId="15DFA209" w:rsidR="00B133DD" w:rsidRDefault="00B133DD"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57212616" w14:textId="77777777" w:rsidR="000B2BCF" w:rsidRDefault="000B2BCF">
      <w:pPr>
        <w:keepNext/>
        <w:spacing w:after="0" w:line="360" w:lineRule="auto"/>
        <w:jc w:val="both"/>
        <w:rPr>
          <w:rFonts w:ascii="Arial" w:eastAsia="Arial" w:hAnsi="Arial" w:cs="Arial"/>
          <w:sz w:val="24"/>
          <w:szCs w:val="24"/>
        </w:rPr>
      </w:pPr>
    </w:p>
    <w:p w14:paraId="679F0D8A" w14:textId="0B7334AD" w:rsidR="006D327E" w:rsidRDefault="006D327E">
      <w:pPr>
        <w:keepNext/>
        <w:spacing w:after="0" w:line="360" w:lineRule="auto"/>
        <w:jc w:val="both"/>
        <w:rPr>
          <w:rFonts w:ascii="Arial" w:eastAsia="Arial" w:hAnsi="Arial" w:cs="Arial"/>
          <w:sz w:val="24"/>
          <w:szCs w:val="24"/>
        </w:rPr>
      </w:pPr>
      <w:r w:rsidRPr="006D327E">
        <w:rPr>
          <w:rFonts w:ascii="Arial" w:eastAsia="Arial" w:hAnsi="Arial" w:cs="Arial"/>
          <w:sz w:val="24"/>
          <w:szCs w:val="24"/>
        </w:rPr>
        <w:t xml:space="preserve">To date, studies that have </w:t>
      </w:r>
      <w:r w:rsidR="00466830">
        <w:rPr>
          <w:rFonts w:ascii="Arial" w:eastAsia="Arial" w:hAnsi="Arial" w:cs="Arial"/>
          <w:sz w:val="24"/>
          <w:szCs w:val="24"/>
        </w:rPr>
        <w:t>disentangle</w:t>
      </w:r>
      <w:r w:rsidR="001750AF">
        <w:rPr>
          <w:rFonts w:ascii="Arial" w:eastAsia="Arial" w:hAnsi="Arial" w:cs="Arial"/>
          <w:sz w:val="24"/>
          <w:szCs w:val="24"/>
        </w:rPr>
        <w:t>d</w:t>
      </w:r>
      <w:r w:rsidR="00466830">
        <w:rPr>
          <w:rFonts w:ascii="Arial" w:eastAsia="Arial" w:hAnsi="Arial" w:cs="Arial"/>
          <w:sz w:val="24"/>
          <w:szCs w:val="24"/>
        </w:rPr>
        <w:t xml:space="preserve"> </w:t>
      </w:r>
      <w:r w:rsidR="00E1053A">
        <w:rPr>
          <w:rFonts w:ascii="Arial" w:eastAsia="Arial" w:hAnsi="Arial" w:cs="Arial"/>
          <w:sz w:val="24"/>
          <w:szCs w:val="24"/>
        </w:rPr>
        <w:t xml:space="preserve">gender gaps in </w:t>
      </w:r>
      <w:r w:rsidR="00E1053A" w:rsidRPr="006D327E">
        <w:rPr>
          <w:rFonts w:ascii="Arial" w:eastAsia="Arial" w:hAnsi="Arial" w:cs="Arial"/>
          <w:sz w:val="24"/>
          <w:szCs w:val="24"/>
        </w:rPr>
        <w:t xml:space="preserve">healthy lifespans </w:t>
      </w:r>
      <w:r w:rsidR="00E1053A">
        <w:rPr>
          <w:rFonts w:ascii="Arial" w:eastAsia="Arial" w:hAnsi="Arial" w:cs="Arial"/>
          <w:sz w:val="24"/>
          <w:szCs w:val="24"/>
        </w:rPr>
        <w:t>by separating</w:t>
      </w:r>
      <w:r w:rsidR="001E0A75">
        <w:rPr>
          <w:rFonts w:ascii="Arial" w:eastAsia="Arial" w:hAnsi="Arial" w:cs="Arial"/>
          <w:sz w:val="24"/>
          <w:szCs w:val="24"/>
        </w:rPr>
        <w:t xml:space="preserve"> </w:t>
      </w:r>
      <w:r w:rsidR="00466830">
        <w:rPr>
          <w:rFonts w:ascii="Arial" w:eastAsia="Arial" w:hAnsi="Arial" w:cs="Arial"/>
          <w:sz w:val="24"/>
          <w:szCs w:val="24"/>
        </w:rPr>
        <w:t xml:space="preserve">health (disability and </w:t>
      </w:r>
      <w:r w:rsidR="001750AF">
        <w:rPr>
          <w:rFonts w:ascii="Arial" w:eastAsia="Arial" w:hAnsi="Arial" w:cs="Arial"/>
          <w:sz w:val="24"/>
          <w:szCs w:val="24"/>
        </w:rPr>
        <w:t>chronic conditions</w:t>
      </w:r>
      <w:r w:rsidR="00466830">
        <w:rPr>
          <w:rFonts w:ascii="Arial" w:eastAsia="Arial" w:hAnsi="Arial" w:cs="Arial"/>
          <w:sz w:val="24"/>
          <w:szCs w:val="24"/>
        </w:rPr>
        <w:t>) and mortality dimensions</w:t>
      </w:r>
      <w:del w:id="24" w:author="Nepomuceno, Marilia" w:date="2023-05-17T13:45:00Z">
        <w:r w:rsidR="001750AF" w:rsidDel="001E0A75">
          <w:rPr>
            <w:rFonts w:ascii="Arial" w:eastAsia="Arial" w:hAnsi="Arial" w:cs="Arial"/>
            <w:sz w:val="24"/>
            <w:szCs w:val="24"/>
          </w:rPr>
          <w:delText xml:space="preserve"> </w:delText>
        </w:r>
      </w:del>
      <w:r w:rsidRPr="006D327E">
        <w:rPr>
          <w:rFonts w:ascii="Arial" w:eastAsia="Arial" w:hAnsi="Arial" w:cs="Arial"/>
          <w:sz w:val="24"/>
          <w:szCs w:val="24"/>
        </w:rPr>
        <w:t xml:space="preserve"> have mostl</w:t>
      </w:r>
      <w:r>
        <w:rPr>
          <w:rFonts w:ascii="Arial" w:eastAsia="Arial" w:hAnsi="Arial" w:cs="Arial"/>
          <w:sz w:val="24"/>
          <w:szCs w:val="24"/>
        </w:rPr>
        <w:t>y</w:t>
      </w:r>
      <w:r w:rsidRPr="006D327E">
        <w:rPr>
          <w:rFonts w:ascii="Arial" w:eastAsia="Arial" w:hAnsi="Arial" w:cs="Arial"/>
          <w:sz w:val="24"/>
          <w:szCs w:val="24"/>
        </w:rPr>
        <w:t xml:space="preserve"> focused on a specific set of countries or regions </w:t>
      </w:r>
      <w:r w:rsidR="00781F19">
        <w:rPr>
          <w:rFonts w:ascii="Arial" w:eastAsia="Arial" w:hAnsi="Arial" w:cs="Arial"/>
          <w:sz w:val="24"/>
          <w:szCs w:val="24"/>
        </w:rPr>
        <w:t xml:space="preserve">with shared </w:t>
      </w:r>
      <w:r w:rsidRPr="006D327E">
        <w:rPr>
          <w:rFonts w:ascii="Arial" w:eastAsia="Arial" w:hAnsi="Arial" w:cs="Arial"/>
          <w:sz w:val="24"/>
          <w:szCs w:val="24"/>
        </w:rPr>
        <w:t>societal values and gender roles</w:t>
      </w:r>
      <w:r w:rsidR="00781F19">
        <w:rPr>
          <w:rFonts w:ascii="Arial" w:eastAsia="Arial" w:hAnsi="Arial" w:cs="Arial"/>
          <w:sz w:val="24"/>
          <w:szCs w:val="24"/>
        </w:rPr>
        <w:t xml:space="preserve">. This is mainly </w:t>
      </w:r>
      <w:r w:rsidRPr="006D327E">
        <w:rPr>
          <w:rFonts w:ascii="Arial" w:eastAsia="Arial" w:hAnsi="Arial" w:cs="Arial"/>
          <w:sz w:val="24"/>
          <w:szCs w:val="24"/>
        </w:rPr>
        <w:t xml:space="preserve"> due to lack of comparable data and the challenging enterprise of comparative analysis on health</w:t>
      </w:r>
      <w:r w:rsidR="00344C85">
        <w:rPr>
          <w:rFonts w:ascii="Arial" w:eastAsia="Arial" w:hAnsi="Arial" w:cs="Arial"/>
          <w:sz w:val="24"/>
          <w:szCs w:val="24"/>
        </w:rPr>
        <w:t xml:space="preserve"> </w:t>
      </w:r>
      <w:r w:rsidR="00CA781E">
        <w:rPr>
          <w:rFonts w:ascii="Arial" w:eastAsia="Arial" w:hAnsi="Arial" w:cs="Arial"/>
          <w:sz w:val="24"/>
          <w:szCs w:val="24"/>
        </w:rPr>
        <w:fldChar w:fldCharType="begin" w:fldLock="1"/>
      </w:r>
      <w:r w:rsidR="0054066C">
        <w:rPr>
          <w:rFonts w:ascii="Arial" w:eastAsia="Arial" w:hAnsi="Arial" w:cs="Arial"/>
          <w:sz w:val="24"/>
          <w:szCs w:val="24"/>
        </w:rPr>
        <w:instrText>ADDIN CSL_CITATION {"citationItems":[{"id":"ITEM-1","itemData":{"DOI":"10.1093/GERONB/GBAB049","ISSN":"1079-5014","PMID":"34101809","author":[{"dropping-particle":"","family":"Ailshire","given":"Jennifer","non-dropping-particle":"","parse-names":false,"suffix":""},{"dropping-particle":"","family":"Carr","given":"Deborah","non-dropping-particle":"","parse-names":false,"suffix":""}],"container-title":"The Journals of Gerontology: Series B","id":"ITEM-1","issue":"Supplement_1","issued":{"date-parts":[["2021","6","8"]]},"page":"S1-S4","publisher":"Oxford Academic","title":"Cross-National Comparisons of Social and Economic Contexts of Aging","type":"article-journal","volume":"76"},"uris":["http://www.mendeley.com/documents/?uuid=8d2c431b-3eee-3b5a-839e-04e9f18f3975"]}],"mendeley":{"formattedCitation":"(Ailshire and Carr 2021)","plainTextFormattedCitation":"(Ailshire and Carr 2021)","previouslyFormattedCitation":"(Ailshire and Carr 2021)"},"properties":{"noteIndex":0},"schema":"https://github.com/citation-style-language/schema/raw/master/csl-citation.json"}</w:instrText>
      </w:r>
      <w:r w:rsidR="00CA781E">
        <w:rPr>
          <w:rFonts w:ascii="Arial" w:eastAsia="Arial" w:hAnsi="Arial" w:cs="Arial"/>
          <w:sz w:val="24"/>
          <w:szCs w:val="24"/>
        </w:rPr>
        <w:fldChar w:fldCharType="separate"/>
      </w:r>
      <w:r w:rsidR="00CA781E" w:rsidRPr="00CA781E">
        <w:rPr>
          <w:rFonts w:ascii="Arial" w:eastAsia="Arial" w:hAnsi="Arial" w:cs="Arial"/>
          <w:noProof/>
          <w:sz w:val="24"/>
          <w:szCs w:val="24"/>
        </w:rPr>
        <w:t>(Ailshire and Carr 2021)</w:t>
      </w:r>
      <w:r w:rsidR="00CA781E">
        <w:rPr>
          <w:rFonts w:ascii="Arial" w:eastAsia="Arial" w:hAnsi="Arial" w:cs="Arial"/>
          <w:sz w:val="24"/>
          <w:szCs w:val="24"/>
        </w:rPr>
        <w:fldChar w:fldCharType="end"/>
      </w:r>
      <w:r w:rsidRPr="006D327E">
        <w:rPr>
          <w:rFonts w:ascii="Arial" w:eastAsia="Arial" w:hAnsi="Arial" w:cs="Arial"/>
          <w:sz w:val="24"/>
          <w:szCs w:val="24"/>
        </w:rPr>
        <w:t xml:space="preserve">.  In this paper, we </w:t>
      </w:r>
      <w:r w:rsidR="006E0762">
        <w:rPr>
          <w:rFonts w:ascii="Arial" w:eastAsia="Arial" w:hAnsi="Arial" w:cs="Arial"/>
          <w:sz w:val="24"/>
          <w:szCs w:val="24"/>
        </w:rPr>
        <w:t>leverage</w:t>
      </w:r>
      <w:r w:rsidRPr="006D327E">
        <w:rPr>
          <w:rFonts w:ascii="Arial" w:eastAsia="Arial" w:hAnsi="Arial" w:cs="Arial"/>
          <w:sz w:val="24"/>
          <w:szCs w:val="24"/>
        </w:rPr>
        <w:t xml:space="preserve"> the harmonized surveys from the Gateway to Global Aging Data</w:t>
      </w:r>
      <w:r w:rsidR="0054066C">
        <w:rPr>
          <w:rFonts w:ascii="Arial" w:eastAsia="Arial" w:hAnsi="Arial" w:cs="Arial"/>
          <w:sz w:val="24"/>
          <w:szCs w:val="24"/>
        </w:rPr>
        <w:t xml:space="preserve"> </w:t>
      </w:r>
      <w:r w:rsidR="0054066C">
        <w:rPr>
          <w:rFonts w:ascii="Arial" w:eastAsia="Arial" w:hAnsi="Arial" w:cs="Arial"/>
          <w:sz w:val="24"/>
          <w:szCs w:val="24"/>
        </w:rPr>
        <w:fldChar w:fldCharType="begin" w:fldLock="1"/>
      </w:r>
      <w:r w:rsidR="0066539A">
        <w:rPr>
          <w:rFonts w:ascii="Arial" w:eastAsia="Arial" w:hAnsi="Arial" w:cs="Arial"/>
          <w:sz w:val="24"/>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Aging","type":"article-journal","volume":"76"},"uris":["http://www.mendeley.com/documents/?uuid=20d5246c-5aa3-3417-b997-60d754f4579f"]}],"mendeley":{"formattedCitation":"(Lee et al. 2021)","plainTextFormattedCitation":"(Lee et al. 2021)","previouslyFormattedCitation":"(Lee et al. 2021)"},"properties":{"noteIndex":0},"schema":"https://github.com/citation-style-language/schema/raw/master/csl-citation.json"}</w:instrText>
      </w:r>
      <w:r w:rsidR="0054066C">
        <w:rPr>
          <w:rFonts w:ascii="Arial" w:eastAsia="Arial" w:hAnsi="Arial" w:cs="Arial"/>
          <w:sz w:val="24"/>
          <w:szCs w:val="24"/>
        </w:rPr>
        <w:fldChar w:fldCharType="separate"/>
      </w:r>
      <w:r w:rsidR="0054066C" w:rsidRPr="0054066C">
        <w:rPr>
          <w:rFonts w:ascii="Arial" w:eastAsia="Arial" w:hAnsi="Arial" w:cs="Arial"/>
          <w:noProof/>
          <w:sz w:val="24"/>
          <w:szCs w:val="24"/>
        </w:rPr>
        <w:t>(Lee et al. 2021)</w:t>
      </w:r>
      <w:r w:rsidR="0054066C">
        <w:rPr>
          <w:rFonts w:ascii="Arial" w:eastAsia="Arial" w:hAnsi="Arial" w:cs="Arial"/>
          <w:sz w:val="24"/>
          <w:szCs w:val="24"/>
        </w:rPr>
        <w:fldChar w:fldCharType="end"/>
      </w:r>
      <w:r w:rsidRPr="006D327E">
        <w:rPr>
          <w:rFonts w:ascii="Arial" w:eastAsia="Arial" w:hAnsi="Arial" w:cs="Arial"/>
          <w:sz w:val="24"/>
          <w:szCs w:val="24"/>
        </w:rPr>
        <w:t xml:space="preserve">, to estimate the gender gap in health expectancy and </w:t>
      </w:r>
      <w:r w:rsidR="006E0762">
        <w:rPr>
          <w:rFonts w:ascii="Arial" w:eastAsia="Arial" w:hAnsi="Arial" w:cs="Arial"/>
          <w:sz w:val="24"/>
          <w:szCs w:val="24"/>
        </w:rPr>
        <w:t>assess the impact of</w:t>
      </w:r>
      <w:r w:rsidRPr="006D327E">
        <w:rPr>
          <w:rFonts w:ascii="Arial" w:eastAsia="Arial" w:hAnsi="Arial" w:cs="Arial"/>
          <w:sz w:val="24"/>
          <w:szCs w:val="24"/>
        </w:rPr>
        <w:t xml:space="preserve"> health and mortality </w:t>
      </w:r>
      <w:r w:rsidR="006E0762">
        <w:rPr>
          <w:rFonts w:ascii="Arial" w:eastAsia="Arial" w:hAnsi="Arial" w:cs="Arial"/>
          <w:sz w:val="24"/>
          <w:szCs w:val="24"/>
        </w:rPr>
        <w:t>on</w:t>
      </w:r>
      <w:r w:rsidRPr="006D327E">
        <w:rPr>
          <w:rFonts w:ascii="Arial" w:eastAsia="Arial" w:hAnsi="Arial" w:cs="Arial"/>
          <w:sz w:val="24"/>
          <w:szCs w:val="24"/>
        </w:rPr>
        <w:t xml:space="preserve"> gender </w:t>
      </w:r>
      <w:r w:rsidR="006E0762">
        <w:rPr>
          <w:rFonts w:ascii="Arial" w:eastAsia="Arial" w:hAnsi="Arial" w:cs="Arial"/>
          <w:sz w:val="24"/>
          <w:szCs w:val="24"/>
        </w:rPr>
        <w:t>inequalities</w:t>
      </w:r>
      <w:r w:rsidR="006E0762" w:rsidRPr="006D327E">
        <w:rPr>
          <w:rFonts w:ascii="Arial" w:eastAsia="Arial" w:hAnsi="Arial" w:cs="Arial"/>
          <w:sz w:val="24"/>
          <w:szCs w:val="24"/>
        </w:rPr>
        <w:t xml:space="preserve"> </w:t>
      </w:r>
      <w:r w:rsidRPr="006D327E">
        <w:rPr>
          <w:rFonts w:ascii="Arial" w:eastAsia="Arial" w:hAnsi="Arial" w:cs="Arial"/>
          <w:sz w:val="24"/>
          <w:szCs w:val="24"/>
        </w:rPr>
        <w:t>in healthy lifespans</w:t>
      </w:r>
      <w:r>
        <w:rPr>
          <w:rFonts w:ascii="Arial" w:eastAsia="Arial" w:hAnsi="Arial" w:cs="Arial"/>
          <w:sz w:val="24"/>
          <w:szCs w:val="24"/>
        </w:rPr>
        <w:t xml:space="preserve"> </w:t>
      </w:r>
      <w:r w:rsidRPr="006D327E">
        <w:rPr>
          <w:rFonts w:ascii="Arial" w:eastAsia="Arial" w:hAnsi="Arial" w:cs="Arial"/>
          <w:sz w:val="24"/>
          <w:szCs w:val="24"/>
        </w:rPr>
        <w:t xml:space="preserve">across </w:t>
      </w:r>
      <w:r w:rsidR="006E0762">
        <w:rPr>
          <w:rFonts w:ascii="Arial" w:eastAsia="Arial" w:hAnsi="Arial" w:cs="Arial"/>
          <w:sz w:val="24"/>
          <w:szCs w:val="24"/>
        </w:rPr>
        <w:t>various</w:t>
      </w:r>
      <w:r w:rsidR="006E0762" w:rsidRPr="006D327E">
        <w:rPr>
          <w:rFonts w:ascii="Arial" w:eastAsia="Arial" w:hAnsi="Arial" w:cs="Arial"/>
          <w:sz w:val="24"/>
          <w:szCs w:val="24"/>
        </w:rPr>
        <w:t xml:space="preserve"> </w:t>
      </w:r>
      <w:r w:rsidRPr="006D327E">
        <w:rPr>
          <w:rFonts w:ascii="Arial" w:eastAsia="Arial" w:hAnsi="Arial" w:cs="Arial"/>
          <w:sz w:val="24"/>
          <w:szCs w:val="24"/>
        </w:rPr>
        <w:t xml:space="preserve">countries. </w:t>
      </w:r>
      <w:r w:rsidR="002C1082">
        <w:rPr>
          <w:rFonts w:ascii="Arial" w:eastAsia="Arial" w:hAnsi="Arial" w:cs="Arial"/>
          <w:sz w:val="24"/>
          <w:szCs w:val="24"/>
        </w:rPr>
        <w:t>This is a unique dataset that allows us</w:t>
      </w:r>
      <w:r w:rsidRPr="006D327E">
        <w:rPr>
          <w:rFonts w:ascii="Arial" w:eastAsia="Arial" w:hAnsi="Arial" w:cs="Arial"/>
          <w:sz w:val="24"/>
          <w:szCs w:val="24"/>
        </w:rPr>
        <w:t xml:space="preserve"> to </w:t>
      </w:r>
      <w:r w:rsidR="002C1082">
        <w:rPr>
          <w:rFonts w:ascii="Arial" w:eastAsia="Arial" w:hAnsi="Arial" w:cs="Arial"/>
          <w:sz w:val="24"/>
          <w:szCs w:val="24"/>
        </w:rPr>
        <w:t xml:space="preserve">compare health </w:t>
      </w:r>
      <w:r w:rsidR="00CA7252">
        <w:rPr>
          <w:rFonts w:ascii="Arial" w:eastAsia="Arial" w:hAnsi="Arial" w:cs="Arial"/>
          <w:sz w:val="24"/>
          <w:szCs w:val="24"/>
        </w:rPr>
        <w:t xml:space="preserve">outcomes </w:t>
      </w:r>
      <w:r w:rsidR="00CA7252" w:rsidRPr="006D327E">
        <w:rPr>
          <w:rFonts w:ascii="Arial" w:eastAsia="Arial" w:hAnsi="Arial" w:cs="Arial"/>
          <w:sz w:val="24"/>
          <w:szCs w:val="24"/>
        </w:rPr>
        <w:t>across</w:t>
      </w:r>
      <w:r w:rsidR="00A33DA6">
        <w:rPr>
          <w:rFonts w:ascii="Arial" w:eastAsia="Arial" w:hAnsi="Arial" w:cs="Arial"/>
          <w:sz w:val="24"/>
          <w:szCs w:val="24"/>
        </w:rPr>
        <w:t xml:space="preserve"> a diverse range of</w:t>
      </w:r>
      <w:r w:rsidRPr="006D327E">
        <w:rPr>
          <w:rFonts w:ascii="Arial" w:eastAsia="Arial" w:hAnsi="Arial" w:cs="Arial"/>
          <w:sz w:val="24"/>
          <w:szCs w:val="24"/>
        </w:rPr>
        <w:t xml:space="preserve"> </w:t>
      </w:r>
      <w:r w:rsidR="002C1082">
        <w:rPr>
          <w:rFonts w:ascii="Arial" w:eastAsia="Arial" w:hAnsi="Arial" w:cs="Arial"/>
          <w:sz w:val="24"/>
          <w:szCs w:val="24"/>
        </w:rPr>
        <w:t>low-, middle-, and high-income</w:t>
      </w:r>
      <w:r w:rsidR="002C1082" w:rsidRPr="006D327E">
        <w:rPr>
          <w:rFonts w:ascii="Arial" w:eastAsia="Arial" w:hAnsi="Arial" w:cs="Arial"/>
          <w:sz w:val="24"/>
          <w:szCs w:val="24"/>
        </w:rPr>
        <w:t xml:space="preserve"> </w:t>
      </w:r>
      <w:r w:rsidRPr="006D327E">
        <w:rPr>
          <w:rFonts w:ascii="Arial" w:eastAsia="Arial" w:hAnsi="Arial" w:cs="Arial"/>
          <w:sz w:val="24"/>
          <w:szCs w:val="24"/>
        </w:rPr>
        <w:t>countries. We focus on the U.S., England, South Korea, China, India, Mexico and EU Countries.</w:t>
      </w:r>
      <w:r w:rsidR="003938F5">
        <w:rPr>
          <w:rFonts w:ascii="Arial" w:eastAsia="Arial" w:hAnsi="Arial" w:cs="Arial"/>
          <w:sz w:val="24"/>
          <w:szCs w:val="24"/>
        </w:rPr>
        <w:t xml:space="preserve"> </w:t>
      </w:r>
      <w:r w:rsidR="00C029CB">
        <w:rPr>
          <w:rFonts w:ascii="Arial" w:eastAsia="Arial" w:hAnsi="Arial" w:cs="Arial"/>
          <w:sz w:val="24"/>
          <w:szCs w:val="24"/>
        </w:rPr>
        <w:t>This set of</w:t>
      </w:r>
      <w:r w:rsidRPr="006D327E">
        <w:rPr>
          <w:rFonts w:ascii="Arial" w:eastAsia="Arial" w:hAnsi="Arial" w:cs="Arial"/>
          <w:sz w:val="24"/>
          <w:szCs w:val="24"/>
        </w:rPr>
        <w:t xml:space="preserve"> countries have specific gender roles, healthcare policies and welfare state systems, </w:t>
      </w:r>
      <w:r w:rsidR="00944CBE">
        <w:rPr>
          <w:rFonts w:ascii="Arial" w:eastAsia="Arial" w:hAnsi="Arial" w:cs="Arial"/>
          <w:sz w:val="24"/>
          <w:szCs w:val="24"/>
        </w:rPr>
        <w:t>which</w:t>
      </w:r>
      <w:r w:rsidRPr="006D327E">
        <w:rPr>
          <w:rFonts w:ascii="Arial" w:eastAsia="Arial" w:hAnsi="Arial" w:cs="Arial"/>
          <w:sz w:val="24"/>
          <w:szCs w:val="24"/>
        </w:rPr>
        <w:t xml:space="preserve"> enable</w:t>
      </w:r>
      <w:r w:rsidR="00050965">
        <w:rPr>
          <w:rFonts w:ascii="Arial" w:eastAsia="Arial" w:hAnsi="Arial" w:cs="Arial"/>
          <w:sz w:val="24"/>
          <w:szCs w:val="24"/>
        </w:rPr>
        <w:t>s</w:t>
      </w:r>
      <w:r w:rsidRPr="006D327E">
        <w:rPr>
          <w:rFonts w:ascii="Arial" w:eastAsia="Arial" w:hAnsi="Arial" w:cs="Arial"/>
          <w:sz w:val="24"/>
          <w:szCs w:val="24"/>
        </w:rPr>
        <w:t xml:space="preserve"> us to investigate the impact of interpreting the gender gap in health and mortality as a measure of inequality in different settings.</w:t>
      </w:r>
      <w:r w:rsidR="00037587">
        <w:rPr>
          <w:rFonts w:ascii="Arial" w:eastAsia="Arial" w:hAnsi="Arial" w:cs="Arial"/>
          <w:sz w:val="24"/>
          <w:szCs w:val="24"/>
        </w:rPr>
        <w:t xml:space="preserve"> </w:t>
      </w:r>
      <w:del w:id="25" w:author="Di Lego Goncalves, Vanessa" w:date="2023-06-22T09:13:00Z">
        <w:r w:rsidR="00037587" w:rsidRPr="006E0762" w:rsidDel="00D13E0F">
          <w:rPr>
            <w:rFonts w:ascii="Arial" w:eastAsia="Arial" w:hAnsi="Arial" w:cs="Arial"/>
            <w:sz w:val="24"/>
            <w:szCs w:val="24"/>
          </w:rPr>
          <w:delText xml:space="preserve">To the best of our knowledge, this study represents the first </w:delText>
        </w:r>
        <w:r w:rsidR="00037587" w:rsidDel="00D13E0F">
          <w:rPr>
            <w:rFonts w:ascii="Arial" w:eastAsia="Arial" w:hAnsi="Arial" w:cs="Arial"/>
            <w:sz w:val="24"/>
            <w:szCs w:val="24"/>
          </w:rPr>
          <w:delText xml:space="preserve">in its </w:delText>
        </w:r>
        <w:commentRangeStart w:id="26"/>
        <w:r w:rsidR="00037587" w:rsidDel="00D13E0F">
          <w:rPr>
            <w:rFonts w:ascii="Arial" w:eastAsia="Arial" w:hAnsi="Arial" w:cs="Arial"/>
            <w:sz w:val="24"/>
            <w:szCs w:val="24"/>
          </w:rPr>
          <w:delText>approach</w:delText>
        </w:r>
      </w:del>
      <w:commentRangeEnd w:id="26"/>
      <w:r w:rsidR="00D13E0F">
        <w:rPr>
          <w:rStyle w:val="CommentReference"/>
          <w:rFonts w:ascii="Times New Roman" w:eastAsia="Times New Roman" w:hAnsi="Times New Roman" w:cs="Times New Roman"/>
        </w:rPr>
        <w:commentReference w:id="26"/>
      </w:r>
      <w:del w:id="27" w:author="Di Lego Goncalves, Vanessa" w:date="2023-06-22T09:13:00Z">
        <w:r w:rsidR="00037587" w:rsidRPr="006E0762" w:rsidDel="00D13E0F">
          <w:rPr>
            <w:rFonts w:ascii="Arial" w:eastAsia="Arial" w:hAnsi="Arial" w:cs="Arial"/>
            <w:sz w:val="24"/>
            <w:szCs w:val="24"/>
          </w:rPr>
          <w:delText>.</w:delText>
        </w:r>
      </w:del>
    </w:p>
    <w:p w14:paraId="7263B921" w14:textId="77777777" w:rsidR="006D327E" w:rsidRDefault="006D327E">
      <w:pPr>
        <w:keepNext/>
        <w:spacing w:after="0" w:line="360" w:lineRule="auto"/>
        <w:jc w:val="both"/>
        <w:rPr>
          <w:rFonts w:ascii="Arial" w:eastAsia="Arial" w:hAnsi="Arial" w:cs="Arial"/>
          <w:sz w:val="24"/>
          <w:szCs w:val="24"/>
        </w:rPr>
      </w:pPr>
    </w:p>
    <w:bookmarkEnd w:id="15"/>
    <w:p w14:paraId="00000042" w14:textId="6C781ECB" w:rsidR="00B133DD" w:rsidRPr="00EB61E2" w:rsidRDefault="00B133DD" w:rsidP="00EB61E2">
      <w:pPr>
        <w:keepNext/>
        <w:spacing w:after="0" w:line="360" w:lineRule="auto"/>
        <w:jc w:val="both"/>
        <w:rPr>
          <w:rFonts w:ascii="Arial" w:eastAsia="Arial" w:hAnsi="Arial" w:cs="Arial"/>
          <w:sz w:val="24"/>
          <w:szCs w:val="24"/>
        </w:rPr>
      </w:pPr>
    </w:p>
    <w:p w14:paraId="00000043" w14:textId="6C7D9FA9"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32BAC78B"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4285FDC2"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p>
    <w:p w14:paraId="2964C249"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197E36F3" w14:textId="77777777" w:rsidR="009372EB" w:rsidRDefault="009372EB" w:rsidP="009372EB">
      <w:pPr>
        <w:pBdr>
          <w:top w:val="nil"/>
          <w:left w:val="nil"/>
          <w:bottom w:val="nil"/>
          <w:right w:val="nil"/>
          <w:between w:val="nil"/>
        </w:pBdr>
        <w:spacing w:after="0"/>
        <w:rPr>
          <w:rFonts w:ascii="Arial" w:eastAsia="Arial" w:hAnsi="Arial" w:cs="Arial"/>
          <w:i/>
          <w:color w:val="000000"/>
          <w:sz w:val="24"/>
          <w:szCs w:val="24"/>
        </w:rPr>
      </w:pPr>
    </w:p>
    <w:p w14:paraId="1A0EC63F" w14:textId="18D631D4"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the health measures, we use data from the Gateway to Global Aging Data, produced by the Program on Global Aging, Health &amp; Policy that created harmonized versions of sister-HRS studies. The harmonized versions have followed the RAND HRS conventions of variable naming </w:t>
      </w:r>
      <w:r>
        <w:rPr>
          <w:rFonts w:ascii="Arial" w:eastAsia="Arial" w:hAnsi="Arial" w:cs="Arial"/>
          <w:color w:val="000000"/>
          <w:sz w:val="24"/>
          <w:szCs w:val="24"/>
        </w:rPr>
        <w:lastRenderedPageBreak/>
        <w:t xml:space="preserve">and data structure which allow for cross-country comparisons. We use the harmonized versions available for HRS (United States), ELSA (England),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(South Korea), CHARLS (China), LASI (India), MHAS (Mexico), and Europe (SHARE). </w:t>
      </w:r>
      <w:r w:rsidR="005E1A2A">
        <w:rPr>
          <w:rFonts w:ascii="Arial" w:eastAsia="Arial" w:hAnsi="Arial" w:cs="Arial"/>
          <w:color w:val="000000"/>
          <w:sz w:val="24"/>
          <w:szCs w:val="24"/>
        </w:rPr>
        <w:t>To</w:t>
      </w:r>
      <w:r>
        <w:rPr>
          <w:rFonts w:ascii="Arial" w:eastAsia="Arial" w:hAnsi="Arial" w:cs="Arial"/>
          <w:color w:val="000000"/>
          <w:sz w:val="24"/>
          <w:szCs w:val="24"/>
        </w:rPr>
        <w:t xml:space="preserve"> perform comparisons at points in time that were as close as possible across countries we used survey waves pertaining to year 2014-2015 (HRS: Wave 12; </w:t>
      </w:r>
      <w:proofErr w:type="gramStart"/>
      <w:r>
        <w:rPr>
          <w:rFonts w:ascii="Arial" w:eastAsia="Arial" w:hAnsi="Arial" w:cs="Arial"/>
          <w:color w:val="000000"/>
          <w:sz w:val="24"/>
          <w:szCs w:val="24"/>
        </w:rPr>
        <w:t>ELSA :</w:t>
      </w:r>
      <w:proofErr w:type="gramEnd"/>
      <w:r>
        <w:rPr>
          <w:rFonts w:ascii="Arial" w:eastAsia="Arial" w:hAnsi="Arial" w:cs="Arial"/>
          <w:color w:val="000000"/>
          <w:sz w:val="24"/>
          <w:szCs w:val="24"/>
        </w:rPr>
        <w:t xml:space="preserve"> Wave 7; SHARE: Wave 6;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Wave 5; CHARLS: Wave 2; and LASI Wave 1). The only exception is India, since the first wave of LASI was carried on between 2017-2019. We focus on this specific set of countries as our aim is to have the most diverse group of </w:t>
      </w:r>
      <w:r w:rsidR="00A87123">
        <w:rPr>
          <w:rFonts w:ascii="Arial" w:eastAsia="Arial" w:hAnsi="Arial" w:cs="Arial"/>
          <w:color w:val="000000"/>
          <w:sz w:val="24"/>
          <w:szCs w:val="24"/>
        </w:rPr>
        <w:t xml:space="preserve">nations </w:t>
      </w:r>
      <w:r>
        <w:rPr>
          <w:rFonts w:ascii="Arial" w:eastAsia="Arial" w:hAnsi="Arial" w:cs="Arial"/>
          <w:color w:val="000000"/>
          <w:sz w:val="24"/>
          <w:szCs w:val="24"/>
        </w:rPr>
        <w:t xml:space="preserve">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Korea and slow pioneering countries like Sweden; 3. </w:t>
      </w:r>
      <w:commentRangeStart w:id="28"/>
      <w:commentRangeStart w:id="29"/>
      <w:r>
        <w:rPr>
          <w:rFonts w:ascii="Arial" w:eastAsia="Arial" w:hAnsi="Arial" w:cs="Arial"/>
          <w:color w:val="000000"/>
          <w:sz w:val="24"/>
          <w:szCs w:val="24"/>
        </w:rPr>
        <w:t xml:space="preserve">Different </w:t>
      </w:r>
      <w:del w:id="30" w:author="Di Lego Goncalves, Vanessa" w:date="2023-06-22T09:28:00Z">
        <w:r w:rsidDel="00554E86">
          <w:rPr>
            <w:rFonts w:ascii="Arial" w:eastAsia="Arial" w:hAnsi="Arial" w:cs="Arial"/>
            <w:color w:val="000000"/>
            <w:sz w:val="24"/>
            <w:szCs w:val="24"/>
          </w:rPr>
          <w:delText xml:space="preserve">welfare state </w:delText>
        </w:r>
      </w:del>
      <w:ins w:id="31" w:author="Di Lego Goncalves, Vanessa" w:date="2023-06-22T09:28:00Z">
        <w:r w:rsidR="00554E86">
          <w:rPr>
            <w:rFonts w:ascii="Arial" w:eastAsia="Arial" w:hAnsi="Arial" w:cs="Arial"/>
            <w:color w:val="000000"/>
            <w:sz w:val="24"/>
            <w:szCs w:val="24"/>
          </w:rPr>
          <w:t xml:space="preserve">cultural </w:t>
        </w:r>
      </w:ins>
      <w:ins w:id="32" w:author="Di Lego Goncalves, Vanessa" w:date="2023-06-22T09:29:00Z">
        <w:r w:rsidR="00554E86">
          <w:rPr>
            <w:rFonts w:ascii="Arial" w:eastAsia="Arial" w:hAnsi="Arial" w:cs="Arial"/>
            <w:color w:val="000000"/>
            <w:sz w:val="24"/>
            <w:szCs w:val="24"/>
          </w:rPr>
          <w:t xml:space="preserve">backgrounds, </w:t>
        </w:r>
      </w:ins>
      <w:ins w:id="33" w:author="Di Lego Goncalves, Vanessa" w:date="2023-06-22T09:28:00Z">
        <w:r w:rsidR="00554E86">
          <w:rPr>
            <w:rFonts w:ascii="Arial" w:eastAsia="Arial" w:hAnsi="Arial" w:cs="Arial"/>
            <w:color w:val="000000"/>
            <w:sz w:val="24"/>
            <w:szCs w:val="24"/>
          </w:rPr>
          <w:t>gende</w:t>
        </w:r>
      </w:ins>
      <w:ins w:id="34" w:author="Di Lego Goncalves, Vanessa" w:date="2023-06-22T09:29:00Z">
        <w:r w:rsidR="00554E86">
          <w:rPr>
            <w:rFonts w:ascii="Arial" w:eastAsia="Arial" w:hAnsi="Arial" w:cs="Arial"/>
            <w:color w:val="000000"/>
            <w:sz w:val="24"/>
            <w:szCs w:val="24"/>
          </w:rPr>
          <w:t>r norms</w:t>
        </w:r>
      </w:ins>
      <w:ins w:id="35" w:author="Di Lego Goncalves, Vanessa" w:date="2023-06-22T09:28:00Z">
        <w:r w:rsidR="00554E86">
          <w:rPr>
            <w:rFonts w:ascii="Arial" w:eastAsia="Arial" w:hAnsi="Arial" w:cs="Arial"/>
            <w:color w:val="000000"/>
            <w:sz w:val="24"/>
            <w:szCs w:val="24"/>
          </w:rPr>
          <w:t>,</w:t>
        </w:r>
      </w:ins>
      <w:ins w:id="36" w:author="Di Lego Goncalves, Vanessa" w:date="2023-06-22T09:29:00Z">
        <w:r w:rsidR="00554E86">
          <w:rPr>
            <w:rFonts w:ascii="Arial" w:eastAsia="Arial" w:hAnsi="Arial" w:cs="Arial"/>
            <w:color w:val="000000"/>
            <w:sz w:val="24"/>
            <w:szCs w:val="24"/>
          </w:rPr>
          <w:t xml:space="preserve"> and</w:t>
        </w:r>
      </w:ins>
      <w:ins w:id="37" w:author="Di Lego Goncalves, Vanessa" w:date="2023-06-22T09:28:00Z">
        <w:r w:rsidR="00554E86">
          <w:rPr>
            <w:rFonts w:ascii="Arial" w:eastAsia="Arial" w:hAnsi="Arial" w:cs="Arial"/>
            <w:color w:val="000000"/>
            <w:sz w:val="24"/>
            <w:szCs w:val="24"/>
          </w:rPr>
          <w:t xml:space="preserve"> health systems</w:t>
        </w:r>
      </w:ins>
      <w:del w:id="38" w:author="Di Lego Goncalves, Vanessa" w:date="2023-06-22T09:28:00Z">
        <w:r w:rsidDel="00554E86">
          <w:rPr>
            <w:rFonts w:ascii="Arial" w:eastAsia="Arial" w:hAnsi="Arial" w:cs="Arial"/>
            <w:color w:val="000000"/>
            <w:sz w:val="24"/>
            <w:szCs w:val="24"/>
          </w:rPr>
          <w:delText>models</w:delText>
        </w:r>
      </w:del>
      <w:del w:id="39" w:author="Di Lego Goncalves, Vanessa" w:date="2023-06-22T09:29:00Z">
        <w:r w:rsidDel="00554E86">
          <w:rPr>
            <w:rFonts w:ascii="Arial" w:eastAsia="Arial" w:hAnsi="Arial" w:cs="Arial"/>
            <w:color w:val="000000"/>
            <w:sz w:val="24"/>
            <w:szCs w:val="24"/>
          </w:rPr>
          <w:delText xml:space="preserve"> and gender </w:delText>
        </w:r>
      </w:del>
      <w:del w:id="40" w:author="Di Lego Goncalves, Vanessa" w:date="2023-06-22T09:28:00Z">
        <w:r w:rsidDel="00554E86">
          <w:rPr>
            <w:rFonts w:ascii="Arial" w:eastAsia="Arial" w:hAnsi="Arial" w:cs="Arial"/>
            <w:color w:val="000000"/>
            <w:sz w:val="24"/>
            <w:szCs w:val="24"/>
          </w:rPr>
          <w:delText>roles</w:delText>
        </w:r>
      </w:del>
      <w:r>
        <w:rPr>
          <w:rFonts w:ascii="Arial" w:eastAsia="Arial" w:hAnsi="Arial" w:cs="Arial"/>
          <w:color w:val="000000"/>
          <w:sz w:val="24"/>
          <w:szCs w:val="24"/>
        </w:rPr>
        <w:t xml:space="preserve">, which enable us to investigate whether specific gender patterns in inequality in health and mortality emerge in those settings. </w:t>
      </w:r>
      <w:commentRangeEnd w:id="28"/>
      <w:r w:rsidR="00A87123">
        <w:rPr>
          <w:rStyle w:val="CommentReference"/>
          <w:rFonts w:ascii="Times New Roman" w:eastAsia="Times New Roman" w:hAnsi="Times New Roman" w:cs="Times New Roman"/>
        </w:rPr>
        <w:commentReference w:id="28"/>
      </w:r>
      <w:commentRangeEnd w:id="29"/>
      <w:r w:rsidR="00554E86">
        <w:rPr>
          <w:rStyle w:val="CommentReference"/>
          <w:rFonts w:ascii="Times New Roman" w:eastAsia="Times New Roman" w:hAnsi="Times New Roman" w:cs="Times New Roman"/>
        </w:rPr>
        <w:commentReference w:id="29"/>
      </w:r>
      <w:r>
        <w:rPr>
          <w:rFonts w:ascii="Arial" w:eastAsia="Arial" w:hAnsi="Arial" w:cs="Arial"/>
          <w:color w:val="000000"/>
          <w:sz w:val="24"/>
          <w:szCs w:val="24"/>
        </w:rPr>
        <w:t xml:space="preserve">We focus on age 60 and above to be coherent towards the definition of old age across countries. While most developed countries define old age as 65, for China and Mexico it is age 60. For more details on the data characteristics, refer to the Supplementary </w:t>
      </w:r>
      <w:del w:id="41" w:author="Di Lego Goncalves, Vanessa" w:date="2023-06-22T09:30:00Z">
        <w:r w:rsidDel="005F020D">
          <w:rPr>
            <w:rFonts w:ascii="Arial" w:eastAsia="Arial" w:hAnsi="Arial" w:cs="Arial"/>
            <w:color w:val="000000"/>
            <w:sz w:val="24"/>
            <w:szCs w:val="24"/>
          </w:rPr>
          <w:delText>Material</w:delText>
        </w:r>
      </w:del>
      <w:ins w:id="42" w:author="Di Lego Goncalves, Vanessa" w:date="2023-06-22T09:30:00Z">
        <w:r w:rsidR="005F020D">
          <w:rPr>
            <w:rFonts w:ascii="Arial" w:eastAsia="Arial" w:hAnsi="Arial" w:cs="Arial"/>
            <w:color w:val="000000"/>
            <w:sz w:val="24"/>
            <w:szCs w:val="24"/>
          </w:rPr>
          <w:t>Information</w:t>
        </w:r>
      </w:ins>
      <w:r>
        <w:rPr>
          <w:rFonts w:ascii="Arial" w:eastAsia="Arial" w:hAnsi="Arial" w:cs="Arial"/>
          <w:color w:val="000000"/>
          <w:sz w:val="24"/>
          <w:szCs w:val="24"/>
        </w:rPr>
        <w:t>.</w:t>
      </w:r>
    </w:p>
    <w:p w14:paraId="43D81AAE" w14:textId="77777777" w:rsidR="009372EB" w:rsidRDefault="009372EB" w:rsidP="009372EB">
      <w:pPr>
        <w:pBdr>
          <w:top w:val="nil"/>
          <w:left w:val="nil"/>
          <w:bottom w:val="nil"/>
          <w:right w:val="nil"/>
          <w:between w:val="nil"/>
        </w:pBdr>
        <w:spacing w:after="0" w:line="360" w:lineRule="auto"/>
        <w:rPr>
          <w:rFonts w:ascii="Arial" w:eastAsia="Arial" w:hAnsi="Arial" w:cs="Arial"/>
          <w:color w:val="000000"/>
          <w:sz w:val="24"/>
          <w:szCs w:val="24"/>
        </w:rPr>
      </w:pPr>
    </w:p>
    <w:p w14:paraId="54845D1A" w14:textId="1132A47C"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mortality </w:t>
      </w:r>
      <w:r w:rsidR="007B4FED">
        <w:rPr>
          <w:rFonts w:ascii="Arial" w:eastAsia="Arial" w:hAnsi="Arial" w:cs="Arial"/>
          <w:color w:val="000000"/>
          <w:sz w:val="24"/>
          <w:szCs w:val="24"/>
        </w:rPr>
        <w:t>data</w:t>
      </w:r>
      <w:ins w:id="43" w:author="Di Lego Goncalves, Vanessa" w:date="2023-06-22T09:42:00Z">
        <w:r w:rsidR="005469D0">
          <w:rPr>
            <w:rFonts w:ascii="Arial" w:eastAsia="Arial" w:hAnsi="Arial" w:cs="Arial"/>
            <w:color w:val="000000"/>
            <w:sz w:val="24"/>
            <w:szCs w:val="24"/>
          </w:rPr>
          <w:t>,</w:t>
        </w:r>
      </w:ins>
      <w:r w:rsidR="007B4FED">
        <w:rPr>
          <w:rFonts w:ascii="Arial" w:eastAsia="Arial" w:hAnsi="Arial" w:cs="Arial"/>
          <w:color w:val="000000"/>
          <w:sz w:val="24"/>
          <w:szCs w:val="24"/>
        </w:rPr>
        <w:t xml:space="preserve"> </w:t>
      </w:r>
      <w:r>
        <w:rPr>
          <w:rFonts w:ascii="Arial" w:eastAsia="Arial" w:hAnsi="Arial" w:cs="Arial"/>
          <w:color w:val="000000"/>
          <w:sz w:val="24"/>
          <w:szCs w:val="24"/>
        </w:rPr>
        <w:t>we use</w:t>
      </w:r>
      <w:ins w:id="44" w:author="Di Lego Goncalves, Vanessa" w:date="2023-06-22T09:42:00Z">
        <w:r w:rsidR="005469D0">
          <w:rPr>
            <w:rFonts w:ascii="Arial" w:eastAsia="Arial" w:hAnsi="Arial" w:cs="Arial"/>
            <w:color w:val="000000"/>
            <w:sz w:val="24"/>
            <w:szCs w:val="24"/>
          </w:rPr>
          <w:t xml:space="preserve"> UN</w:t>
        </w:r>
      </w:ins>
      <w:r>
        <w:rPr>
          <w:rFonts w:ascii="Arial" w:eastAsia="Arial" w:hAnsi="Arial" w:cs="Arial"/>
          <w:color w:val="000000"/>
          <w:sz w:val="24"/>
          <w:szCs w:val="24"/>
        </w:rPr>
        <w:t xml:space="preserve"> life tables from the 2022 Revision of World Population Prospects (United Nations 2022) for all countries with the exceptions of England, where the life tables</w:t>
      </w:r>
      <w:ins w:id="45" w:author="Di Lego Goncalves, Vanessa" w:date="2023-06-22T09:43:00Z">
        <w:r w:rsidR="005469D0">
          <w:rPr>
            <w:rFonts w:ascii="Arial" w:eastAsia="Arial" w:hAnsi="Arial" w:cs="Arial"/>
            <w:color w:val="000000"/>
            <w:sz w:val="24"/>
            <w:szCs w:val="24"/>
          </w:rPr>
          <w:t xml:space="preserve"> are</w:t>
        </w:r>
      </w:ins>
      <w:r>
        <w:rPr>
          <w:rFonts w:ascii="Arial" w:eastAsia="Arial" w:hAnsi="Arial" w:cs="Arial"/>
          <w:color w:val="000000"/>
          <w:sz w:val="24"/>
          <w:szCs w:val="24"/>
        </w:rPr>
        <w:t xml:space="preserve"> from the </w:t>
      </w:r>
      <w:ins w:id="46" w:author="Di Lego Goncalves, Vanessa" w:date="2023-06-22T09:43:00Z">
        <w:r w:rsidR="005469D0">
          <w:rPr>
            <w:rFonts w:ascii="Arial" w:eastAsia="Arial" w:hAnsi="Arial" w:cs="Arial"/>
            <w:color w:val="000000"/>
            <w:sz w:val="24"/>
            <w:szCs w:val="24"/>
          </w:rPr>
          <w:t>O</w:t>
        </w:r>
      </w:ins>
      <w:ins w:id="47" w:author="Di Lego Goncalves, Vanessa" w:date="2023-06-22T09:42:00Z">
        <w:r w:rsidR="00DA586B">
          <w:rPr>
            <w:rFonts w:ascii="Arial" w:eastAsia="Arial" w:hAnsi="Arial" w:cs="Arial"/>
            <w:color w:val="000000"/>
            <w:sz w:val="24"/>
            <w:szCs w:val="24"/>
          </w:rPr>
          <w:t xml:space="preserve">ffice for National Statistics UK </w:t>
        </w:r>
        <w:r w:rsidR="005469D0">
          <w:rPr>
            <w:rFonts w:ascii="Arial" w:eastAsia="Arial" w:hAnsi="Arial" w:cs="Arial"/>
            <w:color w:val="000000"/>
            <w:sz w:val="24"/>
            <w:szCs w:val="24"/>
          </w:rPr>
          <w:t>(</w:t>
        </w:r>
      </w:ins>
      <w:r>
        <w:rPr>
          <w:rFonts w:ascii="Arial" w:eastAsia="Arial" w:hAnsi="Arial" w:cs="Arial"/>
          <w:color w:val="000000"/>
          <w:sz w:val="24"/>
          <w:szCs w:val="24"/>
        </w:rPr>
        <w:t>ONS</w:t>
      </w:r>
      <w:ins w:id="48" w:author="Di Lego Goncalves, Vanessa" w:date="2023-06-22T09:42:00Z">
        <w:r w:rsidR="005469D0">
          <w:rPr>
            <w:rFonts w:ascii="Arial" w:eastAsia="Arial" w:hAnsi="Arial" w:cs="Arial"/>
            <w:color w:val="000000"/>
            <w:sz w:val="24"/>
            <w:szCs w:val="24"/>
          </w:rPr>
          <w:t>)</w:t>
        </w:r>
      </w:ins>
      <w:del w:id="49" w:author="Di Lego Goncalves, Vanessa" w:date="2023-06-22T09:43:00Z">
        <w:r w:rsidDel="005469D0">
          <w:rPr>
            <w:rFonts w:ascii="Arial" w:eastAsia="Arial" w:hAnsi="Arial" w:cs="Arial"/>
            <w:color w:val="000000"/>
            <w:sz w:val="24"/>
            <w:szCs w:val="24"/>
          </w:rPr>
          <w:delText xml:space="preserve"> estimates</w:delText>
        </w:r>
      </w:del>
      <w:r>
        <w:rPr>
          <w:rFonts w:ascii="Arial" w:eastAsia="Arial" w:hAnsi="Arial" w:cs="Arial"/>
          <w:color w:val="000000"/>
          <w:sz w:val="24"/>
          <w:szCs w:val="24"/>
        </w:rPr>
        <w:t xml:space="preserve">, as the ELSA study does not include Wales. </w:t>
      </w:r>
    </w:p>
    <w:p w14:paraId="74F48AC1" w14:textId="77777777" w:rsidR="009372EB" w:rsidRPr="00582071" w:rsidRDefault="009372EB" w:rsidP="009372EB">
      <w:pPr>
        <w:pBdr>
          <w:top w:val="nil"/>
          <w:left w:val="nil"/>
          <w:bottom w:val="nil"/>
          <w:right w:val="nil"/>
          <w:between w:val="nil"/>
        </w:pBdr>
        <w:spacing w:after="0" w:line="360" w:lineRule="auto"/>
        <w:jc w:val="both"/>
        <w:rPr>
          <w:rFonts w:ascii="Arial" w:eastAsia="Arial" w:hAnsi="Arial" w:cs="Arial"/>
          <w:b/>
          <w:sz w:val="20"/>
          <w:szCs w:val="20"/>
        </w:rPr>
      </w:pPr>
    </w:p>
    <w:p w14:paraId="647C05EC"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Methods</w:t>
      </w:r>
    </w:p>
    <w:p w14:paraId="04FC19A9"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6712396"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13EB8EED" w14:textId="0C673B5C" w:rsidR="007E07B6" w:rsidRPr="004B6F17" w:rsidRDefault="009372EB" w:rsidP="007E07B6">
      <w:pPr>
        <w:pBdr>
          <w:top w:val="nil"/>
          <w:left w:val="nil"/>
          <w:bottom w:val="nil"/>
          <w:right w:val="nil"/>
          <w:between w:val="nil"/>
        </w:pBdr>
        <w:spacing w:after="0" w:line="360" w:lineRule="auto"/>
        <w:jc w:val="both"/>
        <w:rPr>
          <w:ins w:id="50" w:author="Di Lego Goncalves, Vanessa" w:date="2023-06-22T09:40:00Z"/>
          <w:rFonts w:ascii="Arial" w:eastAsia="Arial" w:hAnsi="Arial" w:cs="Arial"/>
          <w:color w:val="000000"/>
          <w:sz w:val="24"/>
          <w:szCs w:val="24"/>
        </w:rPr>
      </w:pPr>
      <w:r>
        <w:rPr>
          <w:rFonts w:ascii="Arial" w:eastAsia="Arial" w:hAnsi="Arial" w:cs="Arial"/>
          <w:sz w:val="24"/>
          <w:szCs w:val="24"/>
        </w:rPr>
        <w:t xml:space="preserve">To examine gender </w:t>
      </w:r>
      <w:r w:rsidR="006315A5">
        <w:rPr>
          <w:rFonts w:ascii="Arial" w:eastAsia="Arial" w:hAnsi="Arial" w:cs="Arial"/>
          <w:sz w:val="24"/>
          <w:szCs w:val="24"/>
        </w:rPr>
        <w:t xml:space="preserve">gaps </w:t>
      </w:r>
      <w:r>
        <w:rPr>
          <w:rFonts w:ascii="Arial" w:eastAsia="Arial" w:hAnsi="Arial" w:cs="Arial"/>
          <w:sz w:val="24"/>
          <w:szCs w:val="24"/>
        </w:rPr>
        <w:t xml:space="preserve">in health expectancy, we </w:t>
      </w:r>
      <w:ins w:id="51" w:author="Di Lego Goncalves, Vanessa" w:date="2023-06-22T09:43:00Z">
        <w:r w:rsidR="005B22C5">
          <w:rPr>
            <w:rFonts w:ascii="Arial" w:eastAsia="Arial" w:hAnsi="Arial" w:cs="Arial"/>
            <w:sz w:val="24"/>
            <w:szCs w:val="24"/>
          </w:rPr>
          <w:t xml:space="preserve">first </w:t>
        </w:r>
      </w:ins>
      <w:r>
        <w:rPr>
          <w:rFonts w:ascii="Arial" w:eastAsia="Arial" w:hAnsi="Arial" w:cs="Arial"/>
          <w:sz w:val="24"/>
          <w:szCs w:val="24"/>
        </w:rPr>
        <w:t>estimate the disability-free life expectancy (</w:t>
      </w:r>
      <w:r>
        <w:rPr>
          <w:rFonts w:ascii="Arial" w:eastAsia="Arial" w:hAnsi="Arial" w:cs="Arial"/>
          <w:i/>
          <w:sz w:val="24"/>
          <w:szCs w:val="24"/>
        </w:rPr>
        <w:t>DFLE</w:t>
      </w:r>
      <w:r>
        <w:rPr>
          <w:rFonts w:ascii="Arial" w:eastAsia="Arial" w:hAnsi="Arial" w:cs="Arial"/>
          <w:sz w:val="24"/>
          <w:szCs w:val="24"/>
        </w:rPr>
        <w:t xml:space="preserve">) and the chronic-free life expectancy (CFLE) </w:t>
      </w:r>
      <w:ins w:id="52" w:author="Di Lego Goncalves, Vanessa" w:date="2023-06-22T09:44:00Z">
        <w:r w:rsidR="005B22C5">
          <w:rPr>
            <w:rFonts w:ascii="Arial" w:eastAsia="Arial" w:hAnsi="Arial" w:cs="Arial"/>
            <w:sz w:val="24"/>
            <w:szCs w:val="24"/>
          </w:rPr>
          <w:t xml:space="preserve">for ages 60 and over </w:t>
        </w:r>
      </w:ins>
      <w:r>
        <w:rPr>
          <w:rFonts w:ascii="Arial" w:eastAsia="Arial" w:hAnsi="Arial" w:cs="Arial"/>
          <w:sz w:val="24"/>
          <w:szCs w:val="24"/>
        </w:rPr>
        <w:t>using the Sullivan Method</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843F09">
        <w:rPr>
          <w:rFonts w:ascii="Arial" w:eastAsia="Arial" w:hAnsi="Arial" w:cs="Arial"/>
          <w:sz w:val="24"/>
          <w:szCs w:val="24"/>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morbidity","type":"article-journal","volume":"86"},"uris":["http://www.mendeley.com/documents/?uuid=53ae6c7c-eab6-4718-8411-68f9d0e12fb1"]}],"mendeley":{"formattedCitation":"(Sullivan 1971)","plainTextFormattedCitation":"(Sullivan 1971)","previouslyFormattedCitation":"(Sullivan 1971)"},"properties":{"noteIndex":0},"schema":"https://github.com/citation-style-language/schema/raw/master/csl-citation.json"}</w:instrText>
      </w:r>
      <w:r w:rsidR="00843F09">
        <w:rPr>
          <w:rFonts w:ascii="Arial" w:eastAsia="Arial" w:hAnsi="Arial" w:cs="Arial"/>
          <w:sz w:val="24"/>
          <w:szCs w:val="24"/>
        </w:rPr>
        <w:fldChar w:fldCharType="separate"/>
      </w:r>
      <w:r w:rsidR="00843F09" w:rsidRPr="00843F09">
        <w:rPr>
          <w:rFonts w:ascii="Arial" w:eastAsia="Arial" w:hAnsi="Arial" w:cs="Arial"/>
          <w:noProof/>
          <w:sz w:val="24"/>
          <w:szCs w:val="24"/>
        </w:rPr>
        <w:t>(Sullivan 1971)</w:t>
      </w:r>
      <w:r w:rsidR="00843F09">
        <w:rPr>
          <w:rFonts w:ascii="Arial" w:eastAsia="Arial" w:hAnsi="Arial" w:cs="Arial"/>
          <w:sz w:val="24"/>
          <w:szCs w:val="24"/>
        </w:rPr>
        <w:fldChar w:fldCharType="end"/>
      </w:r>
      <w:r>
        <w:rPr>
          <w:rFonts w:ascii="Arial" w:eastAsia="Arial" w:hAnsi="Arial" w:cs="Arial"/>
          <w:sz w:val="24"/>
          <w:szCs w:val="24"/>
        </w:rPr>
        <w:t xml:space="preserve">, </w:t>
      </w:r>
      <w:ins w:id="53" w:author="Di Lego Goncalves, Vanessa" w:date="2023-06-22T09:32:00Z">
        <w:r w:rsidR="00381CF7">
          <w:rPr>
            <w:rFonts w:ascii="Arial" w:eastAsia="Arial" w:hAnsi="Arial" w:cs="Arial"/>
            <w:sz w:val="24"/>
            <w:szCs w:val="24"/>
          </w:rPr>
          <w:t xml:space="preserve">the most </w:t>
        </w:r>
      </w:ins>
      <w:ins w:id="54" w:author="Di Lego Goncalves, Vanessa" w:date="2023-06-22T09:34:00Z">
        <w:r w:rsidR="00381CF7">
          <w:rPr>
            <w:rFonts w:ascii="Arial" w:eastAsia="Arial" w:hAnsi="Arial" w:cs="Arial"/>
            <w:sz w:val="24"/>
            <w:szCs w:val="24"/>
          </w:rPr>
          <w:t xml:space="preserve">widely </w:t>
        </w:r>
        <w:proofErr w:type="spellStart"/>
        <w:r w:rsidR="00381CF7">
          <w:rPr>
            <w:rFonts w:ascii="Arial" w:eastAsia="Arial" w:hAnsi="Arial" w:cs="Arial"/>
            <w:sz w:val="24"/>
            <w:szCs w:val="24"/>
          </w:rPr>
          <w:t>adopted</w:t>
        </w:r>
      </w:ins>
      <w:del w:id="55" w:author="Di Lego Goncalves, Vanessa" w:date="2023-06-22T09:32:00Z">
        <w:r w:rsidDel="00381CF7">
          <w:rPr>
            <w:rFonts w:ascii="Arial" w:eastAsia="Arial" w:hAnsi="Arial" w:cs="Arial"/>
            <w:sz w:val="24"/>
            <w:szCs w:val="24"/>
          </w:rPr>
          <w:delText xml:space="preserve">a </w:delText>
        </w:r>
      </w:del>
      <w:r>
        <w:rPr>
          <w:rFonts w:ascii="Arial" w:eastAsia="Arial" w:hAnsi="Arial" w:cs="Arial"/>
          <w:sz w:val="24"/>
          <w:szCs w:val="24"/>
        </w:rPr>
        <w:t>methodological</w:t>
      </w:r>
      <w:proofErr w:type="spellEnd"/>
      <w:r>
        <w:rPr>
          <w:rFonts w:ascii="Arial" w:eastAsia="Arial" w:hAnsi="Arial" w:cs="Arial"/>
          <w:sz w:val="24"/>
          <w:szCs w:val="24"/>
        </w:rPr>
        <w:t xml:space="preserve"> approach </w:t>
      </w:r>
      <w:del w:id="56" w:author="Di Lego Goncalves, Vanessa" w:date="2023-06-22T09:33:00Z">
        <w:r w:rsidDel="00381CF7">
          <w:rPr>
            <w:rFonts w:ascii="Arial" w:eastAsia="Arial" w:hAnsi="Arial" w:cs="Arial"/>
            <w:sz w:val="24"/>
            <w:szCs w:val="24"/>
          </w:rPr>
          <w:delText>that has been used before in similar</w:delText>
        </w:r>
      </w:del>
      <w:ins w:id="57" w:author="Di Lego Goncalves, Vanessa" w:date="2023-06-22T09:33:00Z">
        <w:r w:rsidR="00381CF7">
          <w:rPr>
            <w:rFonts w:ascii="Arial" w:eastAsia="Arial" w:hAnsi="Arial" w:cs="Arial"/>
            <w:sz w:val="24"/>
            <w:szCs w:val="24"/>
          </w:rPr>
          <w:t xml:space="preserve">for </w:t>
        </w:r>
      </w:ins>
      <w:ins w:id="58" w:author="Di Lego Goncalves, Vanessa" w:date="2023-06-22T09:35:00Z">
        <w:r w:rsidR="00381CF7">
          <w:rPr>
            <w:rFonts w:ascii="Arial" w:eastAsia="Arial" w:hAnsi="Arial" w:cs="Arial"/>
            <w:sz w:val="24"/>
            <w:szCs w:val="24"/>
          </w:rPr>
          <w:t>estimating prevalence-based health expectancies</w:t>
        </w:r>
      </w:ins>
      <w:del w:id="59" w:author="Di Lego Goncalves, Vanessa" w:date="2023-06-22T09:35:00Z">
        <w:r w:rsidDel="00381CF7">
          <w:rPr>
            <w:rFonts w:ascii="Arial" w:eastAsia="Arial" w:hAnsi="Arial" w:cs="Arial"/>
            <w:sz w:val="24"/>
            <w:szCs w:val="24"/>
          </w:rPr>
          <w:delText xml:space="preserve"> analyses</w:delText>
        </w:r>
      </w:del>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47289C">
        <w:rPr>
          <w:rFonts w:ascii="Arial" w:eastAsia="Arial" w:hAnsi="Arial" w:cs="Arial"/>
          <w:sz w:val="24"/>
          <w:szCs w:val="24"/>
        </w:rPr>
        <w:instrText>ADDIN CSL_CITATION {"citationItems":[{"id":"ITEM-1","itemData":{"DOI":"10.3233/SJI-140840","ISSN":"18747655","abstract":"Health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 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expectancy","type":"article-journal","volume":"30"},"uris":["http://www.mendeley.com/documents/?uuid=9d7b133b-168e-4734-aafd-2711e02e02a2"]},{"id":"ITEM-2","itemData":{"DOI":"10.2105/AJPH.2016.303120","author":[{"dropping-particle":"","family":"Crimmins","given":"Eileen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States","type":"article-journal","volume":"106"},"uris":["http://www.mendeley.com/documents/?uuid=5f91cfd1-0d5c-4fca-a8ba-8668d91b3001"]}],"mendeley":{"formattedCitation":"(Saito et al. 2014; Crimmins et al. 2016)","plainTextFormattedCitation":"(Saito et al. 2014; Crimmins et al. 2016)","previouslyFormattedCitation":"(Saito et al. 2014; Crimmins et al. 2016)"},"properties":{"noteIndex":0},"schema":"https://github.com/citation-style-language/schema/raw/master/csl-citation.json"}</w:instrText>
      </w:r>
      <w:r w:rsidR="00843F09">
        <w:rPr>
          <w:rFonts w:ascii="Arial" w:eastAsia="Arial" w:hAnsi="Arial" w:cs="Arial"/>
          <w:sz w:val="24"/>
          <w:szCs w:val="24"/>
        </w:rPr>
        <w:fldChar w:fldCharType="separate"/>
      </w:r>
      <w:r w:rsidR="00843F09" w:rsidRPr="00843F09">
        <w:rPr>
          <w:rFonts w:ascii="Arial" w:eastAsia="Arial" w:hAnsi="Arial" w:cs="Arial"/>
          <w:noProof/>
          <w:sz w:val="24"/>
          <w:szCs w:val="24"/>
        </w:rPr>
        <w:t xml:space="preserve">(Saito </w:t>
      </w:r>
      <w:r w:rsidR="00843F09" w:rsidRPr="00843F09">
        <w:rPr>
          <w:rFonts w:ascii="Arial" w:eastAsia="Arial" w:hAnsi="Arial" w:cs="Arial"/>
          <w:noProof/>
          <w:sz w:val="24"/>
          <w:szCs w:val="24"/>
        </w:rPr>
        <w:lastRenderedPageBreak/>
        <w:t>et al. 2014; Crimmins et al. 2016)</w:t>
      </w:r>
      <w:r w:rsidR="00843F09">
        <w:rPr>
          <w:rFonts w:ascii="Arial" w:eastAsia="Arial" w:hAnsi="Arial" w:cs="Arial"/>
          <w:sz w:val="24"/>
          <w:szCs w:val="24"/>
        </w:rPr>
        <w:fldChar w:fldCharType="end"/>
      </w:r>
      <w:r>
        <w:rPr>
          <w:rFonts w:ascii="Arial" w:eastAsia="Arial" w:hAnsi="Arial" w:cs="Arial"/>
          <w:sz w:val="24"/>
          <w:szCs w:val="24"/>
        </w:rPr>
        <w:t xml:space="preserve">. </w:t>
      </w:r>
      <w:bookmarkStart w:id="60" w:name="_GoBack"/>
      <w:bookmarkEnd w:id="60"/>
      <w:del w:id="61" w:author="Di Lego Goncalves, Vanessa" w:date="2023-06-22T09:44:00Z">
        <w:r w:rsidDel="005B22C5">
          <w:rPr>
            <w:rFonts w:ascii="Arial" w:eastAsia="Arial" w:hAnsi="Arial" w:cs="Arial"/>
            <w:color w:val="000000"/>
            <w:sz w:val="24"/>
            <w:szCs w:val="24"/>
          </w:rPr>
          <w:delText xml:space="preserve">We estimate </w:delText>
        </w:r>
      </w:del>
      <w:del w:id="62" w:author="Di Lego Goncalves, Vanessa" w:date="2023-06-22T09:43:00Z">
        <w:r w:rsidDel="005B22C5">
          <w:rPr>
            <w:rFonts w:ascii="Arial" w:eastAsia="Arial" w:hAnsi="Arial" w:cs="Arial"/>
            <w:color w:val="000000"/>
            <w:sz w:val="24"/>
            <w:szCs w:val="24"/>
          </w:rPr>
          <w:delText>disability- and chronic disease-free life expectancies (</w:delText>
        </w:r>
      </w:del>
      <w:del w:id="63" w:author="Di Lego Goncalves, Vanessa" w:date="2023-06-22T09:44:00Z">
        <w:r w:rsidDel="005B22C5">
          <w:rPr>
            <w:rFonts w:ascii="Arial" w:eastAsia="Arial" w:hAnsi="Arial" w:cs="Arial"/>
            <w:color w:val="000000"/>
            <w:sz w:val="24"/>
            <w:szCs w:val="24"/>
          </w:rPr>
          <w:delText xml:space="preserve">DFLE and CFLE) for ages 60 and over. </w:delText>
        </w:r>
      </w:del>
      <w:r>
        <w:rPr>
          <w:rFonts w:ascii="Arial" w:eastAsia="Arial" w:hAnsi="Arial" w:cs="Arial"/>
          <w:color w:val="000000"/>
          <w:sz w:val="24"/>
          <w:szCs w:val="24"/>
        </w:rPr>
        <w:t>For disability, we use the variable constructed from a 5-item list of activities of daily living (ADLs), which include bathing, dressing, eating, getting in and out of bed, and using the toilet</w:t>
      </w:r>
      <w:r w:rsidR="0047289C">
        <w:rPr>
          <w:rFonts w:ascii="Arial" w:eastAsia="Arial" w:hAnsi="Arial" w:cs="Arial"/>
          <w:color w:val="000000"/>
          <w:sz w:val="24"/>
          <w:szCs w:val="24"/>
        </w:rPr>
        <w:t xml:space="preserve"> </w:t>
      </w:r>
      <w:r w:rsidR="0047289C">
        <w:rPr>
          <w:rFonts w:ascii="Arial" w:eastAsia="Arial" w:hAnsi="Arial" w:cs="Arial"/>
          <w:color w:val="000000"/>
          <w:sz w:val="24"/>
          <w:szCs w:val="24"/>
        </w:rPr>
        <w:fldChar w:fldCharType="begin" w:fldLock="1"/>
      </w:r>
      <w:r w:rsidR="00842EBA">
        <w:rPr>
          <w:rFonts w:ascii="Arial" w:eastAsia="Arial" w:hAnsi="Arial" w:cs="Arial"/>
          <w:color w:val="000000"/>
          <w:sz w:val="24"/>
          <w:szCs w:val="24"/>
        </w:rPr>
        <w:instrText>ADDIN CSL_CITATION {"citationItems":[{"id":"ITEM-1","itemData":{"ISSN":"0002-9262","PMID":"8610686","abstract":"Change in self-reported physical function was examined using baseline and 5 years of follow-up data between 1982 and 1991 from the four Established Populations for Epidemiologic Studies of the Elderly studies. In East Boston, Massachusetts (n = 3,809), Iowa and Washington Counties, Iowa (n = 3,673), New Haven, Connecticut (n = 2,812), and North Carolina (n = 4,163), noninstitutionalized persons aged 65 years and older were asked a series of questions to assess their physical function: a modified Katz Activities of Daily Living (ADL) scale, three items from the Rosow-Breslau Functional Health Scale, and questions on physical performance, adapted from Nagi, as well as information on demographic, social, and health characteristics. Longitudinal statistical analyses (random effects and Markov transition models) were used to evaluate improvement, stability, and deterioration in functional ability at both an individual and a population level over multiple years of data. The average decline in physical function associated with age was found to be greater than previous cross-sectional studies have suggested, and the rate of decline increased with increasing age. Considerable individual variation was evident. Although many people experienced declines, a smaller but substantial portion experienced recovery. Women reported a greater rate of decline in physical function and were less likely to recover from disability.","author":[{"dropping-particle":"","family":"Beckett","given":"L a","non-dropping-particle":"","parse-names":false,"suffix":""},{"dropping-particle":"","family":"Brock","given":"D B","non-dropping-particle":"","parse-names":false,"suffix":""},{"dropping-particle":"","family":"Lemke","given":"J H","non-dropping-particle":"","parse-names":false,"suffix":""},{"dropping-particle":"","family":"Mendes de Leon","given":"C F","non-dropping-particle":"","parse-names":false,"suffix":""},{"dropping-particle":"","family":"Guralnik","given":"J M","non-dropping-particle":"","parse-names":false,"suffix":""},{"dropping-particle":"","family":"Fillenbaum","given":"G G","non-dropping-particle":"","parse-names":false,"suffix":""},{"dropping-particle":"","family":"Branch","given":"L G","non-dropping-particle":"","parse-names":false,"suffix":""},{"dropping-particle":"","family":"Wetle","given":"T T","non-dropping-particle":"","parse-names":false,"suffix":""},{"dropping-particle":"","family":"Evans","given":"D a","non-dropping-particle":"","parse-names":false,"suffix":""}],"container-title":"American journal of epidemiology","id":"ITEM-1","issue":"8","issued":{"date-parts":[["1996"]]},"page":"766-78","title":"Analysis of change in self-reported physical function among older persons in four population studies.","type":"article-journal","volume":"143"},"uris":["http://www.mendeley.com/documents/?uuid=fcd6b937-c6ab-4fd6-8dbe-ba7d45016340"]}],"mendeley":{"formattedCitation":"(Beckett et al. 1996)","plainTextFormattedCitation":"(Beckett et al. 1996)","previouslyFormattedCitation":"(Beckett et al. 1996)"},"properties":{"noteIndex":0},"schema":"https://github.com/citation-style-language/schema/raw/master/csl-citation.json"}</w:instrText>
      </w:r>
      <w:r w:rsidR="0047289C">
        <w:rPr>
          <w:rFonts w:ascii="Arial" w:eastAsia="Arial" w:hAnsi="Arial" w:cs="Arial"/>
          <w:color w:val="000000"/>
          <w:sz w:val="24"/>
          <w:szCs w:val="24"/>
        </w:rPr>
        <w:fldChar w:fldCharType="separate"/>
      </w:r>
      <w:r w:rsidR="0047289C" w:rsidRPr="0047289C">
        <w:rPr>
          <w:rFonts w:ascii="Arial" w:eastAsia="Arial" w:hAnsi="Arial" w:cs="Arial"/>
          <w:noProof/>
          <w:color w:val="000000"/>
          <w:sz w:val="24"/>
          <w:szCs w:val="24"/>
        </w:rPr>
        <w:t>(Beckett et al. 1996)</w:t>
      </w:r>
      <w:r w:rsidR="0047289C">
        <w:rPr>
          <w:rFonts w:ascii="Arial" w:eastAsia="Arial" w:hAnsi="Arial" w:cs="Arial"/>
          <w:color w:val="000000"/>
          <w:sz w:val="24"/>
          <w:szCs w:val="24"/>
        </w:rPr>
        <w:fldChar w:fldCharType="end"/>
      </w:r>
      <w:r>
        <w:rPr>
          <w:rFonts w:ascii="Arial" w:eastAsia="Arial" w:hAnsi="Arial" w:cs="Arial"/>
          <w:color w:val="000000"/>
          <w:sz w:val="24"/>
          <w:szCs w:val="24"/>
        </w:rPr>
        <w:t xml:space="preserve">. For chronic doctor diagnosed diseases, we use the variables on specific chronic conditions diagnosed by a physician, which include diabetes, heart conditions, arthritis, cancer, stroke and lung disease. </w:t>
      </w:r>
      <w:r w:rsidRPr="005E371A">
        <w:rPr>
          <w:rFonts w:ascii="Arial" w:eastAsia="Arial" w:hAnsi="Arial" w:cs="Arial"/>
          <w:color w:val="000000"/>
          <w:sz w:val="24"/>
          <w:szCs w:val="24"/>
        </w:rPr>
        <w:t xml:space="preserve">Using the respective weighted proportions of women and men who report a limitation in activities of daily living (ADL) and of at least one chronic doctor diagnosed disease (Chronic) in the population for each survey, we computed the </w:t>
      </w:r>
      <w:proofErr w:type="spellStart"/>
      <w:ins w:id="64" w:author="Di Lego Goncalves, Vanessa" w:date="2023-06-22T09:38:00Z">
        <w:r w:rsidR="002B3BF7">
          <w:rPr>
            <w:rFonts w:ascii="Arial" w:eastAsia="Arial" w:hAnsi="Arial" w:cs="Arial"/>
            <w:sz w:val="24"/>
            <w:szCs w:val="24"/>
          </w:rPr>
          <w:t>the</w:t>
        </w:r>
        <w:proofErr w:type="spellEnd"/>
        <w:r w:rsidR="002B3BF7">
          <w:rPr>
            <w:rFonts w:ascii="Arial" w:eastAsia="Arial" w:hAnsi="Arial" w:cs="Arial"/>
            <w:sz w:val="24"/>
            <w:szCs w:val="24"/>
          </w:rPr>
          <w:t xml:space="preserve"> prevalence of disability and at least one chronic condition for each country </w:t>
        </w:r>
      </w:ins>
      <w:del w:id="65" w:author="Di Lego Goncalves, Vanessa" w:date="2023-06-22T09:38:00Z">
        <w:r w:rsidRPr="005E371A" w:rsidDel="002B3BF7">
          <w:rPr>
            <w:rFonts w:ascii="Arial" w:eastAsia="Arial" w:hAnsi="Arial" w:cs="Arial"/>
            <w:color w:val="000000"/>
            <w:sz w:val="24"/>
            <w:szCs w:val="24"/>
          </w:rPr>
          <w:delText xml:space="preserve">prevalence of unhealthy individuals for each condition </w:delText>
        </w:r>
      </w:del>
      <w:r w:rsidRPr="005E371A">
        <w:rPr>
          <w:rFonts w:ascii="Arial" w:eastAsia="Arial" w:hAnsi="Arial" w:cs="Arial"/>
          <w:color w:val="000000"/>
          <w:sz w:val="24"/>
          <w:szCs w:val="24"/>
        </w:rPr>
        <w:t>and by 5-year age groups</w:t>
      </w:r>
      <w:ins w:id="66" w:author="Di Lego Goncalves, Vanessa" w:date="2023-06-22T09:39:00Z">
        <w:r w:rsidR="007E07B6">
          <w:rPr>
            <w:rFonts w:ascii="Arial" w:eastAsia="Arial" w:hAnsi="Arial" w:cs="Arial"/>
            <w:color w:val="000000"/>
            <w:sz w:val="24"/>
            <w:szCs w:val="24"/>
          </w:rPr>
          <w:t xml:space="preserve"> for women and men separately</w:t>
        </w:r>
      </w:ins>
      <w:r>
        <w:rPr>
          <w:rFonts w:ascii="Arial" w:eastAsia="Arial" w:hAnsi="Arial" w:cs="Arial"/>
          <w:color w:val="000000"/>
          <w:sz w:val="24"/>
          <w:szCs w:val="24"/>
        </w:rPr>
        <w:t>.</w:t>
      </w:r>
      <w:ins w:id="67" w:author="Di Lego Goncalves, Vanessa" w:date="2023-06-22T09:37:00Z">
        <w:r w:rsidR="00293B95">
          <w:rPr>
            <w:rFonts w:ascii="Arial" w:eastAsia="Arial" w:hAnsi="Arial" w:cs="Arial"/>
            <w:color w:val="000000"/>
            <w:sz w:val="24"/>
            <w:szCs w:val="24"/>
          </w:rPr>
          <w:t xml:space="preserve"> </w:t>
        </w:r>
      </w:ins>
      <w:ins w:id="68" w:author="Di Lego Goncalves, Vanessa" w:date="2023-06-22T09:41:00Z">
        <w:r w:rsidR="00DA586B">
          <w:rPr>
            <w:rFonts w:ascii="Arial" w:eastAsia="Arial" w:hAnsi="Arial" w:cs="Arial"/>
            <w:color w:val="000000"/>
            <w:sz w:val="24"/>
            <w:szCs w:val="24"/>
          </w:rPr>
          <w:t>We then</w:t>
        </w:r>
      </w:ins>
      <w:ins w:id="69" w:author="Di Lego Goncalves, Vanessa" w:date="2023-06-22T09:39:00Z">
        <w:r w:rsidR="007E07B6">
          <w:rPr>
            <w:rFonts w:ascii="Arial" w:eastAsia="Arial" w:hAnsi="Arial" w:cs="Arial"/>
            <w:sz w:val="24"/>
            <w:szCs w:val="24"/>
          </w:rPr>
          <w:t xml:space="preserve"> </w:t>
        </w:r>
      </w:ins>
      <w:ins w:id="70" w:author="Di Lego Goncalves, Vanessa" w:date="2023-06-22T09:38:00Z">
        <w:r w:rsidR="002B3BF7">
          <w:rPr>
            <w:rFonts w:ascii="Arial" w:eastAsia="Arial" w:hAnsi="Arial" w:cs="Arial"/>
            <w:sz w:val="24"/>
            <w:szCs w:val="24"/>
          </w:rPr>
          <w:t xml:space="preserve">combine it with the total number of person-years lived obtained from the </w:t>
        </w:r>
      </w:ins>
      <w:ins w:id="71" w:author="Di Lego Goncalves, Vanessa" w:date="2023-06-22T09:41:00Z">
        <w:r w:rsidR="00DA586B">
          <w:rPr>
            <w:rFonts w:ascii="Arial" w:eastAsia="Arial" w:hAnsi="Arial" w:cs="Arial"/>
            <w:sz w:val="24"/>
            <w:szCs w:val="24"/>
          </w:rPr>
          <w:t xml:space="preserve">United Nations </w:t>
        </w:r>
      </w:ins>
      <w:ins w:id="72" w:author="Di Lego Goncalves, Vanessa" w:date="2023-06-22T09:38:00Z">
        <w:r w:rsidR="002B3BF7">
          <w:rPr>
            <w:rFonts w:ascii="Arial" w:eastAsia="Arial" w:hAnsi="Arial" w:cs="Arial"/>
            <w:sz w:val="24"/>
            <w:szCs w:val="24"/>
          </w:rPr>
          <w:t>life tables</w:t>
        </w:r>
      </w:ins>
      <w:ins w:id="73" w:author="Di Lego Goncalves, Vanessa" w:date="2023-06-22T09:41:00Z">
        <w:r w:rsidR="00DA586B">
          <w:rPr>
            <w:rFonts w:ascii="Arial" w:eastAsia="Arial" w:hAnsi="Arial" w:cs="Arial"/>
            <w:sz w:val="24"/>
            <w:szCs w:val="24"/>
          </w:rPr>
          <w:t xml:space="preserve"> (ONS for England)</w:t>
        </w:r>
      </w:ins>
      <w:ins w:id="74" w:author="Di Lego Goncalves, Vanessa" w:date="2023-06-22T09:38:00Z">
        <w:r w:rsidR="002B3BF7">
          <w:rPr>
            <w:rFonts w:ascii="Arial" w:eastAsia="Arial" w:hAnsi="Arial" w:cs="Arial"/>
            <w:sz w:val="24"/>
            <w:szCs w:val="24"/>
          </w:rPr>
          <w:t xml:space="preserve">. </w:t>
        </w:r>
      </w:ins>
      <w:ins w:id="75" w:author="Di Lego Goncalves, Vanessa" w:date="2023-06-22T09:40:00Z">
        <w:r w:rsidR="007E07B6">
          <w:rPr>
            <w:rFonts w:ascii="Arial" w:eastAsia="Arial" w:hAnsi="Arial" w:cs="Arial"/>
            <w:sz w:val="24"/>
            <w:szCs w:val="24"/>
          </w:rPr>
          <w:t>The number of person-years lived free of disability (</w:t>
        </w:r>
        <m:oMath>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sPre>
                    <m:sPrePr>
                      <m:ctrlPr>
                        <w:rPr>
                          <w:rFonts w:ascii="Cambria Math" w:eastAsia="Cambria Math" w:hAnsi="Cambria Math" w:cs="Cambria Math"/>
                          <w:i/>
                          <w:sz w:val="24"/>
                          <w:szCs w:val="24"/>
                        </w:rPr>
                      </m:ctrlPr>
                    </m:sPrePr>
                    <m:sub>
                      <m:r>
                        <w:rPr>
                          <w:rFonts w:ascii="Cambria Math" w:eastAsia="Cambria Math" w:hAnsi="Cambria Math" w:cs="Cambria Math"/>
                          <w:sz w:val="24"/>
                          <w:szCs w:val="24"/>
                        </w:rPr>
                        <m:t>n</m:t>
                      </m:r>
                    </m:sub>
                    <m:sup/>
                    <m:e>
                      <m:r>
                        <w:rPr>
                          <w:rFonts w:ascii="Cambria Math" w:eastAsia="Cambria Math" w:hAnsi="Cambria Math" w:cs="Cambria Math"/>
                          <w:sz w:val="24"/>
                          <w:szCs w:val="24"/>
                        </w:rPr>
                        <m:t>L</m:t>
                      </m:r>
                    </m:e>
                  </m:sPre>
                </m:e>
                <m:sub>
                  <m:r>
                    <w:rPr>
                      <w:rFonts w:ascii="Cambria Math" w:eastAsia="Cambria Math" w:hAnsi="Cambria Math" w:cs="Cambria Math"/>
                      <w:sz w:val="24"/>
                      <w:szCs w:val="24"/>
                    </w:rPr>
                    <m:t>x</m:t>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oMath>
        <w:r w:rsidR="007E07B6">
          <w:rPr>
            <w:rFonts w:ascii="Arial" w:eastAsia="Arial" w:hAnsi="Arial" w:cs="Arial"/>
            <w:sz w:val="24"/>
            <w:szCs w:val="24"/>
          </w:rPr>
          <w:t>) is calculated as,</w:t>
        </w:r>
      </w:ins>
    </w:p>
    <w:p w14:paraId="4ED6D3B8" w14:textId="77777777" w:rsidR="007E07B6" w:rsidRDefault="007E07B6" w:rsidP="007E07B6">
      <w:pPr>
        <w:spacing w:after="0"/>
        <w:rPr>
          <w:ins w:id="76" w:author="Di Lego Goncalves, Vanessa" w:date="2023-06-22T09:40:00Z"/>
          <w:rFonts w:ascii="Arial" w:eastAsia="Arial" w:hAnsi="Arial" w:cs="Arial"/>
          <w:sz w:val="24"/>
          <w:szCs w:val="24"/>
        </w:rPr>
      </w:pPr>
    </w:p>
    <w:p w14:paraId="22850779" w14:textId="77777777" w:rsidR="007E07B6" w:rsidRPr="00152047" w:rsidRDefault="007E07B6" w:rsidP="007E07B6">
      <w:pPr>
        <w:jc w:val="center"/>
        <w:rPr>
          <w:ins w:id="77" w:author="Di Lego Goncalves, Vanessa" w:date="2023-06-22T09:40:00Z"/>
        </w:rPr>
      </w:pPr>
      <m:oMath>
        <m:r>
          <w:ins w:id="78" w:author="Di Lego Goncalves, Vanessa" w:date="2023-06-22T09:40:00Z">
            <w:rPr>
              <w:rFonts w:ascii="Cambria Math" w:eastAsia="Cambria Math" w:hAnsi="Cambria Math" w:cs="Cambria Math"/>
              <w:sz w:val="24"/>
              <w:szCs w:val="24"/>
            </w:rPr>
            <m:t xml:space="preserve"> </m:t>
          </w:ins>
        </m:r>
        <m:sSub>
          <m:sSubPr>
            <m:ctrlPr>
              <w:ins w:id="79" w:author="Di Lego Goncalves, Vanessa" w:date="2023-06-22T09:40:00Z">
                <w:rPr>
                  <w:rFonts w:ascii="Cambria Math" w:eastAsia="Cambria Math" w:hAnsi="Cambria Math" w:cs="Cambria Math"/>
                  <w:sz w:val="24"/>
                  <w:szCs w:val="24"/>
                </w:rPr>
              </w:ins>
            </m:ctrlPr>
          </m:sSubPr>
          <m:e>
            <m:sSubSup>
              <m:sSubSupPr>
                <m:ctrlPr>
                  <w:ins w:id="80" w:author="Di Lego Goncalves, Vanessa" w:date="2023-06-22T09:40:00Z">
                    <w:rPr>
                      <w:rFonts w:ascii="Cambria Math" w:eastAsia="Cambria Math" w:hAnsi="Cambria Math" w:cs="Cambria Math"/>
                      <w:sz w:val="24"/>
                      <w:szCs w:val="24"/>
                    </w:rPr>
                  </w:ins>
                </m:ctrlPr>
              </m:sSubSupPr>
              <m:e>
                <m:sPre>
                  <m:sPrePr>
                    <m:ctrlPr>
                      <w:ins w:id="81" w:author="Di Lego Goncalves, Vanessa" w:date="2023-06-22T09:40:00Z">
                        <w:rPr>
                          <w:rFonts w:ascii="Cambria Math" w:eastAsia="Cambria Math" w:hAnsi="Cambria Math" w:cs="Cambria Math"/>
                          <w:i/>
                          <w:sz w:val="24"/>
                          <w:szCs w:val="24"/>
                        </w:rPr>
                      </w:ins>
                    </m:ctrlPr>
                  </m:sPrePr>
                  <m:sub>
                    <m:r>
                      <w:ins w:id="82" w:author="Di Lego Goncalves, Vanessa" w:date="2023-06-22T09:40:00Z">
                        <w:rPr>
                          <w:rFonts w:ascii="Cambria Math" w:eastAsia="Cambria Math" w:hAnsi="Cambria Math" w:cs="Cambria Math"/>
                          <w:sz w:val="24"/>
                          <w:szCs w:val="24"/>
                        </w:rPr>
                        <m:t>n</m:t>
                      </w:ins>
                    </m:r>
                  </m:sub>
                  <m:sup/>
                  <m:e>
                    <m:sSub>
                      <m:sSubPr>
                        <m:ctrlPr>
                          <w:ins w:id="83" w:author="Di Lego Goncalves, Vanessa" w:date="2023-06-22T09:40:00Z">
                            <w:rPr>
                              <w:rFonts w:ascii="Cambria Math" w:eastAsia="Cambria Math" w:hAnsi="Cambria Math" w:cs="Cambria Math"/>
                              <w:sz w:val="24"/>
                              <w:szCs w:val="24"/>
                            </w:rPr>
                          </w:ins>
                        </m:ctrlPr>
                      </m:sSubPr>
                      <m:e>
                        <m:sSubSup>
                          <m:sSubSupPr>
                            <m:ctrlPr>
                              <w:ins w:id="84" w:author="Di Lego Goncalves, Vanessa" w:date="2023-06-22T09:40:00Z">
                                <w:rPr>
                                  <w:rFonts w:ascii="Cambria Math" w:eastAsia="Cambria Math" w:hAnsi="Cambria Math" w:cs="Cambria Math"/>
                                  <w:sz w:val="24"/>
                                  <w:szCs w:val="24"/>
                                </w:rPr>
                              </w:ins>
                            </m:ctrlPr>
                          </m:sSubSupPr>
                          <m:e>
                            <m:r>
                              <w:ins w:id="85" w:author="Di Lego Goncalves, Vanessa" w:date="2023-06-22T09:40:00Z">
                                <w:rPr>
                                  <w:rFonts w:ascii="Cambria Math" w:eastAsia="Cambria Math" w:hAnsi="Cambria Math" w:cs="Cambria Math"/>
                                  <w:sz w:val="24"/>
                                  <w:szCs w:val="24"/>
                                </w:rPr>
                                <m:t>L</m:t>
                              </w:ins>
                            </m:r>
                          </m:e>
                          <m:sub>
                            <m:r>
                              <w:ins w:id="86" w:author="Di Lego Goncalves, Vanessa" w:date="2023-06-22T09:40:00Z">
                                <w:rPr>
                                  <w:rFonts w:ascii="Cambria Math" w:eastAsia="Cambria Math" w:hAnsi="Cambria Math" w:cs="Cambria Math"/>
                                  <w:sz w:val="24"/>
                                  <w:szCs w:val="24"/>
                                </w:rPr>
                                <m:t>x</m:t>
                              </w:ins>
                            </m:r>
                          </m:sub>
                          <m:sup>
                            <m:r>
                              <w:ins w:id="87" w:author="Di Lego Goncalves, Vanessa" w:date="2023-06-22T09:40:00Z">
                                <w:rPr>
                                  <w:rFonts w:ascii="Cambria Math" w:eastAsia="Cambria Math" w:hAnsi="Cambria Math" w:cs="Cambria Math"/>
                                  <w:sz w:val="24"/>
                                  <w:szCs w:val="24"/>
                                </w:rPr>
                                <m:t xml:space="preserve"> </m:t>
                              </w:ins>
                            </m:r>
                          </m:sup>
                        </m:sSubSup>
                      </m:e>
                      <m:sub>
                        <m:r>
                          <w:ins w:id="88" w:author="Di Lego Goncalves, Vanessa" w:date="2023-06-22T09:40:00Z">
                            <w:rPr>
                              <w:rFonts w:ascii="Cambria Math" w:eastAsia="Cambria Math" w:hAnsi="Cambria Math" w:cs="Cambria Math"/>
                              <w:sz w:val="24"/>
                              <w:szCs w:val="24"/>
                            </w:rPr>
                            <m:t xml:space="preserve"> </m:t>
                          </w:ins>
                        </m:r>
                      </m:sub>
                    </m:sSub>
                  </m:e>
                </m:sPre>
              </m:e>
              <m:sub/>
              <m:sup>
                <m:r>
                  <w:ins w:id="89" w:author="Di Lego Goncalves, Vanessa" w:date="2023-06-22T09:40:00Z">
                    <w:rPr>
                      <w:rFonts w:ascii="Cambria Math" w:eastAsia="Cambria Math" w:hAnsi="Cambria Math" w:cs="Cambria Math"/>
                      <w:sz w:val="24"/>
                      <w:szCs w:val="24"/>
                    </w:rPr>
                    <m:t>i</m:t>
                  </w:ins>
                </m:r>
              </m:sup>
            </m:sSubSup>
          </m:e>
          <m:sub>
            <m:r>
              <w:ins w:id="90" w:author="Di Lego Goncalves, Vanessa" w:date="2023-06-22T09:40:00Z">
                <w:rPr>
                  <w:rFonts w:ascii="Cambria Math" w:eastAsia="Cambria Math" w:hAnsi="Cambria Math" w:cs="Cambria Math"/>
                  <w:sz w:val="24"/>
                  <w:szCs w:val="24"/>
                </w:rPr>
                <m:t xml:space="preserve"> </m:t>
              </w:ins>
            </m:r>
          </m:sub>
        </m:sSub>
        <m:r>
          <w:ins w:id="91" w:author="Di Lego Goncalves, Vanessa" w:date="2023-06-22T09:40:00Z">
            <w:rPr>
              <w:rFonts w:ascii="Cambria Math" w:eastAsia="Cambria Math" w:hAnsi="Cambria Math" w:cs="Cambria Math"/>
              <w:sz w:val="24"/>
              <w:szCs w:val="24"/>
            </w:rPr>
            <m:t>=</m:t>
          </w:ins>
        </m:r>
        <m:sPre>
          <m:sPrePr>
            <m:ctrlPr>
              <w:ins w:id="92" w:author="Di Lego Goncalves, Vanessa" w:date="2023-06-22T09:40:00Z">
                <w:rPr>
                  <w:rFonts w:ascii="Cambria Math" w:eastAsia="Cambria Math" w:hAnsi="Cambria Math" w:cs="Cambria Math"/>
                  <w:i/>
                  <w:sz w:val="24"/>
                  <w:szCs w:val="24"/>
                </w:rPr>
              </w:ins>
            </m:ctrlPr>
          </m:sPrePr>
          <m:sub>
            <m:r>
              <w:ins w:id="93" w:author="Di Lego Goncalves, Vanessa" w:date="2023-06-22T09:40:00Z">
                <w:rPr>
                  <w:rFonts w:ascii="Cambria Math" w:eastAsia="Cambria Math" w:hAnsi="Cambria Math" w:cs="Cambria Math"/>
                  <w:sz w:val="24"/>
                  <w:szCs w:val="24"/>
                </w:rPr>
                <m:t>n</m:t>
              </w:ins>
            </m:r>
          </m:sub>
          <m:sup/>
          <m:e>
            <m:sSub>
              <m:sSubPr>
                <m:ctrlPr>
                  <w:ins w:id="94" w:author="Di Lego Goncalves, Vanessa" w:date="2023-06-22T09:40:00Z">
                    <w:rPr>
                      <w:rFonts w:ascii="Cambria Math" w:eastAsia="Cambria Math" w:hAnsi="Cambria Math" w:cs="Cambria Math"/>
                      <w:sz w:val="24"/>
                      <w:szCs w:val="24"/>
                    </w:rPr>
                  </w:ins>
                </m:ctrlPr>
              </m:sSubPr>
              <m:e>
                <m:sSubSup>
                  <m:sSubSupPr>
                    <m:ctrlPr>
                      <w:ins w:id="95" w:author="Di Lego Goncalves, Vanessa" w:date="2023-06-22T09:40:00Z">
                        <w:rPr>
                          <w:rFonts w:ascii="Cambria Math" w:eastAsia="Cambria Math" w:hAnsi="Cambria Math" w:cs="Cambria Math"/>
                          <w:sz w:val="24"/>
                          <w:szCs w:val="24"/>
                        </w:rPr>
                      </w:ins>
                    </m:ctrlPr>
                  </m:sSubSupPr>
                  <m:e>
                    <m:r>
                      <w:ins w:id="96" w:author="Di Lego Goncalves, Vanessa" w:date="2023-06-22T09:40:00Z">
                        <w:rPr>
                          <w:rFonts w:ascii="Cambria Math" w:eastAsia="Cambria Math" w:hAnsi="Cambria Math" w:cs="Cambria Math"/>
                          <w:sz w:val="24"/>
                          <w:szCs w:val="24"/>
                        </w:rPr>
                        <m:t>L</m:t>
                      </w:ins>
                    </m:r>
                  </m:e>
                  <m:sub>
                    <m:r>
                      <w:ins w:id="97" w:author="Di Lego Goncalves, Vanessa" w:date="2023-06-22T09:40:00Z">
                        <w:rPr>
                          <w:rFonts w:ascii="Cambria Math" w:eastAsia="Cambria Math" w:hAnsi="Cambria Math" w:cs="Cambria Math"/>
                          <w:sz w:val="24"/>
                          <w:szCs w:val="24"/>
                        </w:rPr>
                        <m:t>x</m:t>
                      </w:ins>
                    </m:r>
                  </m:sub>
                  <m:sup>
                    <m:r>
                      <w:ins w:id="98" w:author="Di Lego Goncalves, Vanessa" w:date="2023-06-22T09:40:00Z">
                        <w:rPr>
                          <w:rFonts w:ascii="Cambria Math" w:eastAsia="Cambria Math" w:hAnsi="Cambria Math" w:cs="Cambria Math"/>
                          <w:sz w:val="24"/>
                          <w:szCs w:val="24"/>
                        </w:rPr>
                        <m:t xml:space="preserve"> </m:t>
                      </w:ins>
                    </m:r>
                  </m:sup>
                </m:sSubSup>
              </m:e>
              <m:sub>
                <m:r>
                  <w:ins w:id="99" w:author="Di Lego Goncalves, Vanessa" w:date="2023-06-22T09:40:00Z">
                    <w:rPr>
                      <w:rFonts w:ascii="Cambria Math" w:eastAsia="Cambria Math" w:hAnsi="Cambria Math" w:cs="Cambria Math"/>
                      <w:sz w:val="24"/>
                      <w:szCs w:val="24"/>
                    </w:rPr>
                    <m:t xml:space="preserve"> </m:t>
                  </w:ins>
                </m:r>
              </m:sub>
            </m:sSub>
          </m:e>
        </m:sPre>
        <m:r>
          <w:ins w:id="100" w:author="Di Lego Goncalves, Vanessa" w:date="2023-06-22T09:40:00Z">
            <w:rPr>
              <w:rFonts w:ascii="Cambria Math" w:eastAsia="Cambria Math" w:hAnsi="Cambria Math" w:cs="Cambria Math"/>
              <w:sz w:val="24"/>
              <w:szCs w:val="24"/>
            </w:rPr>
            <m:t xml:space="preserve"> </m:t>
          </w:ins>
        </m:r>
        <m:d>
          <m:dPr>
            <m:ctrlPr>
              <w:ins w:id="101" w:author="Di Lego Goncalves, Vanessa" w:date="2023-06-22T09:40:00Z">
                <w:rPr>
                  <w:rFonts w:ascii="Cambria Math" w:eastAsia="Cambria Math" w:hAnsi="Cambria Math" w:cs="Cambria Math"/>
                  <w:sz w:val="24"/>
                  <w:szCs w:val="24"/>
                </w:rPr>
              </w:ins>
            </m:ctrlPr>
          </m:dPr>
          <m:e>
            <m:r>
              <w:ins w:id="102" w:author="Di Lego Goncalves, Vanessa" w:date="2023-06-22T09:40:00Z">
                <w:rPr>
                  <w:rFonts w:ascii="Cambria Math" w:eastAsia="Cambria Math" w:hAnsi="Cambria Math" w:cs="Cambria Math"/>
                  <w:sz w:val="24"/>
                  <w:szCs w:val="24"/>
                </w:rPr>
                <m:t xml:space="preserve">1- </m:t>
              </w:ins>
            </m:r>
            <m:sSub>
              <m:sSubPr>
                <m:ctrlPr>
                  <w:ins w:id="103" w:author="Di Lego Goncalves, Vanessa" w:date="2023-06-22T09:40:00Z">
                    <w:rPr>
                      <w:rFonts w:ascii="Cambria Math" w:eastAsia="Cambria Math" w:hAnsi="Cambria Math" w:cs="Cambria Math"/>
                      <w:sz w:val="24"/>
                      <w:szCs w:val="24"/>
                    </w:rPr>
                  </w:ins>
                </m:ctrlPr>
              </m:sSubPr>
              <m:e>
                <m:sSubSup>
                  <m:sSubSupPr>
                    <m:ctrlPr>
                      <w:ins w:id="104" w:author="Di Lego Goncalves, Vanessa" w:date="2023-06-22T09:40:00Z">
                        <w:rPr>
                          <w:rFonts w:ascii="Cambria Math" w:eastAsia="Cambria Math" w:hAnsi="Cambria Math" w:cs="Cambria Math"/>
                          <w:sz w:val="24"/>
                          <w:szCs w:val="24"/>
                        </w:rPr>
                      </w:ins>
                    </m:ctrlPr>
                  </m:sSubSupPr>
                  <m:e>
                    <m:sPre>
                      <m:sPrePr>
                        <m:ctrlPr>
                          <w:ins w:id="105" w:author="Di Lego Goncalves, Vanessa" w:date="2023-06-22T09:40:00Z">
                            <w:rPr>
                              <w:rFonts w:ascii="Cambria Math" w:eastAsia="Cambria Math" w:hAnsi="Cambria Math" w:cs="Cambria Math"/>
                              <w:i/>
                              <w:sz w:val="24"/>
                              <w:szCs w:val="24"/>
                            </w:rPr>
                          </w:ins>
                        </m:ctrlPr>
                      </m:sPrePr>
                      <m:sub>
                        <m:r>
                          <w:ins w:id="106" w:author="Di Lego Goncalves, Vanessa" w:date="2023-06-22T09:40:00Z">
                            <w:rPr>
                              <w:rFonts w:ascii="Cambria Math" w:eastAsia="Cambria Math" w:hAnsi="Cambria Math" w:cs="Cambria Math"/>
                              <w:sz w:val="24"/>
                              <w:szCs w:val="24"/>
                            </w:rPr>
                            <m:t>n</m:t>
                          </w:ins>
                        </m:r>
                      </m:sub>
                      <m:sup/>
                      <m:e>
                        <m:r>
                          <w:ins w:id="107" w:author="Di Lego Goncalves, Vanessa" w:date="2023-06-22T09:40:00Z">
                            <w:rPr>
                              <w:rFonts w:ascii="Cambria Math" w:eastAsia="Cambria Math" w:hAnsi="Cambria Math" w:cs="Cambria Math"/>
                              <w:sz w:val="24"/>
                              <w:szCs w:val="24"/>
                            </w:rPr>
                            <m:t>π</m:t>
                          </w:ins>
                        </m:r>
                      </m:e>
                    </m:sPre>
                  </m:e>
                  <m:sub>
                    <m:r>
                      <w:ins w:id="108" w:author="Di Lego Goncalves, Vanessa" w:date="2023-06-22T09:40:00Z">
                        <w:rPr>
                          <w:rFonts w:ascii="Cambria Math" w:eastAsia="Cambria Math" w:hAnsi="Cambria Math" w:cs="Cambria Math"/>
                          <w:sz w:val="24"/>
                          <w:szCs w:val="24"/>
                        </w:rPr>
                        <m:t>x</m:t>
                      </w:ins>
                    </m:r>
                  </m:sub>
                  <m:sup>
                    <m:r>
                      <w:ins w:id="109" w:author="Di Lego Goncalves, Vanessa" w:date="2023-06-22T09:40:00Z">
                        <w:rPr>
                          <w:rFonts w:ascii="Cambria Math" w:eastAsia="Cambria Math" w:hAnsi="Cambria Math" w:cs="Cambria Math"/>
                          <w:sz w:val="24"/>
                          <w:szCs w:val="24"/>
                        </w:rPr>
                        <m:t xml:space="preserve"> </m:t>
                      </w:ins>
                    </m:r>
                  </m:sup>
                </m:sSubSup>
              </m:e>
              <m:sub>
                <m:r>
                  <w:ins w:id="110" w:author="Di Lego Goncalves, Vanessa" w:date="2023-06-22T09:40:00Z">
                    <w:rPr>
                      <w:rFonts w:ascii="Cambria Math" w:eastAsia="Cambria Math" w:hAnsi="Cambria Math" w:cs="Cambria Math"/>
                      <w:sz w:val="24"/>
                      <w:szCs w:val="24"/>
                    </w:rPr>
                    <m:t xml:space="preserve"> </m:t>
                  </w:ins>
                </m:r>
              </m:sub>
            </m:sSub>
          </m:e>
        </m:d>
        <m:r>
          <w:ins w:id="111" w:author="Di Lego Goncalves, Vanessa" w:date="2023-06-22T09:40:00Z">
            <w:rPr>
              <w:rFonts w:ascii="Cambria Math" w:eastAsia="Cambria Math" w:hAnsi="Cambria Math" w:cs="Cambria Math"/>
              <w:sz w:val="24"/>
              <w:szCs w:val="24"/>
            </w:rPr>
            <m:t xml:space="preserve">    (1)</m:t>
          </w:ins>
        </m:r>
        <m:r>
          <w:ins w:id="112" w:author="Di Lego Goncalves, Vanessa" w:date="2023-06-22T09:40:00Z">
            <w:rPr>
              <w:rFonts w:ascii="Cambria Math" w:eastAsia="Cambria Math" w:hAnsi="Cambria Math" w:cs="Cambria Math"/>
            </w:rPr>
            <m:t xml:space="preserve"> </m:t>
          </w:ins>
        </m:r>
      </m:oMath>
      <w:customXmlInsRangeStart w:id="113" w:author="Di Lego Goncalves, Vanessa" w:date="2023-06-22T09:40:00Z"/>
      <w:sdt>
        <w:sdtPr>
          <w:tag w:val="goog_rdk_50"/>
          <w:id w:val="1481196652"/>
          <w:showingPlcHdr/>
        </w:sdtPr>
        <w:sdtContent>
          <w:customXmlInsRangeEnd w:id="113"/>
          <w:ins w:id="114" w:author="Di Lego Goncalves, Vanessa" w:date="2023-06-22T09:40:00Z">
            <w:r>
              <w:t xml:space="preserve">     </w:t>
            </w:r>
          </w:ins>
          <w:customXmlInsRangeStart w:id="115" w:author="Di Lego Goncalves, Vanessa" w:date="2023-06-22T09:40:00Z"/>
        </w:sdtContent>
      </w:sdt>
      <w:customXmlInsRangeEnd w:id="115"/>
    </w:p>
    <w:p w14:paraId="647C6753" w14:textId="77777777" w:rsidR="007E07B6" w:rsidRDefault="007E07B6" w:rsidP="007E07B6">
      <w:pPr>
        <w:spacing w:after="0"/>
        <w:jc w:val="center"/>
        <w:rPr>
          <w:ins w:id="116" w:author="Di Lego Goncalves, Vanessa" w:date="2023-06-22T09:40:00Z"/>
          <w:rFonts w:ascii="Arial" w:eastAsia="Arial" w:hAnsi="Arial" w:cs="Arial"/>
          <w:sz w:val="24"/>
          <w:szCs w:val="24"/>
        </w:rPr>
      </w:pPr>
    </w:p>
    <w:p w14:paraId="2A107DA6" w14:textId="1394C81A" w:rsidR="002B3BF7" w:rsidRDefault="007E07B6" w:rsidP="007E07B6">
      <w:pPr>
        <w:pBdr>
          <w:top w:val="nil"/>
          <w:left w:val="nil"/>
          <w:bottom w:val="nil"/>
          <w:right w:val="nil"/>
          <w:between w:val="nil"/>
        </w:pBdr>
        <w:spacing w:after="0" w:line="360" w:lineRule="auto"/>
        <w:jc w:val="both"/>
        <w:rPr>
          <w:ins w:id="117" w:author="Di Lego Goncalves, Vanessa" w:date="2023-06-22T09:38:00Z"/>
          <w:rFonts w:ascii="Arial" w:eastAsia="Arial" w:hAnsi="Arial" w:cs="Arial"/>
          <w:sz w:val="24"/>
          <w:szCs w:val="24"/>
        </w:rPr>
      </w:pPr>
      <w:ins w:id="118" w:author="Di Lego Goncalves, Vanessa" w:date="2023-06-22T09:40:00Z">
        <w:r>
          <w:rPr>
            <w:rFonts w:ascii="Arial" w:eastAsia="Arial" w:hAnsi="Arial" w:cs="Arial"/>
            <w:sz w:val="24"/>
            <w:szCs w:val="24"/>
          </w:rPr>
          <w:t xml:space="preserve">where </w:t>
        </w:r>
        <w:proofErr w:type="spellStart"/>
        <w:proofErr w:type="gram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r>
          <w:rPr>
            <w:rFonts w:ascii="Arial" w:eastAsia="Arial" w:hAnsi="Arial" w:cs="Arial"/>
            <w:i/>
            <w:sz w:val="24"/>
            <w:szCs w:val="24"/>
            <w:vertAlign w:val="superscript"/>
          </w:rPr>
          <w:t>i</w:t>
        </w:r>
        <w:proofErr w:type="spellEnd"/>
        <w:r>
          <w:rPr>
            <w:rFonts w:ascii="Arial" w:eastAsia="Arial" w:hAnsi="Arial" w:cs="Arial"/>
            <w:i/>
            <w:sz w:val="24"/>
            <w:szCs w:val="24"/>
          </w:rPr>
          <w:t xml:space="preserve"> </w:t>
        </w:r>
        <w:r>
          <w:rPr>
            <w:rFonts w:ascii="Arial" w:eastAsia="Arial" w:hAnsi="Arial" w:cs="Arial"/>
            <w:sz w:val="24"/>
            <w:szCs w:val="24"/>
          </w:rPr>
          <w:t xml:space="preserve"> is</w:t>
        </w:r>
        <w:proofErr w:type="gramEnd"/>
        <w:r>
          <w:rPr>
            <w:rFonts w:ascii="Arial" w:eastAsia="Arial" w:hAnsi="Arial" w:cs="Arial"/>
            <w:sz w:val="24"/>
            <w:szCs w:val="24"/>
          </w:rPr>
          <w:t xml:space="preserve"> the number of person-years lived without disability between ages</w:t>
        </w:r>
        <w:r>
          <w:rPr>
            <w:rFonts w:ascii="Arial" w:eastAsia="Arial" w:hAnsi="Arial" w:cs="Arial"/>
            <w:i/>
            <w:sz w:val="24"/>
            <w:szCs w:val="24"/>
          </w:rPr>
          <w:t xml:space="preserve"> 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w:t>
        </w:r>
        <w:proofErr w:type="spell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proofErr w:type="spellEnd"/>
        <w:r>
          <w:rPr>
            <w:rFonts w:ascii="Arial" w:eastAsia="Arial" w:hAnsi="Arial" w:cs="Arial"/>
            <w:sz w:val="24"/>
            <w:szCs w:val="24"/>
          </w:rPr>
          <w:t xml:space="preserve"> is the total number of person-years lived in the age group </w:t>
        </w:r>
        <w:r>
          <w:rPr>
            <w:rFonts w:ascii="Arial" w:eastAsia="Arial" w:hAnsi="Arial" w:cs="Arial"/>
            <w:i/>
            <w:sz w:val="24"/>
            <w:szCs w:val="24"/>
          </w:rPr>
          <w:t>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and </w:t>
        </w:r>
        <w:r>
          <w:rPr>
            <w:rFonts w:ascii="Arial" w:eastAsia="Arial" w:hAnsi="Arial" w:cs="Arial"/>
            <w:i/>
            <w:sz w:val="24"/>
            <w:szCs w:val="24"/>
            <w:vertAlign w:val="subscript"/>
          </w:rPr>
          <w:t>n</w:t>
        </w:r>
        <w:r>
          <w:rPr>
            <w:rFonts w:ascii="Arial" w:eastAsia="Arial" w:hAnsi="Arial" w:cs="Arial"/>
            <w:i/>
            <w:sz w:val="24"/>
            <w:szCs w:val="24"/>
          </w:rPr>
          <w:t>π</w:t>
        </w:r>
        <w:r>
          <w:rPr>
            <w:rFonts w:ascii="Arial" w:eastAsia="Arial" w:hAnsi="Arial" w:cs="Arial"/>
            <w:i/>
            <w:sz w:val="24"/>
            <w:szCs w:val="24"/>
            <w:vertAlign w:val="subscript"/>
          </w:rPr>
          <w:t>x</w:t>
        </w:r>
        <w:r>
          <w:rPr>
            <w:rFonts w:ascii="Arial" w:eastAsia="Arial" w:hAnsi="Arial" w:cs="Arial"/>
            <w:sz w:val="24"/>
            <w:szCs w:val="24"/>
          </w:rPr>
          <w:t xml:space="preserve"> is the proportion of disabled individuals in the age group </w:t>
        </w:r>
        <w:r>
          <w:rPr>
            <w:rFonts w:ascii="Arial" w:eastAsia="Arial" w:hAnsi="Arial" w:cs="Arial"/>
            <w:i/>
            <w:sz w:val="24"/>
            <w:szCs w:val="24"/>
          </w:rPr>
          <w:t xml:space="preserve">x </w:t>
        </w:r>
        <w:r>
          <w:rPr>
            <w:rFonts w:ascii="Arial" w:eastAsia="Arial" w:hAnsi="Arial" w:cs="Arial"/>
            <w:sz w:val="24"/>
            <w:szCs w:val="24"/>
          </w:rPr>
          <w:t xml:space="preserve">and </w:t>
        </w:r>
        <w:proofErr w:type="spellStart"/>
        <w:r>
          <w:rPr>
            <w:rFonts w:ascii="Arial" w:eastAsia="Arial" w:hAnsi="Arial" w:cs="Arial"/>
            <w:i/>
            <w:sz w:val="24"/>
            <w:szCs w:val="24"/>
          </w:rPr>
          <w:t>x+n</w:t>
        </w:r>
        <w:proofErr w:type="spellEnd"/>
        <w:r>
          <w:rPr>
            <w:rFonts w:ascii="Arial" w:eastAsia="Arial" w:hAnsi="Arial" w:cs="Arial"/>
            <w:sz w:val="24"/>
            <w:szCs w:val="24"/>
          </w:rPr>
          <w:t>. The same is for chronic-free person-years lived, however with the prevalence for at least one chronic condition instead of prevalence of ADLs, and we call the person-years derived by the same process as</w:t>
        </w:r>
      </w:ins>
    </w:p>
    <w:p w14:paraId="168A3DBE" w14:textId="506F6CE0" w:rsidR="00293B95" w:rsidRDefault="00293B95" w:rsidP="009372EB">
      <w:pPr>
        <w:pBdr>
          <w:top w:val="nil"/>
          <w:left w:val="nil"/>
          <w:bottom w:val="nil"/>
          <w:right w:val="nil"/>
          <w:between w:val="nil"/>
        </w:pBdr>
        <w:spacing w:after="0" w:line="360" w:lineRule="auto"/>
        <w:jc w:val="both"/>
        <w:rPr>
          <w:ins w:id="119" w:author="Di Lego Goncalves, Vanessa" w:date="2023-06-22T09:37:00Z"/>
          <w:rFonts w:ascii="Arial" w:eastAsia="Arial" w:hAnsi="Arial" w:cs="Arial"/>
          <w:color w:val="000000"/>
          <w:sz w:val="24"/>
          <w:szCs w:val="24"/>
        </w:rPr>
      </w:pPr>
    </w:p>
    <w:p w14:paraId="4D6F1E5D" w14:textId="7E337130"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  </w:t>
      </w:r>
      <w:ins w:id="120" w:author="Di Lego Goncalves, Vanessa" w:date="2023-06-22T09:36:00Z">
        <w:r w:rsidR="004814F8">
          <w:rPr>
            <w:rFonts w:ascii="Arial" w:eastAsia="Arial" w:hAnsi="Arial" w:cs="Arial"/>
            <w:color w:val="000000"/>
            <w:sz w:val="24"/>
            <w:szCs w:val="24"/>
          </w:rPr>
          <w:t>See SI for more details on the Sullivan method.</w:t>
        </w:r>
      </w:ins>
    </w:p>
    <w:p w14:paraId="3AECACB4" w14:textId="77777777" w:rsidR="009372EB" w:rsidRDefault="009372EB" w:rsidP="009372EB">
      <w:pPr>
        <w:pBdr>
          <w:top w:val="nil"/>
          <w:left w:val="nil"/>
          <w:bottom w:val="nil"/>
          <w:right w:val="nil"/>
          <w:between w:val="nil"/>
        </w:pBdr>
        <w:spacing w:after="0" w:line="360" w:lineRule="auto"/>
        <w:jc w:val="both"/>
        <w:rPr>
          <w:rFonts w:ascii="Arial" w:eastAsia="Arial" w:hAnsi="Arial" w:cs="Arial"/>
          <w:sz w:val="24"/>
          <w:szCs w:val="24"/>
        </w:rPr>
      </w:pPr>
    </w:p>
    <w:p w14:paraId="6538D9D6" w14:textId="04518B22" w:rsidR="00152047" w:rsidRDefault="009372EB" w:rsidP="009372EB">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For each age group, we estimate the prevalence of disability and at least one chronic </w:t>
      </w:r>
      <w:del w:id="121" w:author="Nepomuceno, Marilia" w:date="2023-05-15T16:37:00Z">
        <w:r w:rsidDel="00101673">
          <w:rPr>
            <w:rFonts w:ascii="Arial" w:eastAsia="Arial" w:hAnsi="Arial" w:cs="Arial"/>
            <w:sz w:val="24"/>
            <w:szCs w:val="24"/>
          </w:rPr>
          <w:delText xml:space="preserve">doctor diagnosed </w:delText>
        </w:r>
      </w:del>
      <w:r>
        <w:rPr>
          <w:rFonts w:ascii="Arial" w:eastAsia="Arial" w:hAnsi="Arial" w:cs="Arial"/>
          <w:sz w:val="24"/>
          <w:szCs w:val="24"/>
        </w:rPr>
        <w:t xml:space="preserve">condition </w:t>
      </w:r>
      <w:del w:id="122" w:author="Nepomuceno, Marilia" w:date="2023-05-15T16:38:00Z">
        <w:r w:rsidDel="004A3CE9">
          <w:rPr>
            <w:rFonts w:ascii="Arial" w:eastAsia="Arial" w:hAnsi="Arial" w:cs="Arial"/>
            <w:sz w:val="24"/>
            <w:szCs w:val="24"/>
          </w:rPr>
          <w:delText xml:space="preserve">from the survey data </w:delText>
        </w:r>
      </w:del>
      <w:r>
        <w:rPr>
          <w:rFonts w:ascii="Arial" w:eastAsia="Arial" w:hAnsi="Arial" w:cs="Arial"/>
          <w:sz w:val="24"/>
          <w:szCs w:val="24"/>
        </w:rPr>
        <w:t xml:space="preserve">for each country and combine it with the total number of person-years lived obtained from the life tables. </w:t>
      </w:r>
    </w:p>
    <w:p w14:paraId="00220F4D" w14:textId="77777777" w:rsidR="00152047" w:rsidRDefault="00152047" w:rsidP="009372EB">
      <w:pPr>
        <w:pBdr>
          <w:top w:val="nil"/>
          <w:left w:val="nil"/>
          <w:bottom w:val="nil"/>
          <w:right w:val="nil"/>
          <w:between w:val="nil"/>
        </w:pBdr>
        <w:spacing w:after="0" w:line="360" w:lineRule="auto"/>
        <w:jc w:val="both"/>
        <w:rPr>
          <w:rFonts w:ascii="Arial" w:eastAsia="Arial" w:hAnsi="Arial" w:cs="Arial"/>
          <w:sz w:val="24"/>
          <w:szCs w:val="24"/>
        </w:rPr>
      </w:pPr>
    </w:p>
    <w:p w14:paraId="24AA43D8" w14:textId="3AB8E38E" w:rsidR="009372EB" w:rsidRPr="004B6F17"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The number of person-years lived free of disability (</w:t>
      </w:r>
      <m:oMath>
        <m:r>
          <w:del w:id="123" w:author="Nepomuceno, Marilia" w:date="2023-05-15T16:40:00Z">
            <w:rPr>
              <w:rFonts w:ascii="Cambria Math" w:eastAsia="Cambria Math" w:hAnsi="Cambria Math" w:cs="Cambria Math"/>
              <w:sz w:val="24"/>
              <w:szCs w:val="24"/>
            </w:rPr>
            <m:t>n</m:t>
          </w:del>
        </m:r>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sPre>
                  <m:sPrePr>
                    <m:ctrlPr>
                      <w:ins w:id="124" w:author="Nepomuceno, Marilia" w:date="2023-05-15T16:40:00Z">
                        <w:rPr>
                          <w:rFonts w:ascii="Cambria Math" w:eastAsia="Cambria Math" w:hAnsi="Cambria Math" w:cs="Cambria Math"/>
                          <w:i/>
                          <w:sz w:val="24"/>
                          <w:szCs w:val="24"/>
                        </w:rPr>
                      </w:ins>
                    </m:ctrlPr>
                  </m:sPrePr>
                  <m:sub>
                    <m:r>
                      <w:ins w:id="125" w:author="Nepomuceno, Marilia" w:date="2023-05-15T16:40:00Z">
                        <w:rPr>
                          <w:rFonts w:ascii="Cambria Math" w:eastAsia="Cambria Math" w:hAnsi="Cambria Math" w:cs="Cambria Math"/>
                          <w:sz w:val="24"/>
                          <w:szCs w:val="24"/>
                        </w:rPr>
                        <m:t>n</m:t>
                      </w:ins>
                    </m:r>
                  </m:sub>
                  <m:sup/>
                  <m:e>
                    <m:r>
                      <w:ins w:id="126" w:author="Nepomuceno, Marilia" w:date="2023-05-15T16:40:00Z">
                        <w:rPr>
                          <w:rFonts w:ascii="Cambria Math" w:eastAsia="Cambria Math" w:hAnsi="Cambria Math" w:cs="Cambria Math"/>
                          <w:sz w:val="24"/>
                          <w:szCs w:val="24"/>
                        </w:rPr>
                        <m:t>L</m:t>
                      </w:ins>
                    </m:r>
                  </m:e>
                </m:sPre>
                <m:r>
                  <w:del w:id="127" w:author="Nepomuceno, Marilia" w:date="2023-05-15T16:40:00Z">
                    <w:rPr>
                      <w:rFonts w:ascii="Cambria Math" w:eastAsia="Cambria Math" w:hAnsi="Cambria Math" w:cs="Cambria Math"/>
                      <w:sz w:val="24"/>
                      <w:szCs w:val="24"/>
                    </w:rPr>
                    <m:t>L</m:t>
                  </w:del>
                </m:r>
              </m:e>
              <m:sub>
                <m:r>
                  <w:rPr>
                    <w:rFonts w:ascii="Cambria Math" w:eastAsia="Cambria Math" w:hAnsi="Cambria Math" w:cs="Cambria Math"/>
                    <w:sz w:val="24"/>
                    <w:szCs w:val="24"/>
                  </w:rPr>
                  <m:t>x</m:t>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oMath>
      <w:r>
        <w:rPr>
          <w:rFonts w:ascii="Arial" w:eastAsia="Arial" w:hAnsi="Arial" w:cs="Arial"/>
          <w:sz w:val="24"/>
          <w:szCs w:val="24"/>
        </w:rPr>
        <w:t>) is calculated as,</w:t>
      </w:r>
    </w:p>
    <w:p w14:paraId="32F96FC4" w14:textId="77777777" w:rsidR="009372EB" w:rsidRDefault="009372EB" w:rsidP="009372EB">
      <w:pPr>
        <w:spacing w:after="0"/>
        <w:rPr>
          <w:rFonts w:ascii="Arial" w:eastAsia="Arial" w:hAnsi="Arial" w:cs="Arial"/>
          <w:sz w:val="24"/>
          <w:szCs w:val="24"/>
        </w:rPr>
      </w:pPr>
    </w:p>
    <w:p w14:paraId="329FDAC8" w14:textId="5657350D" w:rsidR="009372EB" w:rsidRPr="00152047" w:rsidRDefault="009372EB" w:rsidP="00152047">
      <w:pPr>
        <w:jc w:val="center"/>
      </w:pPr>
      <m:oMath>
        <m:r>
          <w:del w:id="128" w:author="Nepomuceno, Marilia" w:date="2023-05-15T16:39:00Z">
            <w:rPr>
              <w:rFonts w:ascii="Cambria Math" w:eastAsia="Cambria Math" w:hAnsi="Cambria Math" w:cs="Cambria Math"/>
              <w:sz w:val="24"/>
              <w:szCs w:val="24"/>
            </w:rPr>
            <w:lastRenderedPageBreak/>
            <m:t>n</m:t>
          </w:del>
        </m:r>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sPre>
                  <m:sPrePr>
                    <m:ctrlPr>
                      <w:ins w:id="129" w:author="Nepomuceno, Marilia" w:date="2023-05-15T16:39:00Z">
                        <w:rPr>
                          <w:rFonts w:ascii="Cambria Math" w:eastAsia="Cambria Math" w:hAnsi="Cambria Math" w:cs="Cambria Math"/>
                          <w:i/>
                          <w:sz w:val="24"/>
                          <w:szCs w:val="24"/>
                        </w:rPr>
                      </w:ins>
                    </m:ctrlPr>
                  </m:sPrePr>
                  <m:sub>
                    <m:r>
                      <w:ins w:id="130" w:author="Nepomuceno, Marilia" w:date="2023-05-15T16:39:00Z">
                        <w:rPr>
                          <w:rFonts w:ascii="Cambria Math" w:eastAsia="Cambria Math" w:hAnsi="Cambria Math" w:cs="Cambria Math"/>
                          <w:sz w:val="24"/>
                          <w:szCs w:val="24"/>
                        </w:rPr>
                        <m:t>n</m:t>
                      </w:ins>
                    </m:r>
                  </m:sub>
                  <m:sup/>
                  <m:e>
                    <m:sSub>
                      <m:sSubPr>
                        <m:ctrlPr>
                          <w:ins w:id="131" w:author="Nepomuceno, Marilia" w:date="2023-05-15T16:39:00Z">
                            <w:rPr>
                              <w:rFonts w:ascii="Cambria Math" w:eastAsia="Cambria Math" w:hAnsi="Cambria Math" w:cs="Cambria Math"/>
                              <w:sz w:val="24"/>
                              <w:szCs w:val="24"/>
                            </w:rPr>
                          </w:ins>
                        </m:ctrlPr>
                      </m:sSubPr>
                      <m:e>
                        <m:sSubSup>
                          <m:sSubSupPr>
                            <m:ctrlPr>
                              <w:ins w:id="132" w:author="Nepomuceno, Marilia" w:date="2023-05-15T16:39:00Z">
                                <w:rPr>
                                  <w:rFonts w:ascii="Cambria Math" w:eastAsia="Cambria Math" w:hAnsi="Cambria Math" w:cs="Cambria Math"/>
                                  <w:sz w:val="24"/>
                                  <w:szCs w:val="24"/>
                                </w:rPr>
                              </w:ins>
                            </m:ctrlPr>
                          </m:sSubSupPr>
                          <m:e>
                            <m:r>
                              <w:ins w:id="133" w:author="Nepomuceno, Marilia" w:date="2023-05-15T16:39:00Z">
                                <w:rPr>
                                  <w:rFonts w:ascii="Cambria Math" w:eastAsia="Cambria Math" w:hAnsi="Cambria Math" w:cs="Cambria Math"/>
                                  <w:sz w:val="24"/>
                                  <w:szCs w:val="24"/>
                                </w:rPr>
                                <m:t>L</m:t>
                              </w:ins>
                            </m:r>
                          </m:e>
                          <m:sub>
                            <m:r>
                              <w:ins w:id="134" w:author="Nepomuceno, Marilia" w:date="2023-05-15T16:39:00Z">
                                <w:rPr>
                                  <w:rFonts w:ascii="Cambria Math" w:eastAsia="Cambria Math" w:hAnsi="Cambria Math" w:cs="Cambria Math"/>
                                  <w:sz w:val="24"/>
                                  <w:szCs w:val="24"/>
                                </w:rPr>
                                <m:t>x</m:t>
                              </w:ins>
                            </m:r>
                          </m:sub>
                          <m:sup>
                            <m:r>
                              <w:ins w:id="135" w:author="Nepomuceno, Marilia" w:date="2023-05-15T16:39:00Z">
                                <w:rPr>
                                  <w:rFonts w:ascii="Cambria Math" w:eastAsia="Cambria Math" w:hAnsi="Cambria Math" w:cs="Cambria Math"/>
                                  <w:sz w:val="24"/>
                                  <w:szCs w:val="24"/>
                                </w:rPr>
                                <m:t xml:space="preserve"> </m:t>
                              </w:ins>
                            </m:r>
                          </m:sup>
                        </m:sSubSup>
                      </m:e>
                      <m:sub>
                        <m:r>
                          <w:ins w:id="136" w:author="Nepomuceno, Marilia" w:date="2023-05-15T16:39:00Z">
                            <w:rPr>
                              <w:rFonts w:ascii="Cambria Math" w:eastAsia="Cambria Math" w:hAnsi="Cambria Math" w:cs="Cambria Math"/>
                              <w:sz w:val="24"/>
                              <w:szCs w:val="24"/>
                            </w:rPr>
                            <m:t xml:space="preserve"> </m:t>
                          </w:ins>
                        </m:r>
                      </m:sub>
                    </m:sSub>
                  </m:e>
                </m:sPre>
                <m:r>
                  <w:del w:id="137" w:author="Nepomuceno, Marilia" w:date="2023-05-15T16:39:00Z">
                    <w:rPr>
                      <w:rFonts w:ascii="Cambria Math" w:eastAsia="Cambria Math" w:hAnsi="Cambria Math" w:cs="Cambria Math"/>
                      <w:sz w:val="24"/>
                      <w:szCs w:val="24"/>
                    </w:rPr>
                    <m:t>L</m:t>
                  </w:del>
                </m:r>
              </m:e>
              <m:sub>
                <m:r>
                  <w:del w:id="138" w:author="Nepomuceno, Marilia" w:date="2023-05-15T16:39:00Z">
                    <w:rPr>
                      <w:rFonts w:ascii="Cambria Math" w:eastAsia="Cambria Math" w:hAnsi="Cambria Math" w:cs="Cambria Math"/>
                      <w:sz w:val="24"/>
                      <w:szCs w:val="24"/>
                    </w:rPr>
                    <m:t>x</m:t>
                  </w:del>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r>
          <w:rPr>
            <w:rFonts w:ascii="Cambria Math" w:eastAsia="Cambria Math" w:hAnsi="Cambria Math" w:cs="Cambria Math"/>
            <w:sz w:val="24"/>
            <w:szCs w:val="24"/>
          </w:rPr>
          <m:t>=</m:t>
        </m:r>
        <m:r>
          <w:del w:id="139" w:author="Nepomuceno, Marilia" w:date="2023-05-15T16:39:00Z">
            <w:rPr>
              <w:rFonts w:ascii="Cambria Math" w:eastAsia="Cambria Math" w:hAnsi="Cambria Math" w:cs="Cambria Math"/>
              <w:sz w:val="24"/>
              <w:szCs w:val="24"/>
            </w:rPr>
            <m:t>n</m:t>
          </w:del>
        </m:r>
        <m:sPre>
          <m:sPrePr>
            <m:ctrlPr>
              <w:ins w:id="140" w:author="Nepomuceno, Marilia" w:date="2023-05-15T16:39:00Z">
                <w:rPr>
                  <w:rFonts w:ascii="Cambria Math" w:eastAsia="Cambria Math" w:hAnsi="Cambria Math" w:cs="Cambria Math"/>
                  <w:i/>
                  <w:sz w:val="24"/>
                  <w:szCs w:val="24"/>
                </w:rPr>
              </w:ins>
            </m:ctrlPr>
          </m:sPrePr>
          <m:sub>
            <m:r>
              <w:ins w:id="141" w:author="Nepomuceno, Marilia" w:date="2023-05-15T16:39:00Z">
                <w:rPr>
                  <w:rFonts w:ascii="Cambria Math" w:eastAsia="Cambria Math" w:hAnsi="Cambria Math" w:cs="Cambria Math"/>
                  <w:sz w:val="24"/>
                  <w:szCs w:val="24"/>
                </w:rPr>
                <m:t>n</m:t>
              </w:ins>
            </m:r>
          </m:sub>
          <m:sup/>
          <m:e>
            <m:sSub>
              <m:sSubPr>
                <m:ctrlPr>
                  <w:ins w:id="142" w:author="Nepomuceno, Marilia" w:date="2023-05-15T16:39:00Z">
                    <w:rPr>
                      <w:rFonts w:ascii="Cambria Math" w:eastAsia="Cambria Math" w:hAnsi="Cambria Math" w:cs="Cambria Math"/>
                      <w:sz w:val="24"/>
                      <w:szCs w:val="24"/>
                    </w:rPr>
                  </w:ins>
                </m:ctrlPr>
              </m:sSubPr>
              <m:e>
                <m:sSubSup>
                  <m:sSubSupPr>
                    <m:ctrlPr>
                      <w:ins w:id="143" w:author="Nepomuceno, Marilia" w:date="2023-05-15T16:39:00Z">
                        <w:rPr>
                          <w:rFonts w:ascii="Cambria Math" w:eastAsia="Cambria Math" w:hAnsi="Cambria Math" w:cs="Cambria Math"/>
                          <w:sz w:val="24"/>
                          <w:szCs w:val="24"/>
                        </w:rPr>
                      </w:ins>
                    </m:ctrlPr>
                  </m:sSubSupPr>
                  <m:e>
                    <m:r>
                      <w:ins w:id="144" w:author="Nepomuceno, Marilia" w:date="2023-05-15T16:39:00Z">
                        <w:rPr>
                          <w:rFonts w:ascii="Cambria Math" w:eastAsia="Cambria Math" w:hAnsi="Cambria Math" w:cs="Cambria Math"/>
                          <w:sz w:val="24"/>
                          <w:szCs w:val="24"/>
                        </w:rPr>
                        <m:t>L</m:t>
                      </w:ins>
                    </m:r>
                  </m:e>
                  <m:sub>
                    <m:r>
                      <w:ins w:id="145" w:author="Nepomuceno, Marilia" w:date="2023-05-15T16:39:00Z">
                        <w:rPr>
                          <w:rFonts w:ascii="Cambria Math" w:eastAsia="Cambria Math" w:hAnsi="Cambria Math" w:cs="Cambria Math"/>
                          <w:sz w:val="24"/>
                          <w:szCs w:val="24"/>
                        </w:rPr>
                        <m:t>x</m:t>
                      </w:ins>
                    </m:r>
                  </m:sub>
                  <m:sup>
                    <m:r>
                      <w:ins w:id="146" w:author="Nepomuceno, Marilia" w:date="2023-05-15T16:39:00Z">
                        <w:rPr>
                          <w:rFonts w:ascii="Cambria Math" w:eastAsia="Cambria Math" w:hAnsi="Cambria Math" w:cs="Cambria Math"/>
                          <w:sz w:val="24"/>
                          <w:szCs w:val="24"/>
                        </w:rPr>
                        <m:t xml:space="preserve"> </m:t>
                      </w:ins>
                    </m:r>
                  </m:sup>
                </m:sSubSup>
              </m:e>
              <m:sub>
                <m:r>
                  <w:ins w:id="147" w:author="Nepomuceno, Marilia" w:date="2023-05-15T16:39:00Z">
                    <w:rPr>
                      <w:rFonts w:ascii="Cambria Math" w:eastAsia="Cambria Math" w:hAnsi="Cambria Math" w:cs="Cambria Math"/>
                      <w:sz w:val="24"/>
                      <w:szCs w:val="24"/>
                    </w:rPr>
                    <m:t xml:space="preserve"> </m:t>
                  </w:ins>
                </m:r>
              </m:sub>
            </m:sSub>
          </m:e>
        </m:sPre>
        <m:r>
          <w:rPr>
            <w:rFonts w:ascii="Cambria Math" w:eastAsia="Cambria Math" w:hAnsi="Cambria Math" w:cs="Cambria Math"/>
            <w:sz w:val="24"/>
            <w:szCs w:val="24"/>
          </w:rPr>
          <m:t xml:space="preserve"> </m:t>
        </m:r>
        <m:sSub>
          <m:sSubPr>
            <m:ctrlPr>
              <w:del w:id="148" w:author="Nepomuceno, Marilia" w:date="2023-05-15T16:39:00Z">
                <w:rPr>
                  <w:rFonts w:ascii="Cambria Math" w:eastAsia="Cambria Math" w:hAnsi="Cambria Math" w:cs="Cambria Math"/>
                  <w:sz w:val="24"/>
                  <w:szCs w:val="24"/>
                </w:rPr>
              </w:del>
            </m:ctrlPr>
          </m:sSubPr>
          <m:e>
            <m:sSubSup>
              <m:sSubSupPr>
                <m:ctrlPr>
                  <w:del w:id="149" w:author="Nepomuceno, Marilia" w:date="2023-05-15T16:39:00Z">
                    <w:rPr>
                      <w:rFonts w:ascii="Cambria Math" w:eastAsia="Cambria Math" w:hAnsi="Cambria Math" w:cs="Cambria Math"/>
                      <w:sz w:val="24"/>
                      <w:szCs w:val="24"/>
                    </w:rPr>
                  </w:del>
                </m:ctrlPr>
              </m:sSubSupPr>
              <m:e>
                <m:r>
                  <w:del w:id="150" w:author="Nepomuceno, Marilia" w:date="2023-05-15T16:39:00Z">
                    <w:rPr>
                      <w:rFonts w:ascii="Cambria Math" w:eastAsia="Cambria Math" w:hAnsi="Cambria Math" w:cs="Cambria Math"/>
                      <w:sz w:val="24"/>
                      <w:szCs w:val="24"/>
                    </w:rPr>
                    <m:t>L</m:t>
                  </w:del>
                </m:r>
              </m:e>
              <m:sub>
                <m:r>
                  <w:del w:id="151" w:author="Nepomuceno, Marilia" w:date="2023-05-15T16:39:00Z">
                    <w:rPr>
                      <w:rFonts w:ascii="Cambria Math" w:eastAsia="Cambria Math" w:hAnsi="Cambria Math" w:cs="Cambria Math"/>
                      <w:sz w:val="24"/>
                      <w:szCs w:val="24"/>
                    </w:rPr>
                    <m:t>x</m:t>
                  </w:del>
                </m:r>
              </m:sub>
              <m:sup>
                <m:r>
                  <w:del w:id="152" w:author="Nepomuceno, Marilia" w:date="2023-05-15T16:39:00Z">
                    <w:rPr>
                      <w:rFonts w:ascii="Cambria Math" w:eastAsia="Cambria Math" w:hAnsi="Cambria Math" w:cs="Cambria Math"/>
                      <w:sz w:val="24"/>
                      <w:szCs w:val="24"/>
                    </w:rPr>
                    <m:t xml:space="preserve"> </m:t>
                  </w:del>
                </m:r>
              </m:sup>
            </m:sSubSup>
          </m:e>
          <m:sub>
            <m:r>
              <w:del w:id="153" w:author="Nepomuceno, Marilia" w:date="2023-05-15T16:39:00Z">
                <w:rPr>
                  <w:rFonts w:ascii="Cambria Math" w:eastAsia="Cambria Math" w:hAnsi="Cambria Math" w:cs="Cambria Math"/>
                  <w:sz w:val="24"/>
                  <w:szCs w:val="24"/>
                </w:rPr>
                <m:t xml:space="preserve"> </m:t>
              </w:del>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r>
              <w:del w:id="154" w:author="Nepomuceno, Marilia" w:date="2023-05-15T16:41:00Z">
                <w:rPr>
                  <w:rFonts w:ascii="Cambria Math" w:eastAsia="Cambria Math" w:hAnsi="Cambria Math" w:cs="Cambria Math"/>
                  <w:sz w:val="24"/>
                  <w:szCs w:val="24"/>
                </w:rPr>
                <m:t>n</m:t>
              </w:del>
            </m:r>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sPre>
                      <m:sPrePr>
                        <m:ctrlPr>
                          <w:ins w:id="155" w:author="Nepomuceno, Marilia" w:date="2023-05-15T16:41:00Z">
                            <w:rPr>
                              <w:rFonts w:ascii="Cambria Math" w:eastAsia="Cambria Math" w:hAnsi="Cambria Math" w:cs="Cambria Math"/>
                              <w:i/>
                              <w:sz w:val="24"/>
                              <w:szCs w:val="24"/>
                            </w:rPr>
                          </w:ins>
                        </m:ctrlPr>
                      </m:sPrePr>
                      <m:sub>
                        <m:r>
                          <w:ins w:id="156" w:author="Nepomuceno, Marilia" w:date="2023-05-15T16:41:00Z">
                            <w:rPr>
                              <w:rFonts w:ascii="Cambria Math" w:eastAsia="Cambria Math" w:hAnsi="Cambria Math" w:cs="Cambria Math"/>
                              <w:sz w:val="24"/>
                              <w:szCs w:val="24"/>
                            </w:rPr>
                            <m:t>n</m:t>
                          </w:ins>
                        </m:r>
                      </m:sub>
                      <m:sup/>
                      <m:e>
                        <m:r>
                          <w:ins w:id="157" w:author="Nepomuceno, Marilia" w:date="2023-05-15T16:41:00Z">
                            <w:rPr>
                              <w:rFonts w:ascii="Cambria Math" w:eastAsia="Cambria Math" w:hAnsi="Cambria Math" w:cs="Cambria Math"/>
                              <w:sz w:val="24"/>
                              <w:szCs w:val="24"/>
                            </w:rPr>
                            <m:t>π</m:t>
                          </w:ins>
                        </m:r>
                      </m:e>
                    </m:sPre>
                    <m:r>
                      <w:del w:id="158" w:author="Nepomuceno, Marilia" w:date="2023-05-15T16:41:00Z">
                        <w:rPr>
                          <w:rFonts w:ascii="Cambria Math" w:eastAsia="Cambria Math" w:hAnsi="Cambria Math" w:cs="Cambria Math"/>
                          <w:sz w:val="24"/>
                          <w:szCs w:val="24"/>
                        </w:rPr>
                        <m:t>π</m:t>
                      </w:del>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e>
              <m:sub>
                <m:r>
                  <w:rPr>
                    <w:rFonts w:ascii="Cambria Math" w:eastAsia="Cambria Math" w:hAnsi="Cambria Math" w:cs="Cambria Math"/>
                    <w:sz w:val="24"/>
                    <w:szCs w:val="24"/>
                  </w:rPr>
                  <m:t xml:space="preserve"> </m:t>
                </m:r>
              </m:sub>
            </m:sSub>
          </m:e>
        </m:d>
        <m:r>
          <w:rPr>
            <w:rFonts w:ascii="Cambria Math" w:eastAsia="Cambria Math" w:hAnsi="Cambria Math" w:cs="Cambria Math"/>
            <w:sz w:val="24"/>
            <w:szCs w:val="24"/>
          </w:rPr>
          <m:t xml:space="preserve">    (1)</m:t>
        </m:r>
        <m:r>
          <w:rPr>
            <w:rFonts w:ascii="Cambria Math" w:eastAsia="Cambria Math" w:hAnsi="Cambria Math" w:cs="Cambria Math"/>
          </w:rPr>
          <m:t xml:space="preserve"> </m:t>
        </m:r>
      </m:oMath>
      <w:sdt>
        <w:sdtPr>
          <w:tag w:val="goog_rdk_50"/>
          <w:id w:val="-818888038"/>
          <w:showingPlcHdr/>
        </w:sdtPr>
        <w:sdtContent>
          <w:r w:rsidR="006315A5">
            <w:t xml:space="preserve">     </w:t>
          </w:r>
        </w:sdtContent>
      </w:sdt>
    </w:p>
    <w:p w14:paraId="3998E8D9" w14:textId="77777777" w:rsidR="009372EB" w:rsidRDefault="009372EB" w:rsidP="009372EB">
      <w:pPr>
        <w:spacing w:after="0"/>
        <w:jc w:val="center"/>
        <w:rPr>
          <w:rFonts w:ascii="Arial" w:eastAsia="Arial" w:hAnsi="Arial" w:cs="Arial"/>
          <w:sz w:val="24"/>
          <w:szCs w:val="24"/>
        </w:rPr>
      </w:pPr>
    </w:p>
    <w:p w14:paraId="3A299D88" w14:textId="79878414"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where </w:t>
      </w:r>
      <w:proofErr w:type="spellStart"/>
      <w:proofErr w:type="gram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r>
        <w:rPr>
          <w:rFonts w:ascii="Arial" w:eastAsia="Arial" w:hAnsi="Arial" w:cs="Arial"/>
          <w:i/>
          <w:sz w:val="24"/>
          <w:szCs w:val="24"/>
          <w:vertAlign w:val="superscript"/>
        </w:rPr>
        <w:t>i</w:t>
      </w:r>
      <w:proofErr w:type="spellEnd"/>
      <w:r>
        <w:rPr>
          <w:rFonts w:ascii="Arial" w:eastAsia="Arial" w:hAnsi="Arial" w:cs="Arial"/>
          <w:i/>
          <w:sz w:val="24"/>
          <w:szCs w:val="24"/>
        </w:rPr>
        <w:t xml:space="preserve"> </w:t>
      </w:r>
      <w:r>
        <w:rPr>
          <w:rFonts w:ascii="Arial" w:eastAsia="Arial" w:hAnsi="Arial" w:cs="Arial"/>
          <w:sz w:val="24"/>
          <w:szCs w:val="24"/>
        </w:rPr>
        <w:t xml:space="preserve"> is</w:t>
      </w:r>
      <w:proofErr w:type="gramEnd"/>
      <w:r>
        <w:rPr>
          <w:rFonts w:ascii="Arial" w:eastAsia="Arial" w:hAnsi="Arial" w:cs="Arial"/>
          <w:sz w:val="24"/>
          <w:szCs w:val="24"/>
        </w:rPr>
        <w:t xml:space="preserve"> the number of person-years lived without disability between ages</w:t>
      </w:r>
      <w:r>
        <w:rPr>
          <w:rFonts w:ascii="Arial" w:eastAsia="Arial" w:hAnsi="Arial" w:cs="Arial"/>
          <w:i/>
          <w:sz w:val="24"/>
          <w:szCs w:val="24"/>
        </w:rPr>
        <w:t xml:space="preserve"> 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w:t>
      </w:r>
      <w:proofErr w:type="spell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proofErr w:type="spellEnd"/>
      <w:r>
        <w:rPr>
          <w:rFonts w:ascii="Arial" w:eastAsia="Arial" w:hAnsi="Arial" w:cs="Arial"/>
          <w:sz w:val="24"/>
          <w:szCs w:val="24"/>
        </w:rPr>
        <w:t xml:space="preserve"> is the total number of person-years lived in the age group </w:t>
      </w:r>
      <w:r>
        <w:rPr>
          <w:rFonts w:ascii="Arial" w:eastAsia="Arial" w:hAnsi="Arial" w:cs="Arial"/>
          <w:i/>
          <w:sz w:val="24"/>
          <w:szCs w:val="24"/>
        </w:rPr>
        <w:t>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and </w:t>
      </w:r>
      <w:r>
        <w:rPr>
          <w:rFonts w:ascii="Arial" w:eastAsia="Arial" w:hAnsi="Arial" w:cs="Arial"/>
          <w:i/>
          <w:sz w:val="24"/>
          <w:szCs w:val="24"/>
          <w:vertAlign w:val="subscript"/>
        </w:rPr>
        <w:t>n</w:t>
      </w:r>
      <w:r>
        <w:rPr>
          <w:rFonts w:ascii="Arial" w:eastAsia="Arial" w:hAnsi="Arial" w:cs="Arial"/>
          <w:i/>
          <w:sz w:val="24"/>
          <w:szCs w:val="24"/>
        </w:rPr>
        <w:t>π</w:t>
      </w:r>
      <w:r>
        <w:rPr>
          <w:rFonts w:ascii="Arial" w:eastAsia="Arial" w:hAnsi="Arial" w:cs="Arial"/>
          <w:i/>
          <w:sz w:val="24"/>
          <w:szCs w:val="24"/>
          <w:vertAlign w:val="subscript"/>
        </w:rPr>
        <w:t>x</w:t>
      </w:r>
      <w:r>
        <w:rPr>
          <w:rFonts w:ascii="Arial" w:eastAsia="Arial" w:hAnsi="Arial" w:cs="Arial"/>
          <w:sz w:val="24"/>
          <w:szCs w:val="24"/>
        </w:rPr>
        <w:t xml:space="preserve"> is the proportion of disabled individuals in the age group </w:t>
      </w:r>
      <w:r>
        <w:rPr>
          <w:rFonts w:ascii="Arial" w:eastAsia="Arial" w:hAnsi="Arial" w:cs="Arial"/>
          <w:i/>
          <w:sz w:val="24"/>
          <w:szCs w:val="24"/>
        </w:rPr>
        <w:t xml:space="preserve">x </w:t>
      </w:r>
      <w:r>
        <w:rPr>
          <w:rFonts w:ascii="Arial" w:eastAsia="Arial" w:hAnsi="Arial" w:cs="Arial"/>
          <w:sz w:val="24"/>
          <w:szCs w:val="24"/>
        </w:rPr>
        <w:t xml:space="preserve">and </w:t>
      </w:r>
      <w:proofErr w:type="spellStart"/>
      <w:r>
        <w:rPr>
          <w:rFonts w:ascii="Arial" w:eastAsia="Arial" w:hAnsi="Arial" w:cs="Arial"/>
          <w:i/>
          <w:sz w:val="24"/>
          <w:szCs w:val="24"/>
        </w:rPr>
        <w:t>x+n</w:t>
      </w:r>
      <w:proofErr w:type="spellEnd"/>
      <w:r>
        <w:rPr>
          <w:rFonts w:ascii="Arial" w:eastAsia="Arial" w:hAnsi="Arial" w:cs="Arial"/>
          <w:sz w:val="24"/>
          <w:szCs w:val="24"/>
        </w:rPr>
        <w:t xml:space="preserve">. The same is for chronic-free person-years lived, however with the prevalence for at least one chronic condition instead of prevalence of ADLs, and we call the person-years derived by the same process as </w:t>
      </w:r>
      <m:oMath>
        <m:sPre>
          <m:sPrePr>
            <m:ctrlPr>
              <w:ins w:id="159" w:author="Nepomuceno, Marilia" w:date="2023-05-15T16:49:00Z">
                <w:rPr>
                  <w:rFonts w:ascii="Cambria Math" w:eastAsia="Arial" w:hAnsi="Cambria Math" w:cs="Arial"/>
                  <w:i/>
                  <w:sz w:val="24"/>
                  <w:szCs w:val="24"/>
                </w:rPr>
              </w:ins>
            </m:ctrlPr>
          </m:sPrePr>
          <m:sub>
            <m:r>
              <w:ins w:id="160" w:author="Nepomuceno, Marilia" w:date="2023-05-15T16:49:00Z">
                <w:rPr>
                  <w:rFonts w:ascii="Cambria Math" w:eastAsia="Arial" w:hAnsi="Cambria Math" w:cs="Arial"/>
                  <w:sz w:val="24"/>
                  <w:szCs w:val="24"/>
                </w:rPr>
                <m:t>n</m:t>
              </w:ins>
            </m:r>
          </m:sub>
          <m:sup/>
          <m:e>
            <m:r>
              <w:ins w:id="161" w:author="Nepomuceno, Marilia" w:date="2023-05-15T16:49:00Z">
                <w:rPr>
                  <w:rFonts w:ascii="Cambria Math" w:eastAsia="Cambria Math" w:hAnsi="Cambria Math" w:cs="Cambria Math"/>
                  <w:sz w:val="24"/>
                  <w:szCs w:val="24"/>
                </w:rPr>
                <m:t>L</m:t>
              </w:ins>
            </m:r>
          </m:e>
        </m:sPre>
        <m:r>
          <w:del w:id="162" w:author="Nepomuceno, Marilia" w:date="2023-05-15T16:49:00Z">
            <w:rPr>
              <w:rFonts w:ascii="Cambria Math" w:eastAsia="Arial" w:hAnsi="Cambria Math" w:cs="Arial"/>
              <w:sz w:val="24"/>
              <w:szCs w:val="24"/>
            </w:rPr>
            <m:t>n</m:t>
          </w:del>
        </m:r>
        <m:r>
          <w:rPr>
            <w:rFonts w:ascii="Cambria Math" w:eastAsia="Cambria Math" w:hAnsi="Cambria Math" w:cs="Cambria Math"/>
            <w:sz w:val="24"/>
            <w:szCs w:val="24"/>
          </w:rPr>
          <m:t xml:space="preserve"> </m:t>
        </m:r>
        <m:r>
          <w:del w:id="163" w:author="Nepomuceno, Marilia" w:date="2023-05-15T16:49:00Z">
            <w:rPr>
              <w:rFonts w:ascii="Cambria Math" w:eastAsia="Cambria Math" w:hAnsi="Cambria Math" w:cs="Cambria Math"/>
              <w:sz w:val="24"/>
              <w:szCs w:val="24"/>
            </w:rPr>
            <m:t>L</m:t>
          </w:del>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c</m:t>
            </m:r>
          </m:sup>
        </m:sSubSup>
      </m:oMath>
      <w:r>
        <w:rPr>
          <w:rFonts w:ascii="Arial" w:eastAsia="Arial" w:hAnsi="Arial" w:cs="Arial"/>
          <w:sz w:val="24"/>
          <w:szCs w:val="24"/>
        </w:rPr>
        <w:t>.</w:t>
      </w:r>
    </w:p>
    <w:p w14:paraId="715A282F" w14:textId="77777777" w:rsidR="00263B02" w:rsidRDefault="00263B02" w:rsidP="009372EB">
      <w:pPr>
        <w:spacing w:line="360" w:lineRule="auto"/>
        <w:jc w:val="both"/>
        <w:rPr>
          <w:rFonts w:ascii="Arial" w:eastAsia="Arial" w:hAnsi="Arial" w:cs="Arial"/>
          <w:sz w:val="24"/>
          <w:szCs w:val="24"/>
        </w:rPr>
      </w:pPr>
    </w:p>
    <w:p w14:paraId="698D35EF"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Then, life expectancy free of disability (</w:t>
      </w:r>
      <w:r>
        <w:rPr>
          <w:rFonts w:ascii="Arial" w:eastAsia="Arial" w:hAnsi="Arial" w:cs="Arial"/>
          <w:i/>
          <w:sz w:val="24"/>
          <w:szCs w:val="24"/>
        </w:rPr>
        <w:t>DFLE</w:t>
      </w:r>
      <w:r>
        <w:rPr>
          <w:rFonts w:ascii="Arial" w:eastAsia="Arial" w:hAnsi="Arial" w:cs="Arial"/>
          <w:sz w:val="24"/>
          <w:szCs w:val="24"/>
        </w:rPr>
        <w:t>) is calculated as:</w:t>
      </w:r>
    </w:p>
    <w:commentRangeStart w:id="164"/>
    <w:commentRangeStart w:id="165"/>
    <w:p w14:paraId="695AEF42" w14:textId="77777777" w:rsidR="009372EB" w:rsidRDefault="00B610B7"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i</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(2)</m:t>
          </m:r>
          <m:r>
            <w:rPr>
              <w:rFonts w:ascii="Cambria Math" w:eastAsia="Cambria Math" w:hAnsi="Cambria Math" w:cs="Cambria Math"/>
            </w:rPr>
            <m:t xml:space="preserve"> </m:t>
          </m:r>
        </m:oMath>
      </m:oMathPara>
    </w:p>
    <w:p w14:paraId="6099A438"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With its equivalent life expectancy free of chronic disease (</w:t>
      </w:r>
      <w:r>
        <w:rPr>
          <w:rFonts w:ascii="Arial" w:eastAsia="Arial" w:hAnsi="Arial" w:cs="Arial"/>
          <w:i/>
          <w:sz w:val="24"/>
          <w:szCs w:val="24"/>
        </w:rPr>
        <w:t>CFLE</w:t>
      </w:r>
      <w:r>
        <w:rPr>
          <w:rFonts w:ascii="Arial" w:eastAsia="Arial" w:hAnsi="Arial" w:cs="Arial"/>
          <w:sz w:val="24"/>
          <w:szCs w:val="24"/>
        </w:rPr>
        <w:t>):</w:t>
      </w:r>
    </w:p>
    <w:p w14:paraId="013DF21B" w14:textId="77777777" w:rsidR="009372EB" w:rsidRDefault="00B610B7"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c</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(3)</m:t>
          </m:r>
          <m:r>
            <w:rPr>
              <w:rFonts w:ascii="Cambria Math" w:eastAsia="Cambria Math" w:hAnsi="Cambria Math" w:cs="Cambria Math"/>
            </w:rPr>
            <m:t xml:space="preserve"> </m:t>
          </m:r>
          <w:commentRangeEnd w:id="164"/>
          <m:r>
            <m:rPr>
              <m:sty m:val="p"/>
            </m:rPr>
            <w:rPr>
              <w:rStyle w:val="CommentReference"/>
              <w:rFonts w:ascii="Times New Roman" w:eastAsia="Times New Roman" w:hAnsi="Times New Roman" w:cs="Times New Roman"/>
            </w:rPr>
            <w:commentReference w:id="164"/>
          </m:r>
          <w:commentRangeEnd w:id="165"/>
          <m:r>
            <m:rPr>
              <m:sty m:val="p"/>
            </m:rPr>
            <w:rPr>
              <w:rStyle w:val="CommentReference"/>
              <w:rFonts w:ascii="Times New Roman" w:eastAsia="Times New Roman" w:hAnsi="Times New Roman" w:cs="Times New Roman"/>
            </w:rPr>
            <w:commentReference w:id="165"/>
          </m:r>
        </m:oMath>
      </m:oMathPara>
    </w:p>
    <w:p w14:paraId="407DAFA7" w14:textId="77777777" w:rsidR="009372EB" w:rsidRDefault="009372EB" w:rsidP="009372EB">
      <w:pPr>
        <w:spacing w:line="360" w:lineRule="auto"/>
        <w:rPr>
          <w:rFonts w:ascii="Arial" w:eastAsia="Arial" w:hAnsi="Arial" w:cs="Arial"/>
          <w:sz w:val="24"/>
          <w:szCs w:val="24"/>
        </w:rPr>
      </w:pPr>
    </w:p>
    <w:p w14:paraId="30C87C33"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where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of years lived without disability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 xml:space="preserve">. Similarly,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of years lived without chronic conditions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w:t>
      </w:r>
    </w:p>
    <w:p w14:paraId="1651905D"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We then calculate gender gap in </w:t>
      </w:r>
      <w:r>
        <w:rPr>
          <w:rFonts w:ascii="Arial" w:eastAsia="Arial" w:hAnsi="Arial" w:cs="Arial"/>
          <w:i/>
          <w:sz w:val="24"/>
          <w:szCs w:val="24"/>
        </w:rPr>
        <w:t xml:space="preserve">DFLE </w:t>
      </w:r>
      <w:r>
        <w:rPr>
          <w:rFonts w:ascii="Arial" w:eastAsia="Arial" w:hAnsi="Arial" w:cs="Arial"/>
          <w:sz w:val="24"/>
          <w:szCs w:val="24"/>
        </w:rPr>
        <w:t>as:</w:t>
      </w:r>
    </w:p>
    <w:p w14:paraId="521BFF79" w14:textId="77777777" w:rsidR="009372EB" w:rsidRDefault="00B610B7"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xDFLE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1724ADEF"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And the gender gap in </w:t>
      </w:r>
      <w:r>
        <w:rPr>
          <w:rFonts w:ascii="Arial" w:eastAsia="Arial" w:hAnsi="Arial" w:cs="Arial"/>
          <w:i/>
          <w:sz w:val="24"/>
          <w:szCs w:val="24"/>
        </w:rPr>
        <w:t xml:space="preserve">CFLE </w:t>
      </w:r>
      <w:r>
        <w:rPr>
          <w:rFonts w:ascii="Arial" w:eastAsia="Arial" w:hAnsi="Arial" w:cs="Arial"/>
          <w:sz w:val="24"/>
          <w:szCs w:val="24"/>
        </w:rPr>
        <w:t>as:</w:t>
      </w:r>
    </w:p>
    <w:p w14:paraId="75316FA8" w14:textId="77777777" w:rsidR="009372EB" w:rsidRDefault="00B610B7"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049564F7" w14:textId="77777777" w:rsidR="009372EB" w:rsidRDefault="009372EB" w:rsidP="009372EB">
      <w:pPr>
        <w:spacing w:line="360" w:lineRule="auto"/>
        <w:jc w:val="both"/>
        <w:rPr>
          <w:rFonts w:ascii="Arial" w:eastAsia="Arial" w:hAnsi="Arial" w:cs="Arial"/>
          <w:sz w:val="24"/>
          <w:szCs w:val="24"/>
        </w:rPr>
      </w:pPr>
    </w:p>
    <w:p w14:paraId="724EFE9E" w14:textId="23F430F2" w:rsidR="009372EB" w:rsidRDefault="009372EB" w:rsidP="009372EB">
      <w:pPr>
        <w:spacing w:line="360" w:lineRule="auto"/>
        <w:jc w:val="both"/>
        <w:rPr>
          <w:rFonts w:ascii="Arial" w:eastAsia="Arial" w:hAnsi="Arial" w:cs="Arial"/>
          <w:color w:val="000000"/>
          <w:sz w:val="24"/>
          <w:szCs w:val="24"/>
          <w:highlight w:val="white"/>
        </w:rPr>
      </w:pPr>
      <w:r>
        <w:rPr>
          <w:rFonts w:ascii="Arial" w:eastAsia="Arial" w:hAnsi="Arial" w:cs="Arial"/>
          <w:sz w:val="24"/>
          <w:szCs w:val="24"/>
        </w:rPr>
        <w:t xml:space="preserve">We later split the gender differences in </w:t>
      </w:r>
      <w:r>
        <w:rPr>
          <w:rFonts w:ascii="Arial" w:eastAsia="Arial" w:hAnsi="Arial" w:cs="Arial"/>
          <w:i/>
          <w:sz w:val="24"/>
          <w:szCs w:val="24"/>
        </w:rPr>
        <w:t>DFLE</w:t>
      </w:r>
      <w:r>
        <w:rPr>
          <w:rFonts w:ascii="Arial" w:eastAsia="Arial" w:hAnsi="Arial" w:cs="Arial"/>
          <w:sz w:val="24"/>
          <w:szCs w:val="24"/>
        </w:rPr>
        <w:t xml:space="preserve"> and </w:t>
      </w:r>
      <w:r>
        <w:rPr>
          <w:rFonts w:ascii="Arial" w:eastAsia="Arial" w:hAnsi="Arial" w:cs="Arial"/>
          <w:i/>
          <w:sz w:val="24"/>
          <w:szCs w:val="24"/>
        </w:rPr>
        <w:t>CFLE</w:t>
      </w:r>
      <w:r>
        <w:rPr>
          <w:rFonts w:ascii="Arial" w:eastAsia="Arial" w:hAnsi="Arial" w:cs="Arial"/>
          <w:sz w:val="24"/>
          <w:szCs w:val="24"/>
        </w:rPr>
        <w:t xml:space="preserve"> at age </w:t>
      </w:r>
      <w:r>
        <w:rPr>
          <w:rFonts w:ascii="Arial" w:eastAsia="Arial" w:hAnsi="Arial" w:cs="Arial"/>
          <w:i/>
          <w:sz w:val="24"/>
          <w:szCs w:val="24"/>
        </w:rPr>
        <w:t>x</w:t>
      </w:r>
      <w:r>
        <w:rPr>
          <w:rFonts w:ascii="Arial" w:eastAsia="Arial" w:hAnsi="Arial" w:cs="Arial"/>
          <w:sz w:val="24"/>
          <w:szCs w:val="24"/>
        </w:rPr>
        <w:t xml:space="preserve"> into mortality and disability/chronic effects by five-year age groups. To decompose the gap, we apply </w:t>
      </w:r>
      <w:r>
        <w:rPr>
          <w:rFonts w:ascii="Arial" w:eastAsia="Arial" w:hAnsi="Arial" w:cs="Arial"/>
          <w:color w:val="000000"/>
          <w:sz w:val="24"/>
          <w:szCs w:val="24"/>
        </w:rPr>
        <w:t xml:space="preserve">the </w:t>
      </w:r>
      <w:r>
        <w:rPr>
          <w:rFonts w:ascii="Arial" w:eastAsia="Arial" w:hAnsi="Arial" w:cs="Arial"/>
          <w:color w:val="000000"/>
          <w:sz w:val="24"/>
          <w:szCs w:val="24"/>
        </w:rPr>
        <w:lastRenderedPageBreak/>
        <w:t>continuous change decomposition method</w:t>
      </w:r>
      <w:r w:rsidR="00842EBA">
        <w:rPr>
          <w:rFonts w:ascii="Arial" w:eastAsia="Arial" w:hAnsi="Arial" w:cs="Arial"/>
          <w:color w:val="000000"/>
          <w:sz w:val="24"/>
          <w:szCs w:val="24"/>
        </w:rPr>
        <w:t xml:space="preserve"> </w:t>
      </w:r>
      <w:r w:rsidR="00842EBA">
        <w:rPr>
          <w:rFonts w:ascii="Arial" w:eastAsia="Arial" w:hAnsi="Arial" w:cs="Arial"/>
          <w:color w:val="000000"/>
          <w:sz w:val="24"/>
          <w:szCs w:val="24"/>
        </w:rPr>
        <w:fldChar w:fldCharType="begin" w:fldLock="1"/>
      </w:r>
      <w:r w:rsidR="00842EBA">
        <w:rPr>
          <w:rFonts w:ascii="Arial" w:eastAsia="Arial" w:hAnsi="Arial" w:cs="Arial"/>
          <w:color w:val="000000"/>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Functions","type":"article-journal"},"uris":["http://www.mendeley.com/documents/?uuid=c4f25388-2553-3bf6-8752-093bf4fed107"]}],"mendeley":{"formattedCitation":"(Horiuchi et al. 2008; Riffe 2018)","plainTextFormattedCitation":"(Horiuchi et al. 2008; Riffe 2018)","previouslyFormattedCitation":"(Horiuchi et al. 2008; Riffe 2018)"},"properties":{"noteIndex":0},"schema":"https://github.com/citation-style-language/schema/raw/master/csl-citation.json"}</w:instrText>
      </w:r>
      <w:r w:rsidR="00842EBA">
        <w:rPr>
          <w:rFonts w:ascii="Arial" w:eastAsia="Arial" w:hAnsi="Arial" w:cs="Arial"/>
          <w:color w:val="000000"/>
          <w:sz w:val="24"/>
          <w:szCs w:val="24"/>
        </w:rPr>
        <w:fldChar w:fldCharType="separate"/>
      </w:r>
      <w:r w:rsidR="00842EBA" w:rsidRPr="00842EBA">
        <w:rPr>
          <w:rFonts w:ascii="Arial" w:eastAsia="Arial" w:hAnsi="Arial" w:cs="Arial"/>
          <w:noProof/>
          <w:color w:val="000000"/>
          <w:sz w:val="24"/>
          <w:szCs w:val="24"/>
        </w:rPr>
        <w:t>(Horiuchi et al. 2008; Riffe 2018</w:t>
      </w:r>
      <w:ins w:id="166" w:author="Nepomuceno, Marilia" w:date="2023-05-15T16:52:00Z">
        <w:r w:rsidR="00037515">
          <w:rPr>
            <w:rFonts w:ascii="Arial" w:eastAsia="Arial" w:hAnsi="Arial" w:cs="Arial"/>
            <w:noProof/>
            <w:color w:val="000000"/>
            <w:sz w:val="24"/>
            <w:szCs w:val="24"/>
          </w:rPr>
          <w:t xml:space="preserve">; </w:t>
        </w:r>
        <w:r w:rsidR="00037515" w:rsidRPr="00842EBA">
          <w:rPr>
            <w:rFonts w:ascii="Arial" w:eastAsia="Arial" w:hAnsi="Arial" w:cs="Arial"/>
            <w:noProof/>
            <w:color w:val="000000"/>
            <w:sz w:val="24"/>
            <w:szCs w:val="24"/>
          </w:rPr>
          <w:t>van Raalte and Nepomuceno 2020</w:t>
        </w:r>
      </w:ins>
      <w:r w:rsidR="00842EBA" w:rsidRPr="00842EBA">
        <w:rPr>
          <w:rFonts w:ascii="Arial" w:eastAsia="Arial" w:hAnsi="Arial" w:cs="Arial"/>
          <w:noProof/>
          <w:color w:val="000000"/>
          <w:sz w:val="24"/>
          <w:szCs w:val="24"/>
        </w:rPr>
        <w:t>)</w:t>
      </w:r>
      <w:r w:rsidR="00842EBA">
        <w:rPr>
          <w:rFonts w:ascii="Arial" w:eastAsia="Arial" w:hAnsi="Arial" w:cs="Arial"/>
          <w:color w:val="000000"/>
          <w:sz w:val="24"/>
          <w:szCs w:val="24"/>
        </w:rPr>
        <w:fldChar w:fldCharType="end"/>
      </w:r>
      <w:del w:id="167" w:author="Nepomuceno, Marilia" w:date="2023-05-15T16:53:00Z">
        <w:r w:rsidDel="00037515">
          <w:rPr>
            <w:rFonts w:ascii="Arial" w:eastAsia="Arial" w:hAnsi="Arial" w:cs="Arial"/>
            <w:color w:val="000000"/>
            <w:sz w:val="24"/>
            <w:szCs w:val="24"/>
          </w:rPr>
          <w:delText xml:space="preserve">, so we can split gender differences in healthy life expectancy into mortality and disability/chronic disease effects by age </w:delText>
        </w:r>
        <w:r w:rsidR="00842EBA" w:rsidDel="00037515">
          <w:rPr>
            <w:rFonts w:ascii="Arial" w:eastAsia="Arial" w:hAnsi="Arial" w:cs="Arial"/>
            <w:color w:val="000000"/>
            <w:sz w:val="24"/>
            <w:szCs w:val="24"/>
          </w:rPr>
          <w:fldChar w:fldCharType="begin" w:fldLock="1"/>
        </w:r>
        <w:r w:rsidR="00842EBA" w:rsidDel="00037515">
          <w:rPr>
            <w:rFonts w:ascii="Arial" w:eastAsia="Arial" w:hAnsi="Arial" w:cs="Arial"/>
            <w:color w:val="000000"/>
            <w:sz w:val="24"/>
            <w:szCs w:val="24"/>
          </w:rPr>
          <w:del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Expectancy","type":"chapter"},"uris":["http://www.mendeley.com/documents/?uuid=917c8c59-1e6e-3d3e-b8f6-7a93bf969289"]}],"mendeley":{"formattedCitation":"(van Raalte and Nepomuceno 2020)","plainTextFormattedCitation":"(van Raalte and Nepomuceno 2020)","previouslyFormattedCitation":"(van Raalte and Nepomuceno 2020)"},"properties":{"noteIndex":0},"schema":"https://github.com/citation-style-language/schema/raw/master/csl-citation.json"}</w:delInstrText>
        </w:r>
        <w:r w:rsidR="00842EBA" w:rsidDel="00037515">
          <w:rPr>
            <w:rFonts w:ascii="Arial" w:eastAsia="Arial" w:hAnsi="Arial" w:cs="Arial"/>
            <w:color w:val="000000"/>
            <w:sz w:val="24"/>
            <w:szCs w:val="24"/>
          </w:rPr>
          <w:fldChar w:fldCharType="separate"/>
        </w:r>
        <w:r w:rsidR="00842EBA" w:rsidRPr="00842EBA" w:rsidDel="00037515">
          <w:rPr>
            <w:rFonts w:ascii="Arial" w:eastAsia="Arial" w:hAnsi="Arial" w:cs="Arial"/>
            <w:noProof/>
            <w:color w:val="000000"/>
            <w:sz w:val="24"/>
            <w:szCs w:val="24"/>
          </w:rPr>
          <w:delText>(van Raalte and Nepomuceno 2020)</w:delText>
        </w:r>
        <w:r w:rsidR="00842EBA" w:rsidDel="00037515">
          <w:rPr>
            <w:rFonts w:ascii="Arial" w:eastAsia="Arial" w:hAnsi="Arial" w:cs="Arial"/>
            <w:color w:val="000000"/>
            <w:sz w:val="24"/>
            <w:szCs w:val="24"/>
          </w:rPr>
          <w:fldChar w:fldCharType="end"/>
        </w:r>
        <w:r w:rsidDel="00037515">
          <w:rPr>
            <w:rFonts w:ascii="Arial" w:eastAsia="Arial" w:hAnsi="Arial" w:cs="Arial"/>
            <w:color w:val="000000"/>
            <w:sz w:val="24"/>
            <w:szCs w:val="24"/>
          </w:rPr>
          <w:delText xml:space="preserve">. </w:delText>
        </w:r>
        <w:r w:rsidDel="00037515">
          <w:rPr>
            <w:rFonts w:ascii="Arial" w:eastAsia="Arial" w:hAnsi="Arial" w:cs="Arial"/>
            <w:sz w:val="24"/>
            <w:szCs w:val="24"/>
          </w:rPr>
          <w:delText xml:space="preserve"> </w:delText>
        </w:r>
      </w:del>
      <w:commentRangeStart w:id="168"/>
      <w:commentRangeStart w:id="169"/>
      <w:r>
        <w:rPr>
          <w:rFonts w:ascii="Arial" w:eastAsia="Arial" w:hAnsi="Arial" w:cs="Arial"/>
          <w:sz w:val="24"/>
          <w:szCs w:val="24"/>
        </w:rPr>
        <w:t xml:space="preserve">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t>
      </w:r>
      <w:r>
        <w:rPr>
          <w:rFonts w:ascii="Arial" w:eastAsia="Arial" w:hAnsi="Arial" w:cs="Arial"/>
          <w:i/>
          <w:sz w:val="24"/>
          <w:szCs w:val="24"/>
        </w:rPr>
        <w:t>n</w:t>
      </w:r>
      <w:r>
        <w:rPr>
          <w:rFonts w:ascii="Arial" w:eastAsia="Arial" w:hAnsi="Arial" w:cs="Arial"/>
          <w:sz w:val="24"/>
          <w:szCs w:val="24"/>
        </w:rPr>
        <w:t xml:space="preserve"> partial derivatives of the function with respect to the covariates </w:t>
      </w:r>
      <w:r w:rsidR="00842EBA">
        <w:rPr>
          <w:rFonts w:ascii="Arial" w:eastAsia="Arial" w:hAnsi="Arial" w:cs="Arial"/>
          <w:sz w:val="24"/>
          <w:szCs w:val="24"/>
        </w:rPr>
        <w:fldChar w:fldCharType="begin" w:fldLock="1"/>
      </w:r>
      <w:r w:rsidR="00842EBA">
        <w:rPr>
          <w:rFonts w:ascii="Arial" w:eastAsia="Arial" w:hAnsi="Arial" w:cs="Arial"/>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change.","type":"article-journal","volume":"45"},"uris":["http://www.mendeley.com/documents/?uuid=a3008638-d90c-386e-8292-843c29d8cffd"]}],"mendeley":{"formattedCitation":"(Horiuchi et al. 2008)","plainTextFormattedCitation":"(Horiuchi et al. 2008)","previouslyFormattedCitation":"(Horiuchi et al. 2008)"},"properties":{"noteIndex":0},"schema":"https://github.com/citation-style-language/schema/raw/master/csl-citation.json"}</w:instrText>
      </w:r>
      <w:r w:rsidR="00842EBA">
        <w:rPr>
          <w:rFonts w:ascii="Arial" w:eastAsia="Arial" w:hAnsi="Arial" w:cs="Arial"/>
          <w:sz w:val="24"/>
          <w:szCs w:val="24"/>
        </w:rPr>
        <w:fldChar w:fldCharType="separate"/>
      </w:r>
      <w:r w:rsidR="00842EBA" w:rsidRPr="00842EBA">
        <w:rPr>
          <w:rFonts w:ascii="Arial" w:eastAsia="Arial" w:hAnsi="Arial" w:cs="Arial"/>
          <w:noProof/>
          <w:sz w:val="24"/>
          <w:szCs w:val="24"/>
        </w:rPr>
        <w:t>(Horiuchi et al. 2008)</w:t>
      </w:r>
      <w:r w:rsidR="00842EBA">
        <w:rPr>
          <w:rFonts w:ascii="Arial" w:eastAsia="Arial" w:hAnsi="Arial" w:cs="Arial"/>
          <w:sz w:val="24"/>
          <w:szCs w:val="24"/>
        </w:rPr>
        <w:fldChar w:fldCharType="end"/>
      </w:r>
      <w:r>
        <w:rPr>
          <w:rFonts w:ascii="Arial" w:eastAsia="Arial" w:hAnsi="Arial" w:cs="Arial"/>
          <w:sz w:val="24"/>
          <w:szCs w:val="24"/>
        </w:rPr>
        <w:t xml:space="preserve">. Then, numerical integration is used to obtain the total contribution of the covariates for the variation of the aggregate measure. </w:t>
      </w:r>
      <w:r>
        <w:rPr>
          <w:rFonts w:ascii="Arial" w:eastAsia="Arial" w:hAnsi="Arial" w:cs="Arial"/>
          <w:color w:val="000000"/>
          <w:sz w:val="24"/>
          <w:szCs w:val="24"/>
          <w:highlight w:val="white"/>
        </w:rPr>
        <w:t xml:space="preserve">This allows us to estimate the contribution of disability and chronic conditions to explaining gender inequality.  In addition, the </w:t>
      </w:r>
      <w:r>
        <w:rPr>
          <w:rFonts w:ascii="Arial" w:eastAsia="Arial" w:hAnsi="Arial" w:cs="Arial"/>
          <w:sz w:val="24"/>
          <w:szCs w:val="24"/>
        </w:rPr>
        <w:t>method is very flexible, and can be used for decomposing gaps in different aggregate measures, including healthy life expectancy, as presented by van Raalte and Nepomuceno (</w:t>
      </w:r>
      <w:r w:rsidR="00842EBA">
        <w:rPr>
          <w:rFonts w:ascii="Arial" w:eastAsia="Arial" w:hAnsi="Arial" w:cs="Arial"/>
          <w:sz w:val="24"/>
          <w:szCs w:val="24"/>
        </w:rPr>
        <w:t>2020</w:t>
      </w:r>
      <w:r>
        <w:rPr>
          <w:rFonts w:ascii="Arial" w:eastAsia="Arial" w:hAnsi="Arial" w:cs="Arial"/>
          <w:sz w:val="24"/>
          <w:szCs w:val="24"/>
        </w:rPr>
        <w:t>). Previous research has employed the methodology to estimate gaps in disability for</w:t>
      </w:r>
      <w:r w:rsidR="00800F99">
        <w:rPr>
          <w:rFonts w:ascii="Arial" w:eastAsia="Arial" w:hAnsi="Arial" w:cs="Arial"/>
          <w:sz w:val="24"/>
          <w:szCs w:val="24"/>
        </w:rPr>
        <w:t xml:space="preserve"> Latin American and Caribbean</w:t>
      </w:r>
      <w:r>
        <w:rPr>
          <w:rFonts w:ascii="Arial" w:eastAsia="Arial" w:hAnsi="Arial" w:cs="Arial"/>
          <w:sz w:val="24"/>
          <w:szCs w:val="24"/>
        </w:rPr>
        <w:t xml:space="preserve"> </w:t>
      </w:r>
      <w:r w:rsidR="00800F99">
        <w:rPr>
          <w:rFonts w:ascii="Arial" w:eastAsia="Arial" w:hAnsi="Arial" w:cs="Arial"/>
          <w:sz w:val="24"/>
          <w:szCs w:val="24"/>
        </w:rPr>
        <w:t>(</w:t>
      </w:r>
      <w:r>
        <w:rPr>
          <w:rFonts w:ascii="Arial" w:eastAsia="Arial" w:hAnsi="Arial" w:cs="Arial"/>
          <w:sz w:val="24"/>
          <w:szCs w:val="24"/>
        </w:rPr>
        <w:t>LAC</w:t>
      </w:r>
      <w:r w:rsidR="00800F99">
        <w:rPr>
          <w:rFonts w:ascii="Arial" w:eastAsia="Arial" w:hAnsi="Arial" w:cs="Arial"/>
          <w:sz w:val="24"/>
          <w:szCs w:val="24"/>
        </w:rPr>
        <w:t>)</w:t>
      </w:r>
      <w:r>
        <w:rPr>
          <w:rFonts w:ascii="Arial" w:eastAsia="Arial" w:hAnsi="Arial" w:cs="Arial"/>
          <w:sz w:val="24"/>
          <w:szCs w:val="24"/>
        </w:rPr>
        <w:t xml:space="preserve"> countries </w:t>
      </w:r>
      <w:r w:rsidR="00842EBA">
        <w:rPr>
          <w:rFonts w:ascii="Arial" w:eastAsia="Arial" w:hAnsi="Arial" w:cs="Arial"/>
          <w:sz w:val="24"/>
          <w:szCs w:val="24"/>
        </w:rPr>
        <w:fldChar w:fldCharType="begin" w:fldLock="1"/>
      </w:r>
      <w:r w:rsidR="006F5A22">
        <w:rPr>
          <w:rFonts w:ascii="Arial" w:eastAsia="Arial" w:hAnsi="Arial" w:cs="Arial"/>
          <w:sz w:val="24"/>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instrText>
      </w:r>
      <w:r w:rsidR="00842EBA">
        <w:rPr>
          <w:rFonts w:ascii="Arial" w:eastAsia="Arial" w:hAnsi="Arial" w:cs="Arial"/>
          <w:sz w:val="24"/>
          <w:szCs w:val="24"/>
        </w:rPr>
        <w:fldChar w:fldCharType="separate"/>
      </w:r>
      <w:r w:rsidR="00842EBA" w:rsidRPr="00842EBA">
        <w:rPr>
          <w:rFonts w:ascii="Arial" w:eastAsia="Arial" w:hAnsi="Arial" w:cs="Arial"/>
          <w:noProof/>
          <w:sz w:val="24"/>
          <w:szCs w:val="24"/>
        </w:rPr>
        <w:t>(Nepomuceno et al. 2021)</w:t>
      </w:r>
      <w:r w:rsidR="00842EBA">
        <w:rPr>
          <w:rFonts w:ascii="Arial" w:eastAsia="Arial" w:hAnsi="Arial" w:cs="Arial"/>
          <w:sz w:val="24"/>
          <w:szCs w:val="24"/>
        </w:rPr>
        <w:fldChar w:fldCharType="end"/>
      </w:r>
      <w:r>
        <w:rPr>
          <w:rFonts w:ascii="Arial" w:eastAsia="Arial" w:hAnsi="Arial" w:cs="Arial"/>
          <w:sz w:val="24"/>
          <w:szCs w:val="24"/>
        </w:rPr>
        <w:t>.</w:t>
      </w:r>
      <w:commentRangeEnd w:id="168"/>
      <w:r w:rsidR="00030E32">
        <w:rPr>
          <w:rStyle w:val="CommentReference"/>
          <w:rFonts w:ascii="Times New Roman" w:eastAsia="Times New Roman" w:hAnsi="Times New Roman" w:cs="Times New Roman"/>
        </w:rPr>
        <w:commentReference w:id="168"/>
      </w:r>
      <w:commentRangeEnd w:id="169"/>
      <w:r w:rsidR="00994A69">
        <w:rPr>
          <w:rStyle w:val="CommentReference"/>
          <w:rFonts w:ascii="Times New Roman" w:eastAsia="Times New Roman" w:hAnsi="Times New Roman" w:cs="Times New Roman"/>
        </w:rPr>
        <w:commentReference w:id="169"/>
      </w:r>
    </w:p>
    <w:p w14:paraId="2A62FE19" w14:textId="77777777" w:rsidR="009372EB" w:rsidRDefault="009372EB">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Default="00A50CB3">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Results</w:t>
      </w:r>
    </w:p>
    <w:p w14:paraId="00000046"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9639A9" w:rsidRDefault="009639A9" w:rsidP="009639A9">
      <w:pPr>
        <w:keepNext/>
        <w:pBdr>
          <w:top w:val="nil"/>
          <w:left w:val="nil"/>
          <w:bottom w:val="nil"/>
          <w:right w:val="nil"/>
          <w:between w:val="nil"/>
        </w:pBdr>
        <w:spacing w:after="0"/>
        <w:jc w:val="both"/>
        <w:rPr>
          <w:rFonts w:ascii="Arial" w:eastAsia="Arial" w:hAnsi="Arial" w:cs="Arial"/>
          <w:i/>
          <w:sz w:val="24"/>
          <w:szCs w:val="24"/>
        </w:rPr>
      </w:pPr>
      <w:r w:rsidRPr="009639A9">
        <w:rPr>
          <w:rFonts w:ascii="Arial" w:eastAsia="Arial" w:hAnsi="Arial" w:cs="Arial"/>
          <w:i/>
          <w:sz w:val="24"/>
          <w:szCs w:val="24"/>
        </w:rPr>
        <w:t>Age-Specific Prevalence</w:t>
      </w:r>
    </w:p>
    <w:p w14:paraId="2A57974F" w14:textId="493580BE" w:rsidR="009639A9"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2498D842" w14:textId="77777777" w:rsidR="00CE1A00" w:rsidRPr="009639A9" w:rsidRDefault="00CE1A00" w:rsidP="009639A9">
      <w:pPr>
        <w:keepNext/>
        <w:pBdr>
          <w:top w:val="nil"/>
          <w:left w:val="nil"/>
          <w:bottom w:val="nil"/>
          <w:right w:val="nil"/>
          <w:between w:val="nil"/>
        </w:pBdr>
        <w:spacing w:after="0"/>
        <w:jc w:val="both"/>
        <w:rPr>
          <w:rFonts w:ascii="Arial" w:eastAsia="Arial" w:hAnsi="Arial" w:cs="Arial"/>
          <w:sz w:val="24"/>
          <w:szCs w:val="24"/>
        </w:rPr>
      </w:pPr>
    </w:p>
    <w:p w14:paraId="0000004F" w14:textId="293B02CB" w:rsidR="00B133DD" w:rsidRDefault="00380BA0" w:rsidP="009639A9">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Figure 1 shows </w:t>
      </w:r>
      <w:r w:rsidR="00FB391F">
        <w:rPr>
          <w:rFonts w:ascii="Arial" w:eastAsia="Arial" w:hAnsi="Arial" w:cs="Arial"/>
          <w:sz w:val="24"/>
          <w:szCs w:val="24"/>
        </w:rPr>
        <w:t xml:space="preserve">the </w:t>
      </w:r>
      <w:r>
        <w:rPr>
          <w:rFonts w:ascii="Arial" w:eastAsia="Arial" w:hAnsi="Arial" w:cs="Arial"/>
          <w:sz w:val="24"/>
          <w:szCs w:val="24"/>
        </w:rPr>
        <w:t xml:space="preserve">age-specific prevalence of individuals </w:t>
      </w:r>
      <w:r w:rsidRPr="009639A9">
        <w:rPr>
          <w:rFonts w:ascii="Arial" w:eastAsia="Arial" w:hAnsi="Arial" w:cs="Arial"/>
          <w:sz w:val="24"/>
          <w:szCs w:val="24"/>
        </w:rPr>
        <w:t>who report a limitation in activities of daily living (ADL)</w:t>
      </w:r>
      <w:r>
        <w:rPr>
          <w:rFonts w:ascii="Arial" w:eastAsia="Arial" w:hAnsi="Arial" w:cs="Arial"/>
          <w:sz w:val="24"/>
          <w:szCs w:val="24"/>
        </w:rPr>
        <w:t>,</w:t>
      </w:r>
      <w:r w:rsidRPr="009639A9">
        <w:rPr>
          <w:rFonts w:ascii="Arial" w:eastAsia="Arial" w:hAnsi="Arial" w:cs="Arial"/>
          <w:sz w:val="24"/>
          <w:szCs w:val="24"/>
        </w:rPr>
        <w:t xml:space="preserve"> and of at least one chronic doctor</w:t>
      </w:r>
      <w:r w:rsidR="00FB391F">
        <w:rPr>
          <w:rFonts w:ascii="Arial" w:eastAsia="Arial" w:hAnsi="Arial" w:cs="Arial"/>
          <w:sz w:val="24"/>
          <w:szCs w:val="24"/>
        </w:rPr>
        <w:t>-</w:t>
      </w:r>
      <w:r w:rsidRPr="009639A9">
        <w:rPr>
          <w:rFonts w:ascii="Arial" w:eastAsia="Arial" w:hAnsi="Arial" w:cs="Arial"/>
          <w:sz w:val="24"/>
          <w:szCs w:val="24"/>
        </w:rPr>
        <w:t>diagnosed disease (Chronic)</w:t>
      </w:r>
      <w:r>
        <w:rPr>
          <w:rFonts w:ascii="Arial" w:eastAsia="Arial" w:hAnsi="Arial" w:cs="Arial"/>
          <w:sz w:val="24"/>
          <w:szCs w:val="24"/>
        </w:rPr>
        <w:t>.</w:t>
      </w:r>
      <w:r w:rsidR="005D2DB9">
        <w:rPr>
          <w:rFonts w:ascii="Arial" w:eastAsia="Arial" w:hAnsi="Arial" w:cs="Arial"/>
          <w:sz w:val="24"/>
          <w:szCs w:val="24"/>
        </w:rPr>
        <w:t xml:space="preserve"> Panel A </w:t>
      </w:r>
      <w:r w:rsidR="00665A6D">
        <w:rPr>
          <w:rFonts w:ascii="Arial" w:eastAsia="Arial" w:hAnsi="Arial" w:cs="Arial"/>
          <w:sz w:val="24"/>
          <w:szCs w:val="24"/>
        </w:rPr>
        <w:t xml:space="preserve">is </w:t>
      </w:r>
      <w:r w:rsidR="00334713">
        <w:rPr>
          <w:rFonts w:ascii="Arial" w:eastAsia="Arial" w:hAnsi="Arial" w:cs="Arial"/>
          <w:sz w:val="24"/>
          <w:szCs w:val="24"/>
        </w:rPr>
        <w:t xml:space="preserve">a </w:t>
      </w:r>
      <w:r w:rsidR="00665A6D">
        <w:rPr>
          <w:rFonts w:ascii="Arial" w:eastAsia="Arial" w:hAnsi="Arial" w:cs="Arial"/>
          <w:sz w:val="24"/>
          <w:szCs w:val="24"/>
        </w:rPr>
        <w:t xml:space="preserve">heatmap with </w:t>
      </w:r>
      <w:r w:rsidR="005D2DB9">
        <w:rPr>
          <w:rFonts w:ascii="Arial" w:eastAsia="Arial" w:hAnsi="Arial" w:cs="Arial"/>
          <w:sz w:val="24"/>
          <w:szCs w:val="24"/>
        </w:rPr>
        <w:t xml:space="preserve">the </w:t>
      </w:r>
      <w:r w:rsidR="005D2DB9">
        <w:rPr>
          <w:rFonts w:ascii="Arial" w:eastAsia="Arial" w:hAnsi="Arial" w:cs="Arial"/>
          <w:sz w:val="24"/>
          <w:szCs w:val="24"/>
          <w:highlight w:val="white"/>
        </w:rPr>
        <w:t xml:space="preserve">prevalence of unhealthy women and men </w:t>
      </w:r>
      <w:r w:rsidR="00585D53">
        <w:rPr>
          <w:rFonts w:ascii="Arial" w:eastAsia="Arial" w:hAnsi="Arial" w:cs="Arial"/>
          <w:sz w:val="24"/>
          <w:szCs w:val="24"/>
          <w:highlight w:val="white"/>
        </w:rPr>
        <w:t>in</w:t>
      </w:r>
      <w:r w:rsidR="005D2DB9">
        <w:rPr>
          <w:rFonts w:ascii="Arial" w:eastAsia="Arial" w:hAnsi="Arial" w:cs="Arial"/>
          <w:sz w:val="24"/>
          <w:szCs w:val="24"/>
          <w:highlight w:val="white"/>
        </w:rPr>
        <w:t xml:space="preserve"> </w:t>
      </w:r>
      <w:r w:rsidR="00585D53" w:rsidRPr="009639A9">
        <w:rPr>
          <w:rFonts w:ascii="Arial" w:eastAsia="Arial" w:hAnsi="Arial" w:cs="Arial"/>
          <w:sz w:val="24"/>
          <w:szCs w:val="24"/>
        </w:rPr>
        <w:t>activities of daily living (ADL)</w:t>
      </w:r>
      <w:r w:rsidR="00585D53">
        <w:rPr>
          <w:rFonts w:ascii="Arial" w:eastAsia="Arial" w:hAnsi="Arial" w:cs="Arial"/>
          <w:sz w:val="24"/>
          <w:szCs w:val="24"/>
        </w:rPr>
        <w:t>,</w:t>
      </w:r>
      <w:r w:rsidR="00334713">
        <w:rPr>
          <w:rFonts w:ascii="Arial" w:eastAsia="Arial" w:hAnsi="Arial" w:cs="Arial"/>
          <w:sz w:val="24"/>
          <w:szCs w:val="24"/>
          <w:highlight w:val="white"/>
        </w:rPr>
        <w:t xml:space="preserve"> </w:t>
      </w:r>
      <w:r w:rsidR="005D2DB9">
        <w:rPr>
          <w:rFonts w:ascii="Arial" w:eastAsia="Arial" w:hAnsi="Arial" w:cs="Arial"/>
          <w:sz w:val="24"/>
          <w:szCs w:val="24"/>
          <w:highlight w:val="white"/>
        </w:rPr>
        <w:t xml:space="preserve">and </w:t>
      </w:r>
      <w:del w:id="170" w:author="Nepomuceno, Marilia" w:date="2023-05-22T15:42:00Z">
        <w:r w:rsidR="005D2DB9" w:rsidDel="007B7BBB">
          <w:rPr>
            <w:rFonts w:ascii="Arial" w:eastAsia="Arial" w:hAnsi="Arial" w:cs="Arial"/>
            <w:sz w:val="24"/>
            <w:szCs w:val="24"/>
            <w:highlight w:val="white"/>
          </w:rPr>
          <w:delText xml:space="preserve">doctor diagnosed </w:delText>
        </w:r>
      </w:del>
      <w:r w:rsidR="005D2DB9">
        <w:rPr>
          <w:rFonts w:ascii="Arial" w:eastAsia="Arial" w:hAnsi="Arial" w:cs="Arial"/>
          <w:sz w:val="24"/>
          <w:szCs w:val="24"/>
          <w:highlight w:val="white"/>
        </w:rPr>
        <w:t xml:space="preserve">chronic conditions (Chronic) by age for all countries. </w:t>
      </w:r>
      <w:r w:rsidR="005D2DB9">
        <w:rPr>
          <w:rFonts w:ascii="Arial" w:eastAsia="Arial" w:hAnsi="Arial" w:cs="Arial"/>
          <w:sz w:val="24"/>
          <w:szCs w:val="24"/>
        </w:rPr>
        <w:t>Panel B</w:t>
      </w:r>
      <w:r w:rsidR="009639A9" w:rsidRPr="009639A9">
        <w:rPr>
          <w:rFonts w:ascii="Arial" w:eastAsia="Arial" w:hAnsi="Arial" w:cs="Arial"/>
          <w:sz w:val="24"/>
          <w:szCs w:val="24"/>
        </w:rPr>
        <w:t xml:space="preserve"> </w:t>
      </w:r>
      <w:r w:rsidR="00067464">
        <w:rPr>
          <w:rFonts w:ascii="Arial" w:eastAsia="Arial" w:hAnsi="Arial" w:cs="Arial"/>
          <w:sz w:val="24"/>
          <w:szCs w:val="24"/>
        </w:rPr>
        <w:t>presents</w:t>
      </w:r>
      <w:r w:rsidR="009639A9" w:rsidRPr="009639A9">
        <w:rPr>
          <w:rFonts w:ascii="Arial" w:eastAsia="Arial" w:hAnsi="Arial" w:cs="Arial"/>
          <w:sz w:val="24"/>
          <w:szCs w:val="24"/>
        </w:rPr>
        <w:t xml:space="preserve"> most countries in shaded grey lines in the background</w:t>
      </w:r>
      <w:r w:rsidR="00067464">
        <w:rPr>
          <w:rFonts w:ascii="Arial" w:eastAsia="Arial" w:hAnsi="Arial" w:cs="Arial"/>
          <w:sz w:val="24"/>
          <w:szCs w:val="24"/>
        </w:rPr>
        <w:t>,</w:t>
      </w:r>
      <w:r w:rsidR="009639A9" w:rsidRPr="009639A9">
        <w:rPr>
          <w:rFonts w:ascii="Arial" w:eastAsia="Arial" w:hAnsi="Arial" w:cs="Arial"/>
          <w:sz w:val="24"/>
          <w:szCs w:val="24"/>
        </w:rPr>
        <w:t xml:space="preserve"> to show the overall age pattern for women and men, and highlights some countries </w:t>
      </w:r>
      <w:r w:rsidR="00464535">
        <w:rPr>
          <w:rFonts w:ascii="Arial" w:eastAsia="Arial" w:hAnsi="Arial" w:cs="Arial"/>
          <w:sz w:val="24"/>
          <w:szCs w:val="24"/>
        </w:rPr>
        <w:t>(see Fig</w:t>
      </w:r>
      <w:r w:rsidR="00EE2F7D">
        <w:rPr>
          <w:rFonts w:ascii="Arial" w:eastAsia="Arial" w:hAnsi="Arial" w:cs="Arial"/>
          <w:sz w:val="24"/>
          <w:szCs w:val="24"/>
        </w:rPr>
        <w:t>s</w:t>
      </w:r>
      <w:r w:rsidR="00464535">
        <w:rPr>
          <w:rFonts w:ascii="Arial" w:eastAsia="Arial" w:hAnsi="Arial" w:cs="Arial"/>
          <w:sz w:val="24"/>
          <w:szCs w:val="24"/>
        </w:rPr>
        <w:t xml:space="preserve"> S1-S2</w:t>
      </w:r>
      <w:r w:rsidR="00874F1E">
        <w:rPr>
          <w:rFonts w:ascii="Arial" w:eastAsia="Arial" w:hAnsi="Arial" w:cs="Arial"/>
          <w:sz w:val="24"/>
          <w:szCs w:val="24"/>
        </w:rPr>
        <w:t xml:space="preserve"> in the Supplementary Information</w:t>
      </w:r>
      <w:r w:rsidR="00464535">
        <w:rPr>
          <w:rFonts w:ascii="Arial" w:eastAsia="Arial" w:hAnsi="Arial" w:cs="Arial"/>
          <w:sz w:val="24"/>
          <w:szCs w:val="24"/>
        </w:rPr>
        <w:t xml:space="preserve"> for all countries </w:t>
      </w:r>
      <w:r w:rsidR="007D59D4">
        <w:rPr>
          <w:rFonts w:ascii="Arial" w:eastAsia="Arial" w:hAnsi="Arial" w:cs="Arial"/>
          <w:sz w:val="24"/>
          <w:szCs w:val="24"/>
        </w:rPr>
        <w:t>and</w:t>
      </w:r>
      <w:r w:rsidR="00464535">
        <w:rPr>
          <w:rFonts w:ascii="Arial" w:eastAsia="Arial" w:hAnsi="Arial" w:cs="Arial"/>
          <w:sz w:val="24"/>
          <w:szCs w:val="24"/>
        </w:rPr>
        <w:t xml:space="preserve"> </w:t>
      </w:r>
      <w:r w:rsidR="000A2D2A">
        <w:rPr>
          <w:rFonts w:ascii="Arial" w:eastAsia="Arial" w:hAnsi="Arial" w:cs="Arial"/>
          <w:sz w:val="24"/>
          <w:szCs w:val="24"/>
        </w:rPr>
        <w:t xml:space="preserve">separately for each chronic </w:t>
      </w:r>
      <w:r w:rsidR="00464535">
        <w:rPr>
          <w:rFonts w:ascii="Arial" w:eastAsia="Arial" w:hAnsi="Arial" w:cs="Arial"/>
          <w:sz w:val="24"/>
          <w:szCs w:val="24"/>
        </w:rPr>
        <w:t>condition)</w:t>
      </w:r>
      <w:r w:rsidR="009639A9" w:rsidRPr="009639A9">
        <w:rPr>
          <w:rFonts w:ascii="Arial" w:eastAsia="Arial" w:hAnsi="Arial" w:cs="Arial"/>
          <w:sz w:val="24"/>
          <w:szCs w:val="24"/>
        </w:rPr>
        <w:t>.</w:t>
      </w:r>
      <w:r w:rsidR="003C35DA">
        <w:rPr>
          <w:rFonts w:ascii="Arial" w:eastAsia="Arial" w:hAnsi="Arial" w:cs="Arial"/>
          <w:sz w:val="24"/>
          <w:szCs w:val="24"/>
        </w:rPr>
        <w:t xml:space="preserve"> </w:t>
      </w:r>
      <w:r w:rsidR="009639A9" w:rsidRPr="009639A9">
        <w:rPr>
          <w:rFonts w:ascii="Arial" w:eastAsia="Arial" w:hAnsi="Arial" w:cs="Arial"/>
          <w:sz w:val="24"/>
          <w:szCs w:val="24"/>
        </w:rPr>
        <w:t xml:space="preserve">Overall, the prevalence of ADLs increases with age for both women and men, with a steeper increase happening from ages 70+ in most countries. </w:t>
      </w:r>
      <w:r w:rsidR="006E3BBD">
        <w:rPr>
          <w:rFonts w:ascii="Arial" w:eastAsia="Arial" w:hAnsi="Arial" w:cs="Arial"/>
          <w:sz w:val="24"/>
          <w:szCs w:val="24"/>
        </w:rPr>
        <w:t>Across all countries,</w:t>
      </w:r>
      <w:r w:rsidR="009639A9"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009639A9"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009639A9" w:rsidRPr="009639A9">
        <w:rPr>
          <w:rFonts w:ascii="Arial" w:eastAsia="Arial" w:hAnsi="Arial" w:cs="Arial"/>
          <w:sz w:val="24"/>
          <w:szCs w:val="24"/>
        </w:rPr>
        <w:t xml:space="preserve"> which are the low and high levels, respectively, for both women and men.</w:t>
      </w:r>
      <w:del w:id="171" w:author="Nepomuceno, Marilia" w:date="2023-05-22T15:45:00Z">
        <w:r w:rsidR="009639A9" w:rsidRPr="009639A9" w:rsidDel="005512D7">
          <w:rPr>
            <w:rFonts w:ascii="Arial" w:eastAsia="Arial" w:hAnsi="Arial" w:cs="Arial"/>
            <w:sz w:val="24"/>
            <w:szCs w:val="24"/>
          </w:rPr>
          <w:delText xml:space="preserve"> </w:delText>
        </w:r>
        <w:commentRangeStart w:id="172"/>
        <w:commentRangeStart w:id="173"/>
        <w:r w:rsidR="009639A9" w:rsidRPr="009639A9" w:rsidDel="005512D7">
          <w:rPr>
            <w:rFonts w:ascii="Arial" w:eastAsia="Arial" w:hAnsi="Arial" w:cs="Arial"/>
            <w:sz w:val="24"/>
            <w:szCs w:val="24"/>
          </w:rPr>
          <w:delText xml:space="preserve">The US age pattern falls between </w:delText>
        </w:r>
        <w:r w:rsidR="009639A9" w:rsidRPr="009639A9" w:rsidDel="005512D7">
          <w:rPr>
            <w:rFonts w:ascii="Arial" w:eastAsia="Arial" w:hAnsi="Arial" w:cs="Arial"/>
            <w:sz w:val="24"/>
            <w:szCs w:val="24"/>
          </w:rPr>
          <w:lastRenderedPageBreak/>
          <w:delText>Korea and England</w:delText>
        </w:r>
      </w:del>
      <w:commentRangeEnd w:id="172"/>
      <w:r w:rsidR="00976ADA">
        <w:rPr>
          <w:rStyle w:val="CommentReference"/>
          <w:rFonts w:ascii="Times New Roman" w:eastAsia="Times New Roman" w:hAnsi="Times New Roman" w:cs="Times New Roman"/>
        </w:rPr>
        <w:commentReference w:id="172"/>
      </w:r>
      <w:commentRangeEnd w:id="173"/>
      <w:r w:rsidR="00994A69">
        <w:rPr>
          <w:rStyle w:val="CommentReference"/>
          <w:rFonts w:ascii="Times New Roman" w:eastAsia="Times New Roman" w:hAnsi="Times New Roman" w:cs="Times New Roman"/>
        </w:rPr>
        <w:commentReference w:id="173"/>
      </w:r>
      <w:r w:rsidR="009639A9" w:rsidRPr="009639A9">
        <w:rPr>
          <w:rFonts w:ascii="Arial" w:eastAsia="Arial" w:hAnsi="Arial" w:cs="Arial"/>
          <w:sz w:val="24"/>
          <w:szCs w:val="24"/>
        </w:rPr>
        <w:t>.</w:t>
      </w:r>
      <w:r w:rsidR="0081335C">
        <w:rPr>
          <w:rFonts w:ascii="Arial" w:eastAsia="Arial" w:hAnsi="Arial" w:cs="Arial"/>
          <w:sz w:val="24"/>
          <w:szCs w:val="24"/>
        </w:rPr>
        <w:t xml:space="preserve"> </w:t>
      </w:r>
      <w:r w:rsidR="0081335C" w:rsidRPr="009639A9">
        <w:rPr>
          <w:rFonts w:ascii="Arial" w:eastAsia="Arial" w:hAnsi="Arial" w:cs="Arial"/>
          <w:sz w:val="24"/>
          <w:szCs w:val="24"/>
        </w:rPr>
        <w:t>Korea presents the lowest prevalence of disability of all countries, both for women and men</w:t>
      </w:r>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r w:rsidR="00E404EF">
        <w:rPr>
          <w:rFonts w:ascii="Arial" w:eastAsia="Arial" w:hAnsi="Arial" w:cs="Arial"/>
          <w:sz w:val="24"/>
          <w:szCs w:val="24"/>
        </w:rPr>
        <w:t xml:space="preserve"> </w:t>
      </w:r>
      <w:r w:rsidR="00E404EF" w:rsidRPr="00E404EF">
        <w:rPr>
          <w:rFonts w:ascii="Arial" w:eastAsia="Arial" w:hAnsi="Arial" w:cs="Arial"/>
          <w:sz w:val="24"/>
          <w:szCs w:val="24"/>
        </w:rPr>
        <w:t>The overall pattern for women across countries is more dispersed than for men, with the difference between Korean women and Chinese and Indian being higher than for men. Compared to the age pattern of men, women have a higher rate of increase in prevalence across all countries with age, with the burden increasing at a much</w:t>
      </w:r>
      <w:r w:rsidR="007620EB">
        <w:rPr>
          <w:rFonts w:ascii="Arial" w:eastAsia="Arial" w:hAnsi="Arial" w:cs="Arial"/>
          <w:sz w:val="24"/>
          <w:szCs w:val="24"/>
        </w:rPr>
        <w:t xml:space="preserve"> </w:t>
      </w:r>
      <w:r w:rsidR="00E404EF" w:rsidRPr="00E404EF">
        <w:rPr>
          <w:rFonts w:ascii="Arial" w:eastAsia="Arial" w:hAnsi="Arial" w:cs="Arial"/>
          <w:sz w:val="24"/>
          <w:szCs w:val="24"/>
        </w:rPr>
        <w:t>faster pace. Chinese and Indian women have a prevalence rate level at ages 60-65 that is only observed at ages 70-75 for men, a gap of almost 10 years.</w:t>
      </w:r>
    </w:p>
    <w:p w14:paraId="66B68136" w14:textId="77777777" w:rsidR="00B92538" w:rsidRDefault="00B92538"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r>
        <w:rPr>
          <w:rFonts w:ascii="Arial" w:eastAsia="Arial" w:hAnsi="Arial" w:cs="Arial"/>
          <w:noProof/>
          <w:sz w:val="24"/>
          <w:szCs w:val="24"/>
        </w:rPr>
        <w:drawing>
          <wp:inline distT="0" distB="0" distL="0" distR="0" wp14:anchorId="75CC5AE3" wp14:editId="7F5A73A6">
            <wp:extent cx="6193734" cy="4934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4564" cy="4942826"/>
                    </a:xfrm>
                    <a:prstGeom prst="rect">
                      <a:avLst/>
                    </a:prstGeom>
                  </pic:spPr>
                </pic:pic>
              </a:graphicData>
            </a:graphic>
          </wp:inline>
        </w:drawing>
      </w:r>
    </w:p>
    <w:p w14:paraId="21D987D5" w14:textId="77777777" w:rsidR="00993E33" w:rsidRDefault="00993E33" w:rsidP="00B175C7">
      <w:pPr>
        <w:jc w:val="both"/>
        <w:rPr>
          <w:rFonts w:ascii="Arial" w:eastAsia="Arial" w:hAnsi="Arial" w:cs="Arial"/>
          <w:b/>
          <w:sz w:val="24"/>
          <w:szCs w:val="24"/>
          <w:highlight w:val="white"/>
        </w:rPr>
      </w:pPr>
    </w:p>
    <w:p w14:paraId="465763AF" w14:textId="57423434" w:rsidR="00B175C7" w:rsidRDefault="00A50CB3" w:rsidP="00B175C7">
      <w:pPr>
        <w:jc w:val="both"/>
        <w:rPr>
          <w:rFonts w:ascii="Arial" w:eastAsia="Arial" w:hAnsi="Arial" w:cs="Arial"/>
          <w:sz w:val="24"/>
          <w:szCs w:val="24"/>
        </w:rPr>
      </w:pPr>
      <w:r>
        <w:rPr>
          <w:rFonts w:ascii="Arial" w:eastAsia="Arial" w:hAnsi="Arial" w:cs="Arial"/>
          <w:b/>
          <w:sz w:val="24"/>
          <w:szCs w:val="24"/>
          <w:highlight w:val="white"/>
        </w:rPr>
        <w:lastRenderedPageBreak/>
        <w:t>Figure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p>
    <w:p w14:paraId="00000051" w14:textId="5DDED39D" w:rsidR="00B133DD" w:rsidRPr="00B175C7" w:rsidRDefault="00CF609E" w:rsidP="00B175C7">
      <w:pPr>
        <w:jc w:val="both"/>
        <w:rPr>
          <w:rFonts w:ascii="Georgia" w:hAnsi="Georgia" w:cs="Arial"/>
          <w:color w:val="000000"/>
          <w:sz w:val="18"/>
          <w:szCs w:val="18"/>
          <w:shd w:val="clear" w:color="auto" w:fill="FFFFFF"/>
        </w:rPr>
      </w:pPr>
      <w:r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sidRPr="00B175C7">
        <w:rPr>
          <w:rFonts w:ascii="Arial" w:hAnsi="Arial" w:cs="Arial"/>
          <w:i/>
          <w:color w:val="000000"/>
          <w:sz w:val="18"/>
          <w:szCs w:val="18"/>
          <w:shd w:val="clear" w:color="auto" w:fill="FFFFFF"/>
        </w:rPr>
        <w:t xml:space="preserve">Notes: </w:t>
      </w:r>
      <w:r w:rsidRPr="00B175C7">
        <w:rPr>
          <w:rFonts w:ascii="Arial" w:hAnsi="Arial" w:cs="Arial"/>
          <w:color w:val="000000"/>
          <w:sz w:val="18"/>
          <w:szCs w:val="18"/>
          <w:shd w:val="clear" w:color="auto" w:fill="FFFFFF"/>
        </w:rPr>
        <w:t>Chronic is defined as being diagnosed with at least one of six doctor diagnosed conditions present at all country surveys that were harmonized: 1. Arthritis, 2. Cancer, 3. Diabetes, 4. Heart Conditions, 5. Lung disease, 6. Stroke. For more details on how diagnoses are defined and which criteria are used, refer to the Supplementary Information. For country-specific profiles for each condition, also see individual figures</w:t>
      </w:r>
      <w:r w:rsidR="00D7472F" w:rsidRPr="00B175C7">
        <w:rPr>
          <w:rFonts w:ascii="Arial" w:hAnsi="Arial" w:cs="Arial"/>
          <w:color w:val="000000"/>
          <w:sz w:val="18"/>
          <w:szCs w:val="18"/>
          <w:shd w:val="clear" w:color="auto" w:fill="FFFFFF"/>
        </w:rPr>
        <w:t xml:space="preserve"> in the Supplementary Information</w:t>
      </w:r>
      <w:r w:rsidRPr="00B175C7">
        <w:rPr>
          <w:rFonts w:ascii="Arial" w:hAnsi="Arial" w:cs="Arial"/>
          <w:color w:val="000000"/>
          <w:sz w:val="18"/>
          <w:szCs w:val="18"/>
          <w:shd w:val="clear" w:color="auto" w:fill="FFFFFF"/>
        </w:rPr>
        <w:t>.</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4991348A" w:rsidR="00A80760" w:rsidRDefault="00E404EF" w:rsidP="00A80760">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Panel B </w:t>
      </w:r>
      <w:ins w:id="174" w:author="Nepomuceno, Marilia" w:date="2023-05-22T15:49:00Z">
        <w:r w:rsidR="005D198E">
          <w:rPr>
            <w:rFonts w:ascii="Arial" w:eastAsia="Arial" w:hAnsi="Arial" w:cs="Arial"/>
            <w:sz w:val="24"/>
            <w:szCs w:val="24"/>
          </w:rPr>
          <w:t xml:space="preserve">also </w:t>
        </w:r>
      </w:ins>
      <w:r>
        <w:rPr>
          <w:rFonts w:ascii="Arial" w:eastAsia="Arial" w:hAnsi="Arial" w:cs="Arial"/>
          <w:sz w:val="24"/>
          <w:szCs w:val="24"/>
        </w:rPr>
        <w:t xml:space="preserve">shows how </w:t>
      </w:r>
      <w:r w:rsidRPr="00E404EF">
        <w:rPr>
          <w:rFonts w:ascii="Arial" w:eastAsia="Arial" w:hAnsi="Arial" w:cs="Arial"/>
          <w:sz w:val="24"/>
          <w:szCs w:val="24"/>
        </w:rPr>
        <w:t>the figure changes when we analyze chronic conditions</w:t>
      </w:r>
      <w:r>
        <w:rPr>
          <w:rFonts w:ascii="Arial" w:eastAsia="Arial" w:hAnsi="Arial" w:cs="Arial"/>
          <w:sz w:val="24"/>
          <w:szCs w:val="24"/>
        </w:rPr>
        <w:t>.</w:t>
      </w:r>
      <w:r w:rsidR="00D360A8">
        <w:rPr>
          <w:rFonts w:ascii="Arial" w:eastAsia="Arial" w:hAnsi="Arial" w:cs="Arial"/>
          <w:sz w:val="24"/>
          <w:szCs w:val="24"/>
        </w:rPr>
        <w:t xml:space="preserve"> </w:t>
      </w:r>
      <w:r w:rsidR="00D360A8" w:rsidRPr="00D360A8">
        <w:rPr>
          <w:rFonts w:ascii="Arial" w:eastAsia="Arial" w:hAnsi="Arial" w:cs="Arial"/>
          <w:sz w:val="24"/>
          <w:szCs w:val="24"/>
        </w:rPr>
        <w:t xml:space="preserve">First, the prevalence of having at least one chronic condition is higher than experiencing limitation in daily activities </w:t>
      </w:r>
      <w:del w:id="175" w:author="Nepomuceno, Marilia" w:date="2023-05-22T15:50:00Z">
        <w:r w:rsidR="00D360A8" w:rsidRPr="00D360A8" w:rsidDel="005D198E">
          <w:rPr>
            <w:rFonts w:ascii="Arial" w:eastAsia="Arial" w:hAnsi="Arial" w:cs="Arial"/>
            <w:sz w:val="24"/>
            <w:szCs w:val="24"/>
          </w:rPr>
          <w:delText xml:space="preserve">already at age 50 and increases at all ages </w:delText>
        </w:r>
      </w:del>
      <w:r w:rsidR="00D360A8" w:rsidRPr="00D360A8">
        <w:rPr>
          <w:rFonts w:ascii="Arial" w:eastAsia="Arial" w:hAnsi="Arial" w:cs="Arial"/>
          <w:sz w:val="24"/>
          <w:szCs w:val="24"/>
        </w:rPr>
        <w:t>for both women and men at all countries. The US has the highest prevalence for women and men at all ages</w:t>
      </w:r>
      <w:del w:id="176" w:author="Nepomuceno, Marilia" w:date="2023-05-22T15:50:00Z">
        <w:r w:rsidR="00D360A8" w:rsidRPr="00D360A8" w:rsidDel="005D198E">
          <w:rPr>
            <w:rFonts w:ascii="Arial" w:eastAsia="Arial" w:hAnsi="Arial" w:cs="Arial"/>
            <w:sz w:val="24"/>
            <w:szCs w:val="24"/>
          </w:rPr>
          <w:delText xml:space="preserve"> compared to all countries</w:delText>
        </w:r>
      </w:del>
      <w:r w:rsidR="00D360A8" w:rsidRPr="00D360A8">
        <w:rPr>
          <w:rFonts w:ascii="Arial" w:eastAsia="Arial" w:hAnsi="Arial" w:cs="Arial"/>
          <w:sz w:val="24"/>
          <w:szCs w:val="24"/>
        </w:rPr>
        <w:t xml:space="preserve">. China is right after the US with </w:t>
      </w:r>
      <w:ins w:id="177" w:author="Nepomuceno, Marilia" w:date="2023-05-22T15:51:00Z">
        <w:r w:rsidR="005D198E">
          <w:rPr>
            <w:rFonts w:ascii="Arial" w:eastAsia="Arial" w:hAnsi="Arial" w:cs="Arial"/>
            <w:sz w:val="24"/>
            <w:szCs w:val="24"/>
          </w:rPr>
          <w:t>high</w:t>
        </w:r>
      </w:ins>
      <w:del w:id="178" w:author="Nepomuceno, Marilia" w:date="2023-05-22T15:51:00Z">
        <w:r w:rsidR="00D360A8" w:rsidRPr="00D360A8" w:rsidDel="005D198E">
          <w:rPr>
            <w:rFonts w:ascii="Arial" w:eastAsia="Arial" w:hAnsi="Arial" w:cs="Arial"/>
            <w:sz w:val="24"/>
            <w:szCs w:val="24"/>
          </w:rPr>
          <w:delText>the highest</w:delText>
        </w:r>
      </w:del>
      <w:r w:rsidR="00D360A8" w:rsidRPr="00D360A8">
        <w:rPr>
          <w:rFonts w:ascii="Arial" w:eastAsia="Arial" w:hAnsi="Arial" w:cs="Arial"/>
          <w:sz w:val="24"/>
          <w:szCs w:val="24"/>
        </w:rPr>
        <w:t xml:space="preserve"> prevalence at </w:t>
      </w:r>
      <w:del w:id="179" w:author="Nepomuceno, Marilia" w:date="2023-05-22T15:51:00Z">
        <w:r w:rsidR="00D360A8" w:rsidRPr="00D360A8" w:rsidDel="005D198E">
          <w:rPr>
            <w:rFonts w:ascii="Arial" w:eastAsia="Arial" w:hAnsi="Arial" w:cs="Arial"/>
            <w:sz w:val="24"/>
            <w:szCs w:val="24"/>
          </w:rPr>
          <w:delText xml:space="preserve">relatively </w:delText>
        </w:r>
      </w:del>
      <w:r w:rsidR="00D360A8" w:rsidRPr="00D360A8">
        <w:rPr>
          <w:rFonts w:ascii="Arial" w:eastAsia="Arial" w:hAnsi="Arial" w:cs="Arial"/>
          <w:sz w:val="24"/>
          <w:szCs w:val="24"/>
        </w:rPr>
        <w:t>younger ages (50-60), but then levels off</w:t>
      </w:r>
      <w:ins w:id="180" w:author="Nepomuceno, Marilia" w:date="2023-05-22T15:52:00Z">
        <w:r w:rsidR="005D198E">
          <w:rPr>
            <w:rFonts w:ascii="Arial" w:eastAsia="Arial" w:hAnsi="Arial" w:cs="Arial"/>
            <w:sz w:val="24"/>
            <w:szCs w:val="24"/>
          </w:rPr>
          <w:t xml:space="preserve"> at older ages</w:t>
        </w:r>
      </w:ins>
      <w:r w:rsidR="00D360A8" w:rsidRPr="00D360A8">
        <w:rPr>
          <w:rFonts w:ascii="Arial" w:eastAsia="Arial" w:hAnsi="Arial" w:cs="Arial"/>
          <w:sz w:val="24"/>
          <w:szCs w:val="24"/>
        </w:rPr>
        <w:t xml:space="preserve">, while other countries still experience </w:t>
      </w:r>
      <w:ins w:id="181" w:author="Nepomuceno, Marilia" w:date="2023-05-22T15:54:00Z">
        <w:r w:rsidR="00D368F2">
          <w:rPr>
            <w:rFonts w:ascii="Arial" w:eastAsia="Arial" w:hAnsi="Arial" w:cs="Arial"/>
            <w:sz w:val="24"/>
            <w:szCs w:val="24"/>
          </w:rPr>
          <w:t xml:space="preserve">a steep </w:t>
        </w:r>
      </w:ins>
      <w:ins w:id="182" w:author="Nepomuceno, Marilia" w:date="2023-05-22T15:55:00Z">
        <w:r w:rsidR="00D368F2">
          <w:rPr>
            <w:rFonts w:ascii="Arial" w:eastAsia="Arial" w:hAnsi="Arial" w:cs="Arial"/>
            <w:sz w:val="24"/>
            <w:szCs w:val="24"/>
          </w:rPr>
          <w:t>age gradient</w:t>
        </w:r>
      </w:ins>
      <w:del w:id="183" w:author="Nepomuceno, Marilia" w:date="2023-05-22T15:55:00Z">
        <w:r w:rsidR="00D360A8" w:rsidRPr="00D360A8" w:rsidDel="000023D0">
          <w:rPr>
            <w:rFonts w:ascii="Arial" w:eastAsia="Arial" w:hAnsi="Arial" w:cs="Arial"/>
            <w:sz w:val="24"/>
            <w:szCs w:val="24"/>
          </w:rPr>
          <w:delText>and</w:delText>
        </w:r>
      </w:del>
      <w:r w:rsidR="00D360A8" w:rsidRPr="00D360A8">
        <w:rPr>
          <w:rFonts w:ascii="Arial" w:eastAsia="Arial" w:hAnsi="Arial" w:cs="Arial"/>
          <w:sz w:val="24"/>
          <w:szCs w:val="24"/>
        </w:rPr>
        <w:t xml:space="preserve"> </w:t>
      </w:r>
      <w:del w:id="184" w:author="Nepomuceno, Marilia" w:date="2023-05-22T15:55:00Z">
        <w:r w:rsidR="00D360A8" w:rsidRPr="00D360A8" w:rsidDel="000023D0">
          <w:rPr>
            <w:rFonts w:ascii="Arial" w:eastAsia="Arial" w:hAnsi="Arial" w:cs="Arial"/>
            <w:sz w:val="24"/>
            <w:szCs w:val="24"/>
          </w:rPr>
          <w:delText>increase</w:delText>
        </w:r>
      </w:del>
      <w:r w:rsidR="00D360A8" w:rsidRPr="00D360A8">
        <w:rPr>
          <w:rFonts w:ascii="Arial" w:eastAsia="Arial" w:hAnsi="Arial" w:cs="Arial"/>
          <w:sz w:val="24"/>
          <w:szCs w:val="24"/>
        </w:rPr>
        <w:t xml:space="preserve"> in prevalence</w:t>
      </w:r>
      <w:del w:id="185" w:author="Nepomuceno, Marilia" w:date="2023-05-22T15:55:00Z">
        <w:r w:rsidR="00D360A8" w:rsidRPr="00D360A8" w:rsidDel="000023D0">
          <w:rPr>
            <w:rFonts w:ascii="Arial" w:eastAsia="Arial" w:hAnsi="Arial" w:cs="Arial"/>
            <w:sz w:val="24"/>
            <w:szCs w:val="24"/>
          </w:rPr>
          <w:delText xml:space="preserve"> with age</w:delText>
        </w:r>
      </w:del>
      <w:r w:rsidR="00D360A8" w:rsidRPr="00D360A8">
        <w:rPr>
          <w:rFonts w:ascii="Arial" w:eastAsia="Arial" w:hAnsi="Arial" w:cs="Arial"/>
          <w:sz w:val="24"/>
          <w:szCs w:val="24"/>
        </w:rPr>
        <w:t xml:space="preserve">. </w:t>
      </w:r>
      <w:ins w:id="186" w:author="Nepomuceno, Marilia" w:date="2023-05-22T15:56:00Z">
        <w:r w:rsidR="000023D0">
          <w:rPr>
            <w:rFonts w:ascii="Arial" w:eastAsia="Arial" w:hAnsi="Arial" w:cs="Arial"/>
            <w:sz w:val="24"/>
            <w:szCs w:val="24"/>
          </w:rPr>
          <w:t xml:space="preserve">India is the country with </w:t>
        </w:r>
      </w:ins>
      <w:del w:id="187" w:author="Nepomuceno, Marilia" w:date="2023-05-22T15:56:00Z">
        <w:r w:rsidR="00D360A8" w:rsidRPr="00D360A8" w:rsidDel="000023D0">
          <w:rPr>
            <w:rFonts w:ascii="Arial" w:eastAsia="Arial" w:hAnsi="Arial" w:cs="Arial"/>
            <w:sz w:val="24"/>
            <w:szCs w:val="24"/>
          </w:rPr>
          <w:delText xml:space="preserve">After age 60, the country with </w:delText>
        </w:r>
      </w:del>
      <w:r w:rsidR="00D360A8" w:rsidRPr="00D360A8">
        <w:rPr>
          <w:rFonts w:ascii="Arial" w:eastAsia="Arial" w:hAnsi="Arial" w:cs="Arial"/>
          <w:sz w:val="24"/>
          <w:szCs w:val="24"/>
        </w:rPr>
        <w:t>the lowest prevalence of at least one chronic condition</w:t>
      </w:r>
      <w:del w:id="188" w:author="Nepomuceno, Marilia" w:date="2023-05-22T15:56:00Z">
        <w:r w:rsidR="00D360A8" w:rsidRPr="00D360A8" w:rsidDel="000023D0">
          <w:rPr>
            <w:rFonts w:ascii="Arial" w:eastAsia="Arial" w:hAnsi="Arial" w:cs="Arial"/>
            <w:sz w:val="24"/>
            <w:szCs w:val="24"/>
          </w:rPr>
          <w:delText xml:space="preserve"> is India</w:delText>
        </w:r>
      </w:del>
      <w:r w:rsidR="00D360A8" w:rsidRPr="00D360A8">
        <w:rPr>
          <w:rFonts w:ascii="Arial" w:eastAsia="Arial" w:hAnsi="Arial" w:cs="Arial"/>
          <w:sz w:val="24"/>
          <w:szCs w:val="24"/>
        </w:rPr>
        <w:t>.</w:t>
      </w:r>
      <w:del w:id="189" w:author="Nepomuceno, Marilia" w:date="2023-05-22T16:00:00Z">
        <w:r w:rsidR="00D360A8" w:rsidRPr="00D360A8" w:rsidDel="00E92DCF">
          <w:rPr>
            <w:rFonts w:ascii="Arial" w:eastAsia="Arial" w:hAnsi="Arial" w:cs="Arial"/>
            <w:sz w:val="24"/>
            <w:szCs w:val="24"/>
          </w:rPr>
          <w:delText xml:space="preserve"> </w:delText>
        </w:r>
      </w:del>
      <w:commentRangeStart w:id="190"/>
      <w:commentRangeStart w:id="191"/>
      <w:del w:id="192" w:author="Nepomuceno, Marilia" w:date="2023-05-22T15:59:00Z">
        <w:r w:rsidR="00D360A8" w:rsidRPr="00D360A8" w:rsidDel="00E92DCF">
          <w:rPr>
            <w:rFonts w:ascii="Arial" w:eastAsia="Arial" w:hAnsi="Arial" w:cs="Arial"/>
            <w:sz w:val="24"/>
            <w:szCs w:val="24"/>
          </w:rPr>
          <w:delText xml:space="preserve">Among the countries in the European region, Portugal and Poland are the ones with the highest prevalence of at least one chronic condition </w:delText>
        </w:r>
      </w:del>
      <w:del w:id="193" w:author="Nepomuceno, Marilia" w:date="2023-05-22T15:57:00Z">
        <w:r w:rsidR="00D360A8" w:rsidRPr="00D360A8" w:rsidDel="00F76C42">
          <w:rPr>
            <w:rFonts w:ascii="Arial" w:eastAsia="Arial" w:hAnsi="Arial" w:cs="Arial"/>
            <w:sz w:val="24"/>
            <w:szCs w:val="24"/>
          </w:rPr>
          <w:delText>at ages above 60</w:delText>
        </w:r>
        <w:r w:rsidR="00451F62" w:rsidDel="00F76C42">
          <w:rPr>
            <w:rFonts w:ascii="Arial" w:eastAsia="Arial" w:hAnsi="Arial" w:cs="Arial"/>
            <w:sz w:val="24"/>
            <w:szCs w:val="24"/>
          </w:rPr>
          <w:delText xml:space="preserve">, </w:delText>
        </w:r>
        <w:r w:rsidR="00451F62" w:rsidRPr="00D360A8" w:rsidDel="00F76C42">
          <w:rPr>
            <w:rFonts w:ascii="Arial" w:eastAsia="Arial" w:hAnsi="Arial" w:cs="Arial"/>
            <w:sz w:val="24"/>
            <w:szCs w:val="24"/>
          </w:rPr>
          <w:delText xml:space="preserve">as shown in the heat map in </w:delText>
        </w:r>
      </w:del>
      <w:del w:id="194" w:author="Nepomuceno, Marilia" w:date="2023-05-22T15:59:00Z">
        <w:r w:rsidR="00451F62" w:rsidDel="00E92DCF">
          <w:rPr>
            <w:rFonts w:ascii="Arial" w:eastAsia="Arial" w:hAnsi="Arial" w:cs="Arial"/>
            <w:sz w:val="24"/>
            <w:szCs w:val="24"/>
          </w:rPr>
          <w:delText>Panel A</w:delText>
        </w:r>
        <w:r w:rsidR="00A80760" w:rsidDel="00E92DCF">
          <w:rPr>
            <w:rFonts w:ascii="Arial" w:eastAsia="Arial" w:hAnsi="Arial" w:cs="Arial"/>
            <w:sz w:val="24"/>
            <w:szCs w:val="24"/>
          </w:rPr>
          <w:delText xml:space="preserve"> of Figure 1</w:delText>
        </w:r>
      </w:del>
      <w:r w:rsidR="00451F62">
        <w:rPr>
          <w:rFonts w:ascii="Arial" w:eastAsia="Arial" w:hAnsi="Arial" w:cs="Arial"/>
          <w:sz w:val="24"/>
          <w:szCs w:val="24"/>
        </w:rPr>
        <w:t xml:space="preserve">. </w:t>
      </w:r>
      <w:commentRangeEnd w:id="190"/>
      <w:r w:rsidR="00F76C42">
        <w:rPr>
          <w:rStyle w:val="CommentReference"/>
          <w:rFonts w:ascii="Times New Roman" w:eastAsia="Times New Roman" w:hAnsi="Times New Roman" w:cs="Times New Roman"/>
        </w:rPr>
        <w:commentReference w:id="190"/>
      </w:r>
      <w:commentRangeEnd w:id="191"/>
      <w:r w:rsidR="00994A69">
        <w:rPr>
          <w:rStyle w:val="CommentReference"/>
          <w:rFonts w:ascii="Times New Roman" w:eastAsia="Times New Roman" w:hAnsi="Times New Roman" w:cs="Times New Roman"/>
        </w:rPr>
        <w:commentReference w:id="191"/>
      </w:r>
      <w:commentRangeStart w:id="195"/>
      <w:commentRangeStart w:id="196"/>
      <w:del w:id="197" w:author="Nepomuceno, Marilia" w:date="2023-05-22T16:00:00Z">
        <w:r w:rsidR="00CC54E3" w:rsidDel="00E92DCF">
          <w:rPr>
            <w:rFonts w:ascii="Arial" w:eastAsia="Arial" w:hAnsi="Arial" w:cs="Arial"/>
            <w:sz w:val="24"/>
            <w:szCs w:val="24"/>
          </w:rPr>
          <w:delText xml:space="preserve">India </w:delText>
        </w:r>
        <w:r w:rsidR="00A80760" w:rsidDel="00E92DCF">
          <w:rPr>
            <w:rFonts w:ascii="Arial" w:eastAsia="Arial" w:hAnsi="Arial" w:cs="Arial"/>
            <w:sz w:val="24"/>
            <w:szCs w:val="24"/>
          </w:rPr>
          <w:delText>is the country with</w:delText>
        </w:r>
        <w:r w:rsidR="00CC54E3" w:rsidDel="00E92DCF">
          <w:rPr>
            <w:rFonts w:ascii="Arial" w:eastAsia="Arial" w:hAnsi="Arial" w:cs="Arial"/>
            <w:sz w:val="24"/>
            <w:szCs w:val="24"/>
          </w:rPr>
          <w:delText xml:space="preserve"> the lowest </w:delText>
        </w:r>
        <w:r w:rsidR="00A80760" w:rsidDel="00E92DCF">
          <w:rPr>
            <w:rFonts w:ascii="Arial" w:eastAsia="Arial" w:hAnsi="Arial" w:cs="Arial"/>
            <w:sz w:val="24"/>
            <w:szCs w:val="24"/>
          </w:rPr>
          <w:delText>levels of chronic condition by age</w:delText>
        </w:r>
        <w:commentRangeEnd w:id="195"/>
        <w:r w:rsidR="00E92DCF" w:rsidDel="00E92DCF">
          <w:rPr>
            <w:rStyle w:val="CommentReference"/>
            <w:rFonts w:ascii="Times New Roman" w:eastAsia="Times New Roman" w:hAnsi="Times New Roman" w:cs="Times New Roman"/>
          </w:rPr>
          <w:commentReference w:id="195"/>
        </w:r>
      </w:del>
      <w:commentRangeEnd w:id="196"/>
      <w:r w:rsidR="00994A69">
        <w:rPr>
          <w:rStyle w:val="CommentReference"/>
          <w:rFonts w:ascii="Times New Roman" w:eastAsia="Times New Roman" w:hAnsi="Times New Roman" w:cs="Times New Roman"/>
        </w:rPr>
        <w:commentReference w:id="196"/>
      </w:r>
      <w:del w:id="198" w:author="Nepomuceno, Marilia" w:date="2023-05-22T16:00:00Z">
        <w:r w:rsidR="00A80760" w:rsidDel="00E92DCF">
          <w:rPr>
            <w:rFonts w:ascii="Arial" w:eastAsia="Arial" w:hAnsi="Arial" w:cs="Arial"/>
            <w:sz w:val="24"/>
            <w:szCs w:val="24"/>
          </w:rPr>
          <w:delText>, while</w:delText>
        </w:r>
        <w:r w:rsidR="00CC54E3" w:rsidDel="00E92DCF">
          <w:rPr>
            <w:rFonts w:ascii="Arial" w:eastAsia="Arial" w:hAnsi="Arial" w:cs="Arial"/>
            <w:sz w:val="24"/>
            <w:szCs w:val="24"/>
          </w:rPr>
          <w:delText xml:space="preserve"> US, Europe and China the highest, followed closely by Korea.</w:delText>
        </w:r>
      </w:del>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4EFD3B8" w14:textId="1AAC2CB5" w:rsidR="00A80760" w:rsidRPr="00A80760" w:rsidRDefault="00322FE2" w:rsidP="00A80760">
      <w:pPr>
        <w:keepNext/>
        <w:pBdr>
          <w:top w:val="nil"/>
          <w:left w:val="nil"/>
          <w:bottom w:val="nil"/>
          <w:right w:val="nil"/>
          <w:between w:val="nil"/>
        </w:pBdr>
        <w:spacing w:after="0" w:line="360" w:lineRule="auto"/>
        <w:jc w:val="both"/>
        <w:rPr>
          <w:rFonts w:ascii="Arial" w:eastAsia="Arial" w:hAnsi="Arial" w:cs="Arial"/>
          <w:i/>
          <w:sz w:val="24"/>
          <w:szCs w:val="24"/>
        </w:rPr>
      </w:pPr>
      <w:r>
        <w:rPr>
          <w:rFonts w:ascii="Arial" w:eastAsia="Arial" w:hAnsi="Arial" w:cs="Arial"/>
          <w:i/>
          <w:sz w:val="24"/>
          <w:szCs w:val="24"/>
        </w:rPr>
        <w:t>Estimating and d</w:t>
      </w:r>
      <w:r w:rsidR="00A80760" w:rsidRPr="00A80760">
        <w:rPr>
          <w:rFonts w:ascii="Arial" w:eastAsia="Arial" w:hAnsi="Arial" w:cs="Arial"/>
          <w:i/>
          <w:sz w:val="24"/>
          <w:szCs w:val="24"/>
        </w:rPr>
        <w:t xml:space="preserve">ecomposing the </w:t>
      </w:r>
      <w:r>
        <w:rPr>
          <w:rFonts w:ascii="Arial" w:eastAsia="Arial" w:hAnsi="Arial" w:cs="Arial"/>
          <w:i/>
          <w:sz w:val="24"/>
          <w:szCs w:val="24"/>
        </w:rPr>
        <w:t xml:space="preserve">gender </w:t>
      </w:r>
      <w:r w:rsidR="00A80760" w:rsidRPr="00A80760">
        <w:rPr>
          <w:rFonts w:ascii="Arial" w:eastAsia="Arial" w:hAnsi="Arial" w:cs="Arial"/>
          <w:i/>
          <w:sz w:val="24"/>
          <w:szCs w:val="24"/>
        </w:rPr>
        <w:t>gap into contributions of mortality, disability and chronic conditions</w:t>
      </w:r>
    </w:p>
    <w:p w14:paraId="4F99F0C4" w14:textId="77777777" w:rsidR="00A80760" w:rsidRP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56833C0E" w14:textId="722DD87E" w:rsidR="008F708E" w:rsidRDefault="008F708E" w:rsidP="004A7ABC">
      <w:pPr>
        <w:keepNext/>
        <w:pBdr>
          <w:top w:val="nil"/>
          <w:left w:val="nil"/>
          <w:bottom w:val="nil"/>
          <w:right w:val="nil"/>
          <w:between w:val="nil"/>
        </w:pBdr>
        <w:spacing w:after="0" w:line="360" w:lineRule="auto"/>
        <w:jc w:val="both"/>
        <w:rPr>
          <w:ins w:id="199" w:author="Nepomuceno, Marilia" w:date="2023-05-22T16:14:00Z"/>
          <w:rFonts w:ascii="Arial" w:eastAsia="Arial" w:hAnsi="Arial" w:cs="Arial"/>
          <w:sz w:val="24"/>
          <w:szCs w:val="24"/>
        </w:rPr>
      </w:pPr>
      <w:ins w:id="200" w:author="Nepomuceno, Marilia" w:date="2023-05-22T16:14:00Z">
        <w:r w:rsidRPr="00B57718">
          <w:rPr>
            <w:rFonts w:ascii="Arial" w:eastAsia="Arial" w:hAnsi="Arial" w:cs="Arial"/>
            <w:sz w:val="24"/>
            <w:szCs w:val="24"/>
            <w:highlight w:val="yellow"/>
            <w:rPrChange w:id="201" w:author="Nepomuceno, Marilia" w:date="2023-05-22T16:16:00Z">
              <w:rPr>
                <w:rFonts w:ascii="Arial" w:eastAsia="Arial" w:hAnsi="Arial" w:cs="Arial"/>
                <w:sz w:val="24"/>
                <w:szCs w:val="24"/>
              </w:rPr>
            </w:rPrChange>
          </w:rPr>
          <w:t>I think that before we start writing about the components of the gap we should w</w:t>
        </w:r>
      </w:ins>
      <w:ins w:id="202" w:author="Nepomuceno, Marilia" w:date="2023-05-22T16:15:00Z">
        <w:r w:rsidRPr="00B57718">
          <w:rPr>
            <w:rFonts w:ascii="Arial" w:eastAsia="Arial" w:hAnsi="Arial" w:cs="Arial"/>
            <w:sz w:val="24"/>
            <w:szCs w:val="24"/>
            <w:highlight w:val="yellow"/>
            <w:rPrChange w:id="203" w:author="Nepomuceno, Marilia" w:date="2023-05-22T16:16:00Z">
              <w:rPr>
                <w:rFonts w:ascii="Arial" w:eastAsia="Arial" w:hAnsi="Arial" w:cs="Arial"/>
                <w:sz w:val="24"/>
                <w:szCs w:val="24"/>
              </w:rPr>
            </w:rPrChange>
          </w:rPr>
          <w:t>rite about the total gap.</w:t>
        </w:r>
      </w:ins>
      <w:ins w:id="204" w:author="Nepomuceno, Marilia" w:date="2023-05-22T16:16:00Z">
        <w:r w:rsidR="00B57718">
          <w:rPr>
            <w:rFonts w:ascii="Arial" w:eastAsia="Arial" w:hAnsi="Arial" w:cs="Arial"/>
            <w:sz w:val="24"/>
            <w:szCs w:val="24"/>
            <w:highlight w:val="yellow"/>
          </w:rPr>
          <w:t xml:space="preserve"> I am thinking if we should show table 1 before</w:t>
        </w:r>
      </w:ins>
      <w:ins w:id="205" w:author="Nepomuceno, Marilia" w:date="2023-05-22T16:17:00Z">
        <w:r w:rsidR="00B57718">
          <w:rPr>
            <w:rFonts w:ascii="Arial" w:eastAsia="Arial" w:hAnsi="Arial" w:cs="Arial"/>
            <w:sz w:val="24"/>
            <w:szCs w:val="24"/>
            <w:highlight w:val="yellow"/>
          </w:rPr>
          <w:t xml:space="preserve"> or maybe include another bar in Panel A with the total gap</w:t>
        </w:r>
      </w:ins>
      <w:ins w:id="206" w:author="Nepomuceno, Marilia" w:date="2023-05-22T16:16:00Z">
        <w:r w:rsidR="00B57718">
          <w:rPr>
            <w:rFonts w:ascii="Arial" w:eastAsia="Arial" w:hAnsi="Arial" w:cs="Arial"/>
            <w:sz w:val="24"/>
            <w:szCs w:val="24"/>
            <w:highlight w:val="yellow"/>
          </w:rPr>
          <w:t>.</w:t>
        </w:r>
      </w:ins>
    </w:p>
    <w:p w14:paraId="1ED06CF2" w14:textId="12A61CA7" w:rsidR="00610D83" w:rsidRDefault="00A80760" w:rsidP="004A7AB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 xml:space="preserve">Figure 2 shows the </w:t>
      </w:r>
      <w:r w:rsidR="00CB15D6">
        <w:rPr>
          <w:rFonts w:ascii="Arial" w:eastAsia="Arial" w:hAnsi="Arial" w:cs="Arial"/>
          <w:sz w:val="24"/>
          <w:szCs w:val="24"/>
        </w:rPr>
        <w:t xml:space="preserve">gender gap in DFLE and its </w:t>
      </w:r>
      <w:r w:rsidRPr="00A80760">
        <w:rPr>
          <w:rFonts w:ascii="Arial" w:eastAsia="Arial" w:hAnsi="Arial" w:cs="Arial"/>
          <w:sz w:val="24"/>
          <w:szCs w:val="24"/>
        </w:rPr>
        <w:t xml:space="preserve">decomposition into mortality and disability effects </w:t>
      </w:r>
      <w:del w:id="207" w:author="Nepomuceno, Marilia" w:date="2023-05-22T16:01:00Z">
        <w:r w:rsidR="00322FE2" w:rsidDel="00922CA0">
          <w:rPr>
            <w:rFonts w:ascii="Arial" w:eastAsia="Arial" w:hAnsi="Arial" w:cs="Arial"/>
            <w:sz w:val="24"/>
            <w:szCs w:val="24"/>
          </w:rPr>
          <w:delText xml:space="preserve">above </w:delText>
        </w:r>
      </w:del>
      <w:ins w:id="208" w:author="Nepomuceno, Marilia" w:date="2023-05-22T16:01:00Z">
        <w:r w:rsidR="00922CA0">
          <w:rPr>
            <w:rFonts w:ascii="Arial" w:eastAsia="Arial" w:hAnsi="Arial" w:cs="Arial"/>
            <w:sz w:val="24"/>
            <w:szCs w:val="24"/>
          </w:rPr>
          <w:t xml:space="preserve">at </w:t>
        </w:r>
      </w:ins>
      <w:r w:rsidR="00322FE2">
        <w:rPr>
          <w:rFonts w:ascii="Arial" w:eastAsia="Arial" w:hAnsi="Arial" w:cs="Arial"/>
          <w:sz w:val="24"/>
          <w:szCs w:val="24"/>
        </w:rPr>
        <w:t xml:space="preserve">age 60 </w:t>
      </w:r>
      <w:r w:rsidRPr="00A80760">
        <w:rPr>
          <w:rFonts w:ascii="Arial" w:eastAsia="Arial" w:hAnsi="Arial" w:cs="Arial"/>
          <w:sz w:val="24"/>
          <w:szCs w:val="24"/>
        </w:rPr>
        <w:t>for all countries</w:t>
      </w:r>
      <w:r w:rsidR="00357859">
        <w:rPr>
          <w:rFonts w:ascii="Arial" w:eastAsia="Arial" w:hAnsi="Arial" w:cs="Arial"/>
          <w:sz w:val="24"/>
          <w:szCs w:val="24"/>
        </w:rPr>
        <w:t xml:space="preserve"> (see Table 1 for all values for each country with confidence intervals)</w:t>
      </w:r>
      <w:r w:rsidR="00CB15D6">
        <w:rPr>
          <w:rFonts w:ascii="Arial" w:eastAsia="Arial" w:hAnsi="Arial" w:cs="Arial"/>
          <w:sz w:val="24"/>
          <w:szCs w:val="24"/>
        </w:rPr>
        <w:t xml:space="preserve">. </w:t>
      </w:r>
      <w:del w:id="209" w:author="Nepomuceno, Marilia" w:date="2023-05-22T16:05:00Z">
        <w:r w:rsidR="00CB15D6" w:rsidDel="00631506">
          <w:rPr>
            <w:rFonts w:ascii="Arial" w:eastAsia="Arial" w:hAnsi="Arial" w:cs="Arial"/>
            <w:sz w:val="24"/>
            <w:szCs w:val="24"/>
          </w:rPr>
          <w:delText xml:space="preserve">In Panel A, </w:delText>
        </w:r>
        <w:r w:rsidR="00F14BF8" w:rsidDel="00631506">
          <w:rPr>
            <w:rFonts w:ascii="Arial" w:eastAsia="Arial" w:hAnsi="Arial" w:cs="Arial"/>
            <w:sz w:val="24"/>
            <w:szCs w:val="24"/>
          </w:rPr>
          <w:delText>all</w:delText>
        </w:r>
        <w:r w:rsidR="00BF094D" w:rsidDel="00631506">
          <w:rPr>
            <w:rFonts w:ascii="Arial" w:eastAsia="Arial" w:hAnsi="Arial" w:cs="Arial"/>
            <w:sz w:val="24"/>
            <w:szCs w:val="24"/>
          </w:rPr>
          <w:delText xml:space="preserve"> countries and the mortality and disability effects at ages 60+</w:delText>
        </w:r>
        <w:r w:rsidR="00F14BF8" w:rsidDel="00631506">
          <w:rPr>
            <w:rFonts w:ascii="Arial" w:eastAsia="Arial" w:hAnsi="Arial" w:cs="Arial"/>
            <w:sz w:val="24"/>
            <w:szCs w:val="24"/>
          </w:rPr>
          <w:delText xml:space="preserve"> are shown</w:delText>
        </w:r>
        <w:r w:rsidR="00BF094D" w:rsidDel="00631506">
          <w:rPr>
            <w:rFonts w:ascii="Arial" w:eastAsia="Arial" w:hAnsi="Arial" w:cs="Arial"/>
            <w:sz w:val="24"/>
            <w:szCs w:val="24"/>
          </w:rPr>
          <w:delText xml:space="preserve">. </w:delText>
        </w:r>
      </w:del>
      <w:r w:rsidR="00BF094D">
        <w:rPr>
          <w:rFonts w:ascii="Arial" w:eastAsia="Arial" w:hAnsi="Arial" w:cs="Arial"/>
          <w:sz w:val="24"/>
          <w:szCs w:val="24"/>
        </w:rPr>
        <w:t>T</w:t>
      </w:r>
      <w:r w:rsidR="00CB15D6">
        <w:rPr>
          <w:rFonts w:ascii="Arial" w:eastAsia="Arial" w:hAnsi="Arial" w:cs="Arial"/>
          <w:sz w:val="24"/>
          <w:szCs w:val="24"/>
        </w:rPr>
        <w:t xml:space="preserve">he sum of the mortality and disability </w:t>
      </w:r>
      <w:r w:rsidR="00F14BF8">
        <w:rPr>
          <w:rFonts w:ascii="Arial" w:eastAsia="Arial" w:hAnsi="Arial" w:cs="Arial"/>
          <w:sz w:val="24"/>
          <w:szCs w:val="24"/>
        </w:rPr>
        <w:t xml:space="preserve">components </w:t>
      </w:r>
      <w:r w:rsidR="008D789A">
        <w:rPr>
          <w:rFonts w:ascii="Arial" w:eastAsia="Arial" w:hAnsi="Arial" w:cs="Arial"/>
          <w:sz w:val="24"/>
          <w:szCs w:val="24"/>
        </w:rPr>
        <w:t>correspond</w:t>
      </w:r>
      <w:r w:rsidR="00CB15D6">
        <w:rPr>
          <w:rFonts w:ascii="Arial" w:eastAsia="Arial" w:hAnsi="Arial" w:cs="Arial"/>
          <w:sz w:val="24"/>
          <w:szCs w:val="24"/>
        </w:rPr>
        <w:t xml:space="preserve"> to the total gender gap</w:t>
      </w:r>
      <w:r w:rsidR="00183C30">
        <w:rPr>
          <w:rFonts w:ascii="Arial" w:eastAsia="Arial" w:hAnsi="Arial" w:cs="Arial"/>
          <w:sz w:val="24"/>
          <w:szCs w:val="24"/>
        </w:rPr>
        <w:t xml:space="preserve"> (women-</w:t>
      </w:r>
      <w:r w:rsidR="00183C30">
        <w:rPr>
          <w:rFonts w:ascii="Arial" w:eastAsia="Arial" w:hAnsi="Arial" w:cs="Arial"/>
          <w:sz w:val="24"/>
          <w:szCs w:val="24"/>
        </w:rPr>
        <w:lastRenderedPageBreak/>
        <w:t>men)</w:t>
      </w:r>
      <w:r w:rsidR="00CB15D6">
        <w:rPr>
          <w:rFonts w:ascii="Arial" w:eastAsia="Arial" w:hAnsi="Arial" w:cs="Arial"/>
          <w:sz w:val="24"/>
          <w:szCs w:val="24"/>
        </w:rPr>
        <w:t>. The mortality component is positive, which means that it contributes to increase the gender gap</w:t>
      </w:r>
      <w:r w:rsidR="00183C30">
        <w:rPr>
          <w:rFonts w:ascii="Arial" w:eastAsia="Arial" w:hAnsi="Arial" w:cs="Arial"/>
          <w:sz w:val="24"/>
          <w:szCs w:val="24"/>
        </w:rPr>
        <w:t xml:space="preserve"> (women have advantage)</w:t>
      </w:r>
      <w:r w:rsidR="008D789A">
        <w:rPr>
          <w:rFonts w:ascii="Arial" w:eastAsia="Arial" w:hAnsi="Arial" w:cs="Arial"/>
          <w:sz w:val="24"/>
          <w:szCs w:val="24"/>
        </w:rPr>
        <w:t>, while the disability part is</w:t>
      </w:r>
      <w:r w:rsidR="00CF5DCE">
        <w:rPr>
          <w:rFonts w:ascii="Arial" w:eastAsia="Arial" w:hAnsi="Arial" w:cs="Arial"/>
          <w:sz w:val="24"/>
          <w:szCs w:val="24"/>
        </w:rPr>
        <w:t xml:space="preserve"> </w:t>
      </w:r>
      <w:r w:rsidR="008D789A">
        <w:rPr>
          <w:rFonts w:ascii="Arial" w:eastAsia="Arial" w:hAnsi="Arial" w:cs="Arial"/>
          <w:sz w:val="24"/>
          <w:szCs w:val="24"/>
        </w:rPr>
        <w:t>negative</w:t>
      </w:r>
      <w:r w:rsidR="00CF5DCE">
        <w:rPr>
          <w:rFonts w:ascii="Arial" w:eastAsia="Arial" w:hAnsi="Arial" w:cs="Arial"/>
          <w:sz w:val="24"/>
          <w:szCs w:val="24"/>
        </w:rPr>
        <w:t xml:space="preserve"> (with the exception of Denmark)</w:t>
      </w:r>
      <w:r w:rsidR="008D789A">
        <w:rPr>
          <w:rFonts w:ascii="Arial" w:eastAsia="Arial" w:hAnsi="Arial" w:cs="Arial"/>
          <w:sz w:val="24"/>
          <w:szCs w:val="24"/>
        </w:rPr>
        <w:t>, contributing to decrease the gap (</w:t>
      </w:r>
      <w:r w:rsidR="00183C30">
        <w:rPr>
          <w:rFonts w:ascii="Arial" w:eastAsia="Arial" w:hAnsi="Arial" w:cs="Arial"/>
          <w:sz w:val="24"/>
          <w:szCs w:val="24"/>
        </w:rPr>
        <w:t>women have the disadvantage</w:t>
      </w:r>
      <w:r w:rsidR="008D789A">
        <w:rPr>
          <w:rFonts w:ascii="Arial" w:eastAsia="Arial" w:hAnsi="Arial" w:cs="Arial"/>
          <w:sz w:val="24"/>
          <w:szCs w:val="24"/>
        </w:rPr>
        <w:t xml:space="preserve">). </w:t>
      </w:r>
    </w:p>
    <w:p w14:paraId="023D5BDB" w14:textId="77777777" w:rsidR="003E095A"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7ACEB0CD" w14:textId="08BB10F9" w:rsidR="00785706"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In Panel B we highlight the countries </w:t>
      </w:r>
      <w:r w:rsidR="00F40A3A">
        <w:rPr>
          <w:rFonts w:ascii="Arial" w:eastAsia="Arial" w:hAnsi="Arial" w:cs="Arial"/>
          <w:sz w:val="24"/>
          <w:szCs w:val="24"/>
        </w:rPr>
        <w:t>according to</w:t>
      </w:r>
      <w:r>
        <w:rPr>
          <w:rFonts w:ascii="Arial" w:eastAsia="Arial" w:hAnsi="Arial" w:cs="Arial"/>
          <w:sz w:val="24"/>
          <w:szCs w:val="24"/>
        </w:rPr>
        <w:t xml:space="preserve"> total gender gaps in DFLE</w:t>
      </w:r>
      <w:r w:rsidR="00BD0C4A">
        <w:rPr>
          <w:rFonts w:ascii="Arial" w:eastAsia="Arial" w:hAnsi="Arial" w:cs="Arial"/>
          <w:sz w:val="24"/>
          <w:szCs w:val="24"/>
        </w:rPr>
        <w:t xml:space="preserve"> and their corresponding </w:t>
      </w:r>
      <w:r>
        <w:rPr>
          <w:rFonts w:ascii="Arial" w:eastAsia="Arial" w:hAnsi="Arial" w:cs="Arial"/>
          <w:sz w:val="24"/>
          <w:szCs w:val="24"/>
        </w:rPr>
        <w:t xml:space="preserve">mortality and disability effects. </w:t>
      </w:r>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the lowest gender gaps in DFLE </w:t>
      </w:r>
      <w:r w:rsidR="003B723B">
        <w:rPr>
          <w:rFonts w:ascii="Arial" w:eastAsia="Arial" w:hAnsi="Arial" w:cs="Arial"/>
          <w:sz w:val="24"/>
          <w:szCs w:val="24"/>
        </w:rPr>
        <w:t>at ages 60+ (-</w:t>
      </w:r>
      <w:r w:rsidR="003B723B" w:rsidRPr="00A80760">
        <w:rPr>
          <w:rFonts w:ascii="Arial" w:eastAsia="Arial" w:hAnsi="Arial" w:cs="Arial"/>
          <w:sz w:val="24"/>
          <w:szCs w:val="24"/>
        </w:rPr>
        <w:t>0.1</w:t>
      </w:r>
      <w:r w:rsidR="003B723B">
        <w:rPr>
          <w:rFonts w:ascii="Arial" w:eastAsia="Arial" w:hAnsi="Arial" w:cs="Arial"/>
          <w:sz w:val="24"/>
          <w:szCs w:val="24"/>
        </w:rPr>
        <w:t>6</w:t>
      </w:r>
      <w:r w:rsidR="003B723B" w:rsidRPr="00A80760">
        <w:rPr>
          <w:rFonts w:ascii="Arial" w:eastAsia="Arial" w:hAnsi="Arial" w:cs="Arial"/>
          <w:sz w:val="24"/>
          <w:szCs w:val="24"/>
        </w:rPr>
        <w:t xml:space="preserve"> and -0.3</w:t>
      </w:r>
      <w:r w:rsidR="003B723B">
        <w:rPr>
          <w:rFonts w:ascii="Arial" w:eastAsia="Arial" w:hAnsi="Arial" w:cs="Arial"/>
          <w:sz w:val="24"/>
          <w:szCs w:val="24"/>
        </w:rPr>
        <w:t>6</w:t>
      </w:r>
      <w:r w:rsidR="003B723B" w:rsidRPr="00A80760">
        <w:rPr>
          <w:rFonts w:ascii="Arial" w:eastAsia="Arial" w:hAnsi="Arial" w:cs="Arial"/>
          <w:sz w:val="24"/>
          <w:szCs w:val="24"/>
        </w:rPr>
        <w:t>, 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effect of disability and mortality,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 xml:space="preserve">offsetting each other. </w:t>
      </w:r>
      <w:r w:rsidR="00F379EE">
        <w:rPr>
          <w:rFonts w:ascii="Arial" w:eastAsia="Arial" w:hAnsi="Arial" w:cs="Arial"/>
          <w:sz w:val="24"/>
          <w:szCs w:val="24"/>
        </w:rPr>
        <w:t xml:space="preserve">However, since the effect of disability is </w:t>
      </w:r>
      <w:r w:rsidR="00FA5180">
        <w:rPr>
          <w:rFonts w:ascii="Arial" w:eastAsia="Arial" w:hAnsi="Arial" w:cs="Arial"/>
          <w:sz w:val="24"/>
          <w:szCs w:val="24"/>
        </w:rPr>
        <w:t>larger</w:t>
      </w:r>
      <w:r w:rsidR="00F379EE">
        <w:rPr>
          <w:rFonts w:ascii="Arial" w:eastAsia="Arial" w:hAnsi="Arial" w:cs="Arial"/>
          <w:sz w:val="24"/>
          <w:szCs w:val="24"/>
        </w:rPr>
        <w:t xml:space="preserve"> than mortality</w:t>
      </w:r>
      <w:r w:rsidR="00FA5180">
        <w:rPr>
          <w:rFonts w:ascii="Arial" w:eastAsia="Arial" w:hAnsi="Arial" w:cs="Arial"/>
          <w:sz w:val="24"/>
          <w:szCs w:val="24"/>
        </w:rPr>
        <w:t xml:space="preserve"> </w:t>
      </w:r>
      <w:r w:rsidR="00FA5180" w:rsidRPr="00A80760">
        <w:rPr>
          <w:rFonts w:ascii="Arial" w:eastAsia="Arial" w:hAnsi="Arial" w:cs="Arial"/>
          <w:sz w:val="24"/>
          <w:szCs w:val="24"/>
        </w:rPr>
        <w:t>(-1.2</w:t>
      </w:r>
      <w:r w:rsidR="00FA5180">
        <w:rPr>
          <w:rFonts w:ascii="Arial" w:eastAsia="Arial" w:hAnsi="Arial" w:cs="Arial"/>
          <w:sz w:val="24"/>
          <w:szCs w:val="24"/>
        </w:rPr>
        <w:t>5</w:t>
      </w:r>
      <w:r w:rsidR="00FA5180" w:rsidRPr="00A80760">
        <w:rPr>
          <w:rFonts w:ascii="Arial" w:eastAsia="Arial" w:hAnsi="Arial" w:cs="Arial"/>
          <w:sz w:val="24"/>
          <w:szCs w:val="24"/>
        </w:rPr>
        <w:t xml:space="preserve"> and -2.</w:t>
      </w:r>
      <w:r w:rsidR="00FA5180">
        <w:rPr>
          <w:rFonts w:ascii="Arial" w:eastAsia="Arial" w:hAnsi="Arial" w:cs="Arial"/>
          <w:sz w:val="24"/>
          <w:szCs w:val="24"/>
        </w:rPr>
        <w:t>69</w:t>
      </w:r>
      <w:r w:rsidR="00FA5180" w:rsidRPr="00A80760">
        <w:rPr>
          <w:rFonts w:ascii="Arial" w:eastAsia="Arial" w:hAnsi="Arial" w:cs="Arial"/>
          <w:sz w:val="24"/>
          <w:szCs w:val="24"/>
        </w:rPr>
        <w:t>, respectively)</w:t>
      </w:r>
      <w:r w:rsidR="00F379EE">
        <w:rPr>
          <w:rFonts w:ascii="Arial" w:eastAsia="Arial" w:hAnsi="Arial" w:cs="Arial"/>
          <w:sz w:val="24"/>
          <w:szCs w:val="24"/>
        </w:rPr>
        <w:t>, 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13627EB" w14:textId="77777777" w:rsidR="002363D7" w:rsidRDefault="002363D7"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0000053" w14:textId="78480C4B" w:rsidR="00B133DD" w:rsidRDefault="00227F78">
      <w:pPr>
        <w:keepNext/>
        <w:spacing w:before="240" w:after="240" w:line="360" w:lineRule="auto"/>
        <w:jc w:val="both"/>
        <w:rPr>
          <w:rFonts w:ascii="Georgia" w:eastAsia="Georgia" w:hAnsi="Georgia" w:cs="Georgia"/>
          <w:b/>
          <w:sz w:val="24"/>
          <w:szCs w:val="24"/>
          <w:highlight w:val="white"/>
        </w:rPr>
      </w:pPr>
      <w:r>
        <w:rPr>
          <w:rFonts w:ascii="Georgia" w:eastAsia="Georgia" w:hAnsi="Georgia" w:cs="Georgia"/>
          <w:b/>
          <w:noProof/>
          <w:sz w:val="24"/>
          <w:szCs w:val="24"/>
        </w:rPr>
        <w:drawing>
          <wp:inline distT="0" distB="0" distL="0" distR="0" wp14:anchorId="7F0C9ED7" wp14:editId="1797AE23">
            <wp:extent cx="6538629" cy="35447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Manu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6205" cy="3581419"/>
                    </a:xfrm>
                    <a:prstGeom prst="rect">
                      <a:avLst/>
                    </a:prstGeom>
                  </pic:spPr>
                </pic:pic>
              </a:graphicData>
            </a:graphic>
          </wp:inline>
        </w:drawing>
      </w:r>
    </w:p>
    <w:p w14:paraId="3126A44C" w14:textId="37C4FA44" w:rsidR="00812D86" w:rsidRDefault="00A50CB3" w:rsidP="00714BEC">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2.</w:t>
      </w:r>
      <w:r>
        <w:rPr>
          <w:rFonts w:ascii="Arial" w:eastAsia="Arial" w:hAnsi="Arial" w:cs="Arial"/>
          <w:sz w:val="24"/>
          <w:szCs w:val="24"/>
          <w:highlight w:val="white"/>
        </w:rPr>
        <w:t xml:space="preserve"> Decomposition of the gender gap </w:t>
      </w:r>
      <w:ins w:id="210" w:author="Nepomuceno, Marilia" w:date="2023-05-22T16:02:00Z">
        <w:r w:rsidR="001C227A">
          <w:rPr>
            <w:rFonts w:ascii="Arial" w:eastAsia="Arial" w:hAnsi="Arial" w:cs="Arial"/>
            <w:sz w:val="24"/>
            <w:szCs w:val="24"/>
          </w:rPr>
          <w:t xml:space="preserve">(women-men) </w:t>
        </w:r>
      </w:ins>
      <w:r>
        <w:rPr>
          <w:rFonts w:ascii="Arial" w:eastAsia="Arial" w:hAnsi="Arial" w:cs="Arial"/>
          <w:sz w:val="24"/>
          <w:szCs w:val="24"/>
          <w:highlight w:val="white"/>
        </w:rPr>
        <w:t xml:space="preserve">in disability-free life expectancy (DFLE) at ages 60+ into mortality and disability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 xml:space="preserve">Note: Panel A presents the effects by each country, ranked from the highest to lowest </w:t>
      </w:r>
      <w:r>
        <w:rPr>
          <w:rFonts w:ascii="Arial" w:eastAsia="Arial" w:hAnsi="Arial" w:cs="Arial"/>
          <w:sz w:val="18"/>
          <w:szCs w:val="18"/>
          <w:highlight w:val="white"/>
        </w:rPr>
        <w:lastRenderedPageBreak/>
        <w:t>disability contribution. Panel B presents selected countries, grouped by their GAP in DFLE (Women-Men) and the contributions of disability and mortality to the total GAP.</w:t>
      </w:r>
    </w:p>
    <w:p w14:paraId="293F3663" w14:textId="77777777" w:rsidR="0083595B" w:rsidRPr="00714BEC" w:rsidRDefault="0083595B" w:rsidP="00714BEC">
      <w:pPr>
        <w:keepNext/>
        <w:spacing w:before="240" w:after="240" w:line="360" w:lineRule="auto"/>
        <w:jc w:val="both"/>
        <w:rPr>
          <w:rFonts w:ascii="Arial" w:eastAsia="Arial" w:hAnsi="Arial" w:cs="Arial"/>
          <w:sz w:val="18"/>
          <w:szCs w:val="18"/>
          <w:highlight w:val="white"/>
        </w:rPr>
      </w:pPr>
    </w:p>
    <w:p w14:paraId="5B278493" w14:textId="060AB745"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years), with Korea</w:t>
      </w:r>
      <w:r w:rsidR="00036D14">
        <w:rPr>
          <w:rFonts w:ascii="Arial" w:eastAsia="Arial" w:hAnsi="Arial" w:cs="Arial"/>
          <w:sz w:val="24"/>
          <w:szCs w:val="24"/>
        </w:rPr>
        <w:t xml:space="preserve"> being</w:t>
      </w:r>
      <w:r w:rsidRPr="00A80760">
        <w:rPr>
          <w:rFonts w:ascii="Arial" w:eastAsia="Arial" w:hAnsi="Arial" w:cs="Arial"/>
          <w:sz w:val="24"/>
          <w:szCs w:val="24"/>
        </w:rPr>
        <w:t xml:space="preserve"> the country with one of the highest gaps at ages 60+ in favor of women</w:t>
      </w:r>
      <w:r>
        <w:rPr>
          <w:rFonts w:ascii="Arial" w:eastAsia="Arial" w:hAnsi="Arial" w:cs="Arial"/>
          <w:sz w:val="24"/>
          <w:szCs w:val="24"/>
        </w:rPr>
        <w:t xml:space="preserve"> </w:t>
      </w:r>
      <w:r w:rsidRPr="00A80760">
        <w:rPr>
          <w:rFonts w:ascii="Arial" w:eastAsia="Arial" w:hAnsi="Arial" w:cs="Arial"/>
          <w:sz w:val="24"/>
          <w:szCs w:val="24"/>
        </w:rPr>
        <w:t>(4.39 years). The contribution stems mainly from the mortality advantage of women in Korea (4.74 against -0.35 the role of disability)</w:t>
      </w:r>
      <w:r w:rsidR="00036D14">
        <w:rPr>
          <w:rFonts w:ascii="Arial" w:eastAsia="Arial" w:hAnsi="Arial" w:cs="Arial"/>
          <w:sz w:val="24"/>
          <w:szCs w:val="24"/>
        </w:rPr>
        <w:t xml:space="preserve">. The mortality advantage of women in Denmark is also the key factor in explaining the gap (2.39), but their advantage relative to men is also stemming from a positive disability effect,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20E6FC7E" w:rsidR="003F62F1" w:rsidRPr="00F2560C" w:rsidRDefault="00DB1726" w:rsidP="00F2560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white"/>
        </w:rPr>
        <w:t xml:space="preserve">Figure 3 </w:t>
      </w:r>
      <w:r w:rsidR="002F3FE1">
        <w:rPr>
          <w:rFonts w:ascii="Arial" w:eastAsia="Arial" w:hAnsi="Arial" w:cs="Arial"/>
          <w:sz w:val="24"/>
          <w:szCs w:val="24"/>
          <w:highlight w:val="white"/>
        </w:rPr>
        <w:t>presents the results</w:t>
      </w:r>
      <w:r>
        <w:rPr>
          <w:rFonts w:ascii="Arial" w:eastAsia="Arial" w:hAnsi="Arial" w:cs="Arial"/>
          <w:sz w:val="24"/>
          <w:szCs w:val="24"/>
          <w:highlight w:val="white"/>
        </w:rPr>
        <w:t xml:space="preserve"> for the gender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as women face more disadvantage than men for most countries.</w:t>
      </w:r>
      <w:r w:rsidR="003F62F1">
        <w:rPr>
          <w:rFonts w:ascii="Arial" w:eastAsia="Arial" w:hAnsi="Arial" w:cs="Arial"/>
          <w:sz w:val="24"/>
          <w:szCs w:val="24"/>
          <w:highlight w:val="white"/>
        </w:rPr>
        <w:t xml:space="preserve"> Portugal and Korea are thus among the countries where the gap is the largest across countries with a negative gender gap in CFLE, or where men have more advantage than women. Conversely, Israel and Slovenia </w:t>
      </w:r>
      <w:r w:rsidR="003F62F1">
        <w:rPr>
          <w:rFonts w:ascii="Arial" w:eastAsia="Arial" w:hAnsi="Arial" w:cs="Arial"/>
          <w:sz w:val="24"/>
          <w:szCs w:val="24"/>
          <w:highlight w:val="white"/>
        </w:rPr>
        <w:lastRenderedPageBreak/>
        <w:t>are among the countries</w:t>
      </w:r>
      <w:r w:rsidR="009A1A97">
        <w:rPr>
          <w:rFonts w:ascii="Arial" w:eastAsia="Arial" w:hAnsi="Arial" w:cs="Arial"/>
          <w:sz w:val="24"/>
          <w:szCs w:val="24"/>
          <w:highlight w:val="white"/>
        </w:rPr>
        <w:t xml:space="preserve"> with the highest positive gap, or where women have an advantage relative to men. </w:t>
      </w:r>
    </w:p>
    <w:p w14:paraId="7FBF9593" w14:textId="77777777" w:rsidR="0034087B" w:rsidRDefault="0034087B">
      <w:pPr>
        <w:keepNext/>
        <w:spacing w:before="240" w:after="240" w:line="360" w:lineRule="auto"/>
        <w:jc w:val="both"/>
        <w:rPr>
          <w:rFonts w:ascii="Arial" w:eastAsia="Arial" w:hAnsi="Arial" w:cs="Arial"/>
          <w:sz w:val="24"/>
          <w:szCs w:val="24"/>
          <w:highlight w:val="white"/>
        </w:rPr>
      </w:pPr>
    </w:p>
    <w:p w14:paraId="00000056" w14:textId="5928433E" w:rsidR="00B133DD" w:rsidRDefault="004A558D">
      <w:pPr>
        <w:keepNext/>
        <w:spacing w:before="240" w:after="240" w:line="360" w:lineRule="auto"/>
        <w:jc w:val="both"/>
        <w:rPr>
          <w:rFonts w:ascii="Arial" w:eastAsia="Arial" w:hAnsi="Arial" w:cs="Arial"/>
          <w:sz w:val="24"/>
          <w:szCs w:val="24"/>
          <w:highlight w:val="white"/>
        </w:rPr>
      </w:pPr>
      <w:r>
        <w:rPr>
          <w:rFonts w:ascii="Arial" w:eastAsia="Arial" w:hAnsi="Arial" w:cs="Arial"/>
          <w:noProof/>
          <w:sz w:val="24"/>
          <w:szCs w:val="24"/>
        </w:rPr>
        <w:drawing>
          <wp:inline distT="0" distB="0" distL="0" distR="0" wp14:anchorId="78A878BD" wp14:editId="3B236AD6">
            <wp:extent cx="6564421" cy="34675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7787" cy="3479938"/>
                    </a:xfrm>
                    <a:prstGeom prst="rect">
                      <a:avLst/>
                    </a:prstGeom>
                  </pic:spPr>
                </pic:pic>
              </a:graphicData>
            </a:graphic>
          </wp:inline>
        </w:drawing>
      </w:r>
    </w:p>
    <w:p w14:paraId="00000057" w14:textId="50F7F7A6" w:rsidR="00B133DD" w:rsidRDefault="00A50CB3">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3.</w:t>
      </w:r>
      <w:r>
        <w:rPr>
          <w:rFonts w:ascii="Arial" w:eastAsia="Arial" w:hAnsi="Arial" w:cs="Arial"/>
          <w:sz w:val="24"/>
          <w:szCs w:val="24"/>
          <w:highlight w:val="white"/>
        </w:rPr>
        <w:t xml:space="preserve"> Decomposition of the gender gap </w:t>
      </w:r>
      <w:ins w:id="211" w:author="Nepomuceno, Marilia" w:date="2023-05-22T16:30:00Z">
        <w:r w:rsidR="00AA546F">
          <w:rPr>
            <w:rFonts w:ascii="Arial" w:eastAsia="Arial" w:hAnsi="Arial" w:cs="Arial"/>
            <w:sz w:val="24"/>
            <w:szCs w:val="24"/>
          </w:rPr>
          <w:t xml:space="preserve">(women-men) </w:t>
        </w:r>
      </w:ins>
      <w:r>
        <w:rPr>
          <w:rFonts w:ascii="Arial" w:eastAsia="Arial" w:hAnsi="Arial" w:cs="Arial"/>
          <w:sz w:val="24"/>
          <w:szCs w:val="24"/>
          <w:highlight w:val="white"/>
        </w:rPr>
        <w:t xml:space="preserve">in chronic disease-free life expectancy (CFLE) at ages 60+ into mortality and chronic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Note: Panel A presents the effects by each country, ranked from the highest to lowest chronic disease contribution. Panel B presents selected countries, grouped by their GAP in CFLE (Women-Men) and the contributions of chronic and mortality to the total GAP.</w:t>
      </w:r>
    </w:p>
    <w:p w14:paraId="6E6374F9" w14:textId="77777777" w:rsidR="000E7D8E" w:rsidRDefault="000E7D8E">
      <w:pPr>
        <w:keepNext/>
        <w:spacing w:before="240" w:after="240" w:line="360" w:lineRule="auto"/>
        <w:jc w:val="both"/>
        <w:rPr>
          <w:rFonts w:ascii="Arial" w:eastAsia="Arial" w:hAnsi="Arial" w:cs="Arial"/>
          <w:sz w:val="24"/>
          <w:szCs w:val="24"/>
          <w:highlight w:val="white"/>
        </w:rPr>
      </w:pPr>
    </w:p>
    <w:p w14:paraId="15FF2C10" w14:textId="35A0F457" w:rsidR="000E7D8E" w:rsidRDefault="00D85F41">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Similar to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effects of chronic and mortality components. Israel has a total gender gap in CFLE of 1.69 and Slovenia of 1.04. Despite this similarity </w:t>
      </w:r>
      <w:r w:rsidR="00CF19A1">
        <w:rPr>
          <w:rFonts w:ascii="Arial" w:eastAsia="Arial" w:hAnsi="Arial" w:cs="Arial"/>
          <w:sz w:val="24"/>
          <w:szCs w:val="24"/>
          <w:highlight w:val="white"/>
        </w:rPr>
        <w:t>and a positive gap in CFLE, in Slovenia the gap is explained by a high mortality effect and a negative chronic effect, while in Israel both components contribute to increase the advantage of women relative to men.</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w:t>
      </w:r>
      <w:r w:rsidR="002115EB">
        <w:rPr>
          <w:rFonts w:ascii="Arial" w:eastAsia="Arial" w:hAnsi="Arial" w:cs="Arial"/>
          <w:sz w:val="24"/>
          <w:szCs w:val="24"/>
          <w:highlight w:val="white"/>
        </w:rPr>
        <w:lastRenderedPageBreak/>
        <w:t>CFLE implies that men have an advantage relative to women in these countries</w:t>
      </w:r>
      <w:r w:rsidR="0083595B">
        <w:rPr>
          <w:rFonts w:ascii="Arial" w:eastAsia="Arial" w:hAnsi="Arial" w:cs="Arial"/>
          <w:sz w:val="24"/>
          <w:szCs w:val="24"/>
          <w:highlight w:val="white"/>
        </w:rPr>
        <w:t xml:space="preserve"> </w:t>
      </w:r>
      <w:r w:rsidR="002115EB">
        <w:rPr>
          <w:rFonts w:ascii="Arial" w:eastAsia="Arial" w:hAnsi="Arial" w:cs="Arial"/>
          <w:sz w:val="24"/>
          <w:szCs w:val="24"/>
          <w:highlight w:val="white"/>
        </w:rPr>
        <w:t>when it comes to chronic disease</w:t>
      </w:r>
      <w:r w:rsidR="00714BEC">
        <w:rPr>
          <w:rFonts w:ascii="Arial" w:eastAsia="Arial" w:hAnsi="Arial" w:cs="Arial"/>
          <w:sz w:val="24"/>
          <w:szCs w:val="24"/>
          <w:highlight w:val="white"/>
        </w:rPr>
        <w:t>-</w:t>
      </w:r>
      <w:r w:rsidR="002115EB">
        <w:rPr>
          <w:rFonts w:ascii="Arial" w:eastAsia="Arial" w:hAnsi="Arial" w:cs="Arial"/>
          <w:sz w:val="24"/>
          <w:szCs w:val="24"/>
          <w:highlight w:val="white"/>
        </w:rPr>
        <w:t xml:space="preserve">free life expectancy, with a strong effect of chronic conditions. </w:t>
      </w:r>
    </w:p>
    <w:p w14:paraId="7ACA8784" w14:textId="77777777" w:rsidR="00E616BE" w:rsidRDefault="00E616BE">
      <w:pPr>
        <w:keepNext/>
        <w:spacing w:before="240" w:after="240" w:line="360" w:lineRule="auto"/>
        <w:jc w:val="both"/>
        <w:rPr>
          <w:rFonts w:ascii="Arial" w:eastAsia="Arial" w:hAnsi="Arial" w:cs="Arial"/>
          <w:sz w:val="24"/>
          <w:szCs w:val="24"/>
          <w:highlight w:val="white"/>
        </w:rPr>
      </w:pPr>
    </w:p>
    <w:p w14:paraId="0606B84B" w14:textId="53E48EB2" w:rsidR="0083595B"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w:t>
      </w:r>
      <w:ins w:id="212" w:author="Nepomuceno, Marilia" w:date="2023-05-22T16:30:00Z">
        <w:r w:rsidR="00AA546F">
          <w:rPr>
            <w:rFonts w:ascii="Arial" w:eastAsia="Arial" w:hAnsi="Arial" w:cs="Arial"/>
            <w:sz w:val="24"/>
            <w:szCs w:val="24"/>
          </w:rPr>
          <w:t xml:space="preserve">(women-men) </w:t>
        </w:r>
      </w:ins>
      <w:r>
        <w:rPr>
          <w:rFonts w:ascii="Arial" w:eastAsia="Arial" w:hAnsi="Arial" w:cs="Arial"/>
          <w:sz w:val="24"/>
          <w:szCs w:val="24"/>
          <w:highlight w:val="white"/>
        </w:rPr>
        <w:t>in disability-free life expectancy (DFLE) at ages 60+ into mortality and disability effects by country, with 95% confidence intervals</w:t>
      </w:r>
      <w:r w:rsidR="0083595B">
        <w:rPr>
          <w:rFonts w:ascii="Arial" w:eastAsia="Arial" w:hAnsi="Arial" w:cs="Arial"/>
          <w:sz w:val="24"/>
          <w:szCs w:val="24"/>
          <w:highlight w:val="white"/>
        </w:rPr>
        <w:t>.</w:t>
      </w:r>
    </w:p>
    <w:tbl>
      <w:tblPr>
        <w:tblStyle w:val="2"/>
        <w:tblW w:w="10178" w:type="dxa"/>
        <w:tblLayout w:type="fixed"/>
        <w:tblLook w:val="0400" w:firstRow="0" w:lastRow="0" w:firstColumn="0" w:lastColumn="0" w:noHBand="0" w:noVBand="1"/>
      </w:tblPr>
      <w:tblGrid>
        <w:gridCol w:w="1612"/>
        <w:gridCol w:w="755"/>
        <w:gridCol w:w="873"/>
        <w:gridCol w:w="1432"/>
        <w:gridCol w:w="1177"/>
        <w:gridCol w:w="1331"/>
        <w:gridCol w:w="1231"/>
        <w:gridCol w:w="1513"/>
        <w:gridCol w:w="254"/>
      </w:tblGrid>
      <w:tr w:rsidR="00B133DD" w14:paraId="2B1963DA" w14:textId="77777777" w:rsidTr="0083595B">
        <w:trPr>
          <w:gridAfter w:val="1"/>
          <w:wAfter w:w="254" w:type="dxa"/>
          <w:trHeight w:val="212"/>
        </w:trPr>
        <w:tc>
          <w:tcPr>
            <w:tcW w:w="1612"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5"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873"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32"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52"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83595B">
        <w:trPr>
          <w:gridAfter w:val="1"/>
          <w:wAfter w:w="254" w:type="dxa"/>
          <w:trHeight w:val="424"/>
        </w:trPr>
        <w:tc>
          <w:tcPr>
            <w:tcW w:w="1612"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1"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3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13"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83595B">
        <w:trPr>
          <w:trHeight w:val="204"/>
        </w:trPr>
        <w:tc>
          <w:tcPr>
            <w:tcW w:w="1612"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1"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3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13"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54"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83595B">
        <w:trPr>
          <w:trHeight w:val="204"/>
        </w:trPr>
        <w:tc>
          <w:tcPr>
            <w:tcW w:w="1612"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5"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32"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177"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31"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3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54"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83595B">
        <w:trPr>
          <w:trHeight w:val="212"/>
        </w:trPr>
        <w:tc>
          <w:tcPr>
            <w:tcW w:w="1612"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5"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873"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32"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177"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3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13"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54"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83595B">
        <w:trPr>
          <w:trHeight w:val="204"/>
        </w:trPr>
        <w:tc>
          <w:tcPr>
            <w:tcW w:w="1612"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5"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873"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32"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177"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31"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3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13"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54"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83595B">
        <w:trPr>
          <w:trHeight w:val="204"/>
        </w:trPr>
        <w:tc>
          <w:tcPr>
            <w:tcW w:w="1612"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5"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873"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32"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177"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31"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3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13"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54"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83595B">
        <w:trPr>
          <w:trHeight w:val="204"/>
        </w:trPr>
        <w:tc>
          <w:tcPr>
            <w:tcW w:w="1612"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5"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873"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32"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177"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31"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3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13"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54"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83595B">
        <w:trPr>
          <w:trHeight w:val="204"/>
        </w:trPr>
        <w:tc>
          <w:tcPr>
            <w:tcW w:w="1612"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5"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873"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32"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177"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31"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3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13"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54"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83595B">
        <w:trPr>
          <w:trHeight w:val="204"/>
        </w:trPr>
        <w:tc>
          <w:tcPr>
            <w:tcW w:w="1612"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5"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873"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32"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13"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54"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83595B">
        <w:trPr>
          <w:trHeight w:val="212"/>
        </w:trPr>
        <w:tc>
          <w:tcPr>
            <w:tcW w:w="1612"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5"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32"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177"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31"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3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13"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54"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83595B">
        <w:trPr>
          <w:trHeight w:val="204"/>
        </w:trPr>
        <w:tc>
          <w:tcPr>
            <w:tcW w:w="1612"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5"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873"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32"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177"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3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13"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54"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83595B">
        <w:trPr>
          <w:trHeight w:val="204"/>
        </w:trPr>
        <w:tc>
          <w:tcPr>
            <w:tcW w:w="1612"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5"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873"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32"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177"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31"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3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13"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54"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83595B">
        <w:trPr>
          <w:trHeight w:val="204"/>
        </w:trPr>
        <w:tc>
          <w:tcPr>
            <w:tcW w:w="1612"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5"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873"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177"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3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13"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54"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83595B">
        <w:trPr>
          <w:trHeight w:val="204"/>
        </w:trPr>
        <w:tc>
          <w:tcPr>
            <w:tcW w:w="1612"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5"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873"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32"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177"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31"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3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13"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54"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83595B">
        <w:trPr>
          <w:trHeight w:val="204"/>
        </w:trPr>
        <w:tc>
          <w:tcPr>
            <w:tcW w:w="1612"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5"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32"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177"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3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w:t>
            </w:r>
            <w:proofErr w:type="gramStart"/>
            <w:r>
              <w:rPr>
                <w:rFonts w:ascii="Arial" w:eastAsia="Arial" w:hAnsi="Arial" w:cs="Arial"/>
                <w:color w:val="000000"/>
              </w:rPr>
              <w:t>,  -</w:t>
            </w:r>
            <w:proofErr w:type="gramEnd"/>
            <w:r>
              <w:rPr>
                <w:rFonts w:ascii="Arial" w:eastAsia="Arial" w:hAnsi="Arial" w:cs="Arial"/>
                <w:color w:val="000000"/>
              </w:rPr>
              <w:t>0.46]</w:t>
            </w:r>
          </w:p>
        </w:tc>
        <w:tc>
          <w:tcPr>
            <w:tcW w:w="254"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83595B">
        <w:trPr>
          <w:trHeight w:val="204"/>
        </w:trPr>
        <w:tc>
          <w:tcPr>
            <w:tcW w:w="1612"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5"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873"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32"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177"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31"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3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13"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54"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83595B">
        <w:trPr>
          <w:trHeight w:val="204"/>
        </w:trPr>
        <w:tc>
          <w:tcPr>
            <w:tcW w:w="1612"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5"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873"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32"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177"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31"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3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13"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54"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83595B">
        <w:trPr>
          <w:trHeight w:val="204"/>
        </w:trPr>
        <w:tc>
          <w:tcPr>
            <w:tcW w:w="1612"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5"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873"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32"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177"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3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13"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54"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83595B">
        <w:trPr>
          <w:trHeight w:val="204"/>
        </w:trPr>
        <w:tc>
          <w:tcPr>
            <w:tcW w:w="1612"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5"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873"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32"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177"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31"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3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13"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54"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83595B">
        <w:trPr>
          <w:trHeight w:val="204"/>
        </w:trPr>
        <w:tc>
          <w:tcPr>
            <w:tcW w:w="1612"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5"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873"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32"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177"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31"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3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13"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54"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83595B">
        <w:trPr>
          <w:trHeight w:val="204"/>
        </w:trPr>
        <w:tc>
          <w:tcPr>
            <w:tcW w:w="1612"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5"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873"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32"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177"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31"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3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13"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54"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83595B">
        <w:trPr>
          <w:trHeight w:val="204"/>
        </w:trPr>
        <w:tc>
          <w:tcPr>
            <w:tcW w:w="1612"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5"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873"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32"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177"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3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13"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54"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83595B">
        <w:trPr>
          <w:trHeight w:val="204"/>
        </w:trPr>
        <w:tc>
          <w:tcPr>
            <w:tcW w:w="1612"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5"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873"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32"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177"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31"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3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13"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54"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83595B">
        <w:trPr>
          <w:trHeight w:val="204"/>
        </w:trPr>
        <w:tc>
          <w:tcPr>
            <w:tcW w:w="1612"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5"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32"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177"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31"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3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13"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54"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83595B">
        <w:trPr>
          <w:trHeight w:val="204"/>
        </w:trPr>
        <w:tc>
          <w:tcPr>
            <w:tcW w:w="1612"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5"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873"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32"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177"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3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13"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w:t>
            </w:r>
            <w:proofErr w:type="gramStart"/>
            <w:r>
              <w:rPr>
                <w:rFonts w:ascii="Arial" w:eastAsia="Arial" w:hAnsi="Arial" w:cs="Arial"/>
                <w:color w:val="000000"/>
              </w:rPr>
              <w:t>,  -</w:t>
            </w:r>
            <w:proofErr w:type="gramEnd"/>
            <w:r>
              <w:rPr>
                <w:rFonts w:ascii="Arial" w:eastAsia="Arial" w:hAnsi="Arial" w:cs="Arial"/>
                <w:color w:val="000000"/>
              </w:rPr>
              <w:t>0.27]</w:t>
            </w:r>
          </w:p>
        </w:tc>
        <w:tc>
          <w:tcPr>
            <w:tcW w:w="254"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83595B">
        <w:trPr>
          <w:trHeight w:val="204"/>
        </w:trPr>
        <w:tc>
          <w:tcPr>
            <w:tcW w:w="1612"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5"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873"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177"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31"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3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13"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54"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83595B">
        <w:trPr>
          <w:trHeight w:val="204"/>
        </w:trPr>
        <w:tc>
          <w:tcPr>
            <w:tcW w:w="1612"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5"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873"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177"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3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13"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54"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83595B">
        <w:trPr>
          <w:trHeight w:val="204"/>
        </w:trPr>
        <w:tc>
          <w:tcPr>
            <w:tcW w:w="1612"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5"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873"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177"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31"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3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13"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54"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83595B">
        <w:trPr>
          <w:trHeight w:val="204"/>
        </w:trPr>
        <w:tc>
          <w:tcPr>
            <w:tcW w:w="1612"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55"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873"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32"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177"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31"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3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13"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54"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10BFF062" w14:textId="46BDD1F5" w:rsidR="0083595B" w:rsidRDefault="0083595B">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lastRenderedPageBreak/>
        <w:t>Source: Gateway to Global Aging Data, Produced by the Program on Global Aging, Health &amp; Policy, University of Southern California with funding from the National Institute on Aging (R01 AG030153).</w:t>
      </w:r>
    </w:p>
    <w:p w14:paraId="7B2C7958" w14:textId="77777777" w:rsidR="00E616BE" w:rsidRDefault="00E616BE">
      <w:pPr>
        <w:keepNext/>
        <w:spacing w:before="240" w:after="240" w:line="360" w:lineRule="auto"/>
        <w:jc w:val="both"/>
        <w:rPr>
          <w:rFonts w:ascii="Arial" w:eastAsia="Arial" w:hAnsi="Arial" w:cs="Arial"/>
          <w:b/>
          <w:sz w:val="24"/>
          <w:szCs w:val="24"/>
          <w:highlight w:val="white"/>
        </w:rPr>
      </w:pPr>
    </w:p>
    <w:p w14:paraId="00000167" w14:textId="234E4278"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w:t>
      </w:r>
      <w:ins w:id="213" w:author="Nepomuceno, Marilia" w:date="2023-05-22T16:30:00Z">
        <w:r w:rsidR="00AA546F">
          <w:rPr>
            <w:rFonts w:ascii="Arial" w:eastAsia="Arial" w:hAnsi="Arial" w:cs="Arial"/>
            <w:sz w:val="24"/>
            <w:szCs w:val="24"/>
            <w:highlight w:val="white"/>
          </w:rPr>
          <w:t xml:space="preserve"> </w:t>
        </w:r>
        <w:r w:rsidR="00AA546F">
          <w:rPr>
            <w:rFonts w:ascii="Arial" w:eastAsia="Arial" w:hAnsi="Arial" w:cs="Arial"/>
            <w:sz w:val="24"/>
            <w:szCs w:val="24"/>
          </w:rPr>
          <w:t xml:space="preserve">(women-men) </w:t>
        </w:r>
      </w:ins>
      <w:del w:id="214" w:author="Nepomuceno, Marilia" w:date="2023-05-22T16:30:00Z">
        <w:r w:rsidDel="00AA546F">
          <w:rPr>
            <w:rFonts w:ascii="Arial" w:eastAsia="Arial" w:hAnsi="Arial" w:cs="Arial"/>
            <w:sz w:val="24"/>
            <w:szCs w:val="24"/>
            <w:highlight w:val="white"/>
          </w:rPr>
          <w:delText xml:space="preserve"> </w:delText>
        </w:r>
      </w:del>
      <w:r>
        <w:rPr>
          <w:rFonts w:ascii="Arial" w:eastAsia="Arial" w:hAnsi="Arial" w:cs="Arial"/>
          <w:sz w:val="24"/>
          <w:szCs w:val="24"/>
          <w:highlight w:val="white"/>
        </w:rPr>
        <w:t>in chronic disease-free life expectancy (CFLE) at ages 60+ into mortality and disability effects by country, with 95% confidence intervals.</w:t>
      </w:r>
    </w:p>
    <w:tbl>
      <w:tblPr>
        <w:tblStyle w:val="1"/>
        <w:tblW w:w="10360" w:type="dxa"/>
        <w:tblLayout w:type="fixed"/>
        <w:tblLook w:val="0400" w:firstRow="0" w:lastRow="0" w:firstColumn="0" w:lastColumn="0" w:noHBand="0" w:noVBand="1"/>
      </w:tblPr>
      <w:tblGrid>
        <w:gridCol w:w="1678"/>
        <w:gridCol w:w="750"/>
        <w:gridCol w:w="911"/>
        <w:gridCol w:w="1539"/>
        <w:gridCol w:w="1225"/>
        <w:gridCol w:w="1332"/>
        <w:gridCol w:w="1141"/>
        <w:gridCol w:w="1523"/>
        <w:gridCol w:w="261"/>
      </w:tblGrid>
      <w:tr w:rsidR="00B133DD" w14:paraId="4B4065DC" w14:textId="77777777" w:rsidTr="00A32BE0">
        <w:trPr>
          <w:gridAfter w:val="1"/>
          <w:wAfter w:w="261" w:type="dxa"/>
          <w:trHeight w:val="61"/>
        </w:trPr>
        <w:tc>
          <w:tcPr>
            <w:tcW w:w="1678"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11"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39"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21"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A32BE0">
        <w:trPr>
          <w:gridAfter w:val="1"/>
          <w:wAfter w:w="261" w:type="dxa"/>
          <w:trHeight w:val="294"/>
        </w:trPr>
        <w:tc>
          <w:tcPr>
            <w:tcW w:w="1678"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2"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41"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23"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A32BE0">
        <w:trPr>
          <w:trHeight w:val="61"/>
        </w:trPr>
        <w:tc>
          <w:tcPr>
            <w:tcW w:w="1678"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2"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41"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23"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1"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A32BE0">
        <w:trPr>
          <w:trHeight w:val="61"/>
        </w:trPr>
        <w:tc>
          <w:tcPr>
            <w:tcW w:w="1678"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25"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32"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41"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23"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1"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A32BE0">
        <w:trPr>
          <w:trHeight w:val="61"/>
        </w:trPr>
        <w:tc>
          <w:tcPr>
            <w:tcW w:w="1678"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11"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39"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25"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32"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41"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23"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1"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A32BE0">
        <w:trPr>
          <w:trHeight w:val="61"/>
        </w:trPr>
        <w:tc>
          <w:tcPr>
            <w:tcW w:w="1678"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11"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39"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25"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32"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41"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23"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1"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A32BE0">
        <w:trPr>
          <w:trHeight w:val="61"/>
        </w:trPr>
        <w:tc>
          <w:tcPr>
            <w:tcW w:w="1678"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11"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39"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25"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32"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41"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23"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w:t>
            </w:r>
            <w:proofErr w:type="gramStart"/>
            <w:r>
              <w:rPr>
                <w:rFonts w:ascii="Arial" w:eastAsia="Arial" w:hAnsi="Arial" w:cs="Arial"/>
                <w:color w:val="000000"/>
              </w:rPr>
              <w:t>,  -</w:t>
            </w:r>
            <w:proofErr w:type="gramEnd"/>
            <w:r>
              <w:rPr>
                <w:rFonts w:ascii="Arial" w:eastAsia="Arial" w:hAnsi="Arial" w:cs="Arial"/>
                <w:color w:val="000000"/>
              </w:rPr>
              <w:t>0.01]</w:t>
            </w:r>
          </w:p>
        </w:tc>
        <w:tc>
          <w:tcPr>
            <w:tcW w:w="261"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A32BE0">
        <w:trPr>
          <w:trHeight w:val="61"/>
        </w:trPr>
        <w:tc>
          <w:tcPr>
            <w:tcW w:w="1678"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11"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39"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25"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32"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41"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23"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1"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A32BE0">
        <w:trPr>
          <w:trHeight w:val="61"/>
        </w:trPr>
        <w:tc>
          <w:tcPr>
            <w:tcW w:w="1678"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11"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39"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25"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41"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23"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1"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A32BE0">
        <w:trPr>
          <w:trHeight w:val="61"/>
        </w:trPr>
        <w:tc>
          <w:tcPr>
            <w:tcW w:w="1678"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11"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39"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32"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23"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1"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A32BE0">
        <w:trPr>
          <w:trHeight w:val="61"/>
        </w:trPr>
        <w:tc>
          <w:tcPr>
            <w:tcW w:w="1678"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25"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32"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41"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23"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1"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A32BE0">
        <w:trPr>
          <w:trHeight w:val="61"/>
        </w:trPr>
        <w:tc>
          <w:tcPr>
            <w:tcW w:w="1678"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11"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25"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32"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41"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23"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1"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A32BE0">
        <w:trPr>
          <w:trHeight w:val="61"/>
        </w:trPr>
        <w:tc>
          <w:tcPr>
            <w:tcW w:w="1678"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11"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39"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25"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32"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41"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23"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1"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A32BE0">
        <w:trPr>
          <w:trHeight w:val="61"/>
        </w:trPr>
        <w:tc>
          <w:tcPr>
            <w:tcW w:w="1678"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11"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19,  0.03</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32"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41"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23"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1"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A32BE0">
        <w:trPr>
          <w:trHeight w:val="61"/>
        </w:trPr>
        <w:tc>
          <w:tcPr>
            <w:tcW w:w="1678"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11"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39"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25"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41"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23"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1"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A32BE0">
        <w:trPr>
          <w:trHeight w:val="61"/>
        </w:trPr>
        <w:tc>
          <w:tcPr>
            <w:tcW w:w="1678"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39"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25"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41"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23"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1"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A32BE0">
        <w:trPr>
          <w:trHeight w:val="61"/>
        </w:trPr>
        <w:tc>
          <w:tcPr>
            <w:tcW w:w="1678"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11"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39"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25"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32"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41"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23"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1"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A32BE0">
        <w:trPr>
          <w:trHeight w:val="61"/>
        </w:trPr>
        <w:tc>
          <w:tcPr>
            <w:tcW w:w="1678"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11"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39"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25"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32"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41"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23"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1"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A32BE0">
        <w:trPr>
          <w:trHeight w:val="61"/>
        </w:trPr>
        <w:tc>
          <w:tcPr>
            <w:tcW w:w="1678"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11"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05,  0.22</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41"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23"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1"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A32BE0">
        <w:trPr>
          <w:trHeight w:val="61"/>
        </w:trPr>
        <w:tc>
          <w:tcPr>
            <w:tcW w:w="1678"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11"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39"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25"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32"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41"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23"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1"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A32BE0">
        <w:trPr>
          <w:trHeight w:val="61"/>
        </w:trPr>
        <w:tc>
          <w:tcPr>
            <w:tcW w:w="1678"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11"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39"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25"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32"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41"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23"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1"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A32BE0">
        <w:trPr>
          <w:trHeight w:val="61"/>
        </w:trPr>
        <w:tc>
          <w:tcPr>
            <w:tcW w:w="1678"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11"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39"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25"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32"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41"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1"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A32BE0">
        <w:trPr>
          <w:trHeight w:val="61"/>
        </w:trPr>
        <w:tc>
          <w:tcPr>
            <w:tcW w:w="1678"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11"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39"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25"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41"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1"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A32BE0">
        <w:trPr>
          <w:trHeight w:val="61"/>
        </w:trPr>
        <w:tc>
          <w:tcPr>
            <w:tcW w:w="1678"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11"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39"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25"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41"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1"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A32BE0">
        <w:trPr>
          <w:trHeight w:val="61"/>
        </w:trPr>
        <w:tc>
          <w:tcPr>
            <w:tcW w:w="1678"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39"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25"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32"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41"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23"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1"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A32BE0">
        <w:trPr>
          <w:trHeight w:val="61"/>
        </w:trPr>
        <w:tc>
          <w:tcPr>
            <w:tcW w:w="1678"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11"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39"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25"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32"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41"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23"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1"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A32BE0">
        <w:trPr>
          <w:trHeight w:val="61"/>
        </w:trPr>
        <w:tc>
          <w:tcPr>
            <w:tcW w:w="1678"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11"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39"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25"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41"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1"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A32BE0">
        <w:trPr>
          <w:trHeight w:val="61"/>
        </w:trPr>
        <w:tc>
          <w:tcPr>
            <w:tcW w:w="1678"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11"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39"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25"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41"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23"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1"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A32BE0">
        <w:trPr>
          <w:trHeight w:val="61"/>
        </w:trPr>
        <w:tc>
          <w:tcPr>
            <w:tcW w:w="1678"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11"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43,  0.10</w:t>
            </w:r>
            <w:proofErr w:type="gramEnd"/>
            <w:r>
              <w:rPr>
                <w:rFonts w:ascii="Arial" w:eastAsia="Arial" w:hAnsi="Arial" w:cs="Arial"/>
                <w:color w:val="000000"/>
              </w:rPr>
              <w:t>]</w:t>
            </w:r>
          </w:p>
        </w:tc>
        <w:tc>
          <w:tcPr>
            <w:tcW w:w="1225"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32"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41"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23"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1"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A9FD52C" w14:textId="02D10B7E" w:rsidR="00A32BE0" w:rsidRDefault="0083595B" w:rsidP="00972727">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28B2A3E9" w14:textId="77777777" w:rsidR="0064509E" w:rsidRDefault="0064509E" w:rsidP="00972727">
      <w:pPr>
        <w:keepNext/>
        <w:spacing w:before="240" w:after="240" w:line="360" w:lineRule="auto"/>
        <w:jc w:val="both"/>
        <w:rPr>
          <w:rFonts w:ascii="Arial" w:eastAsia="Arial" w:hAnsi="Arial" w:cs="Arial"/>
          <w:sz w:val="18"/>
          <w:szCs w:val="18"/>
          <w:highlight w:val="white"/>
        </w:rPr>
      </w:pPr>
    </w:p>
    <w:p w14:paraId="3663D323" w14:textId="742A8338" w:rsidR="00972727"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What Figures 2 and 3</w:t>
      </w:r>
      <w:r w:rsidR="000F1580">
        <w:rPr>
          <w:rFonts w:ascii="Arial" w:eastAsia="Arial" w:hAnsi="Arial" w:cs="Arial"/>
          <w:sz w:val="24"/>
          <w:szCs w:val="24"/>
          <w:highlight w:val="white"/>
        </w:rPr>
        <w:t xml:space="preserve"> both</w:t>
      </w:r>
      <w:r>
        <w:rPr>
          <w:rFonts w:ascii="Arial" w:eastAsia="Arial" w:hAnsi="Arial" w:cs="Arial"/>
          <w:sz w:val="24"/>
          <w:szCs w:val="24"/>
          <w:highlight w:val="white"/>
        </w:rPr>
        <w:t xml:space="preserve"> </w:t>
      </w:r>
      <w:r w:rsidR="0064509E">
        <w:rPr>
          <w:rFonts w:ascii="Arial" w:eastAsia="Arial" w:hAnsi="Arial" w:cs="Arial"/>
          <w:sz w:val="24"/>
          <w:szCs w:val="24"/>
          <w:highlight w:val="white"/>
        </w:rPr>
        <w:t>indicate</w:t>
      </w:r>
      <w:r>
        <w:rPr>
          <w:rFonts w:ascii="Arial" w:eastAsia="Arial" w:hAnsi="Arial" w:cs="Arial"/>
          <w:sz w:val="24"/>
          <w:szCs w:val="24"/>
          <w:highlight w:val="white"/>
        </w:rPr>
        <w:t xml:space="preserve"> that countries with similar gender gaps do not necessarily have the same mortality and health effect. In addition, when we group countries according to the</w:t>
      </w:r>
      <w:r w:rsidR="00F62067">
        <w:rPr>
          <w:rFonts w:ascii="Arial" w:eastAsia="Arial" w:hAnsi="Arial" w:cs="Arial"/>
          <w:sz w:val="24"/>
          <w:szCs w:val="24"/>
          <w:highlight w:val="white"/>
        </w:rPr>
        <w:t>ir</w:t>
      </w:r>
      <w:r>
        <w:rPr>
          <w:rFonts w:ascii="Arial" w:eastAsia="Arial" w:hAnsi="Arial" w:cs="Arial"/>
          <w:sz w:val="24"/>
          <w:szCs w:val="24"/>
          <w:highlight w:val="white"/>
        </w:rPr>
        <w:t xml:space="preserve"> </w:t>
      </w:r>
      <w:r w:rsidR="00EB679E">
        <w:rPr>
          <w:rFonts w:ascii="Arial" w:eastAsia="Arial" w:hAnsi="Arial" w:cs="Arial"/>
          <w:sz w:val="24"/>
          <w:szCs w:val="24"/>
          <w:highlight w:val="white"/>
        </w:rPr>
        <w:t>gender gap</w:t>
      </w:r>
      <w:r w:rsidR="00F62067">
        <w:rPr>
          <w:rFonts w:ascii="Arial" w:eastAsia="Arial" w:hAnsi="Arial" w:cs="Arial"/>
          <w:sz w:val="24"/>
          <w:szCs w:val="24"/>
          <w:highlight w:val="white"/>
        </w:rPr>
        <w:t xml:space="preserve"> in</w:t>
      </w:r>
      <w:r w:rsidR="00EB679E">
        <w:rPr>
          <w:rFonts w:ascii="Arial" w:eastAsia="Arial" w:hAnsi="Arial" w:cs="Arial"/>
          <w:sz w:val="24"/>
          <w:szCs w:val="24"/>
          <w:highlight w:val="white"/>
        </w:rPr>
        <w:t xml:space="preserve"> years</w:t>
      </w:r>
      <w:r>
        <w:rPr>
          <w:rFonts w:ascii="Arial" w:eastAsia="Arial" w:hAnsi="Arial" w:cs="Arial"/>
          <w:sz w:val="24"/>
          <w:szCs w:val="24"/>
          <w:highlight w:val="white"/>
        </w:rPr>
        <w:t xml:space="preserve">, very different countries in terms of development levels, health care </w:t>
      </w:r>
      <w:r>
        <w:rPr>
          <w:rFonts w:ascii="Arial" w:eastAsia="Arial" w:hAnsi="Arial" w:cs="Arial"/>
          <w:sz w:val="24"/>
          <w:szCs w:val="24"/>
          <w:highlight w:val="white"/>
        </w:rPr>
        <w:lastRenderedPageBreak/>
        <w:t xml:space="preserve">system and gender roles can be in the same category. The lack of a systematic pattern across countries as regards their gender gap in DFLE and CFLE signals that similar gaps do not necessarily capture the inequality in health conditions across women and men in these countries.    </w:t>
      </w:r>
    </w:p>
    <w:p w14:paraId="0000026E" w14:textId="4D175188" w:rsidR="00B133DD" w:rsidRPr="005A0B32" w:rsidRDefault="00ED5BF3">
      <w:pPr>
        <w:keepNext/>
        <w:spacing w:before="240" w:after="240" w:line="360" w:lineRule="auto"/>
        <w:jc w:val="both"/>
        <w:rPr>
          <w:rFonts w:ascii="Arial" w:eastAsia="Arial" w:hAnsi="Arial" w:cs="Arial"/>
          <w:sz w:val="24"/>
          <w:szCs w:val="24"/>
          <w:highlight w:val="white"/>
        </w:rPr>
      </w:pPr>
      <w:ins w:id="215" w:author="Nepomuceno, Marilia" w:date="2023-05-22T16:31:00Z">
        <w:r w:rsidRPr="00ED5BF3">
          <w:rPr>
            <w:rFonts w:ascii="Arial" w:eastAsia="Arial" w:hAnsi="Arial" w:cs="Arial"/>
            <w:sz w:val="24"/>
            <w:szCs w:val="24"/>
          </w:rPr>
          <w:t>Figure 4 highlights the substantial variations in country rankings when considering gaps in DFLE and CFLE compared to the contributions of</w:t>
        </w:r>
      </w:ins>
      <w:ins w:id="216" w:author="Nepomuceno, Marilia" w:date="2023-05-22T16:36:00Z">
        <w:r w:rsidR="004C0A67">
          <w:rPr>
            <w:rFonts w:ascii="Arial" w:eastAsia="Arial" w:hAnsi="Arial" w:cs="Arial"/>
            <w:sz w:val="24"/>
            <w:szCs w:val="24"/>
          </w:rPr>
          <w:t xml:space="preserve"> the</w:t>
        </w:r>
      </w:ins>
      <w:ins w:id="217" w:author="Nepomuceno, Marilia" w:date="2023-05-22T16:31:00Z">
        <w:r w:rsidRPr="00ED5BF3">
          <w:rPr>
            <w:rFonts w:ascii="Arial" w:eastAsia="Arial" w:hAnsi="Arial" w:cs="Arial"/>
            <w:sz w:val="24"/>
            <w:szCs w:val="24"/>
          </w:rPr>
          <w:t xml:space="preserve"> </w:t>
        </w:r>
      </w:ins>
      <w:ins w:id="218" w:author="Nepomuceno, Marilia" w:date="2023-05-22T16:34:00Z">
        <w:r w:rsidR="00C035F2">
          <w:rPr>
            <w:rFonts w:ascii="Arial" w:eastAsia="Arial" w:hAnsi="Arial" w:cs="Arial"/>
            <w:sz w:val="24"/>
            <w:szCs w:val="24"/>
          </w:rPr>
          <w:t>health</w:t>
        </w:r>
      </w:ins>
      <w:ins w:id="219" w:author="Nepomuceno, Marilia" w:date="2023-05-22T16:31:00Z">
        <w:r w:rsidRPr="00ED5BF3">
          <w:rPr>
            <w:rFonts w:ascii="Arial" w:eastAsia="Arial" w:hAnsi="Arial" w:cs="Arial"/>
            <w:sz w:val="24"/>
            <w:szCs w:val="24"/>
          </w:rPr>
          <w:t xml:space="preserve"> effect.</w:t>
        </w:r>
      </w:ins>
      <w:del w:id="220" w:author="Nepomuceno, Marilia" w:date="2023-05-22T16:34:00Z">
        <w:r w:rsidR="005A0B32" w:rsidDel="00C035F2">
          <w:rPr>
            <w:rFonts w:ascii="Arial" w:eastAsia="Arial" w:hAnsi="Arial" w:cs="Arial"/>
            <w:sz w:val="24"/>
            <w:szCs w:val="24"/>
            <w:highlight w:val="white"/>
          </w:rPr>
          <w:delText>As seen in Figure 4, countries can have very different rankings if the criteria adopted are gaps in DFLE and CFLE versus the contribution of disability and mortality effects</w:delText>
        </w:r>
        <w:r w:rsidR="005A0B32" w:rsidDel="004C0A67">
          <w:rPr>
            <w:rFonts w:ascii="Arial" w:eastAsia="Arial" w:hAnsi="Arial" w:cs="Arial"/>
            <w:sz w:val="24"/>
            <w:szCs w:val="24"/>
            <w:highlight w:val="white"/>
          </w:rPr>
          <w:delText>.</w:delText>
        </w:r>
      </w:del>
      <w:r w:rsidR="005A0B32">
        <w:rPr>
          <w:rFonts w:ascii="Arial" w:eastAsia="Arial" w:hAnsi="Arial" w:cs="Arial"/>
          <w:sz w:val="24"/>
          <w:szCs w:val="24"/>
          <w:highlight w:val="white"/>
        </w:rPr>
        <w:t xml:space="preserve"> Low gender gaps are first places in the ranks while the last ranks are high gender gaps</w:t>
      </w:r>
      <w:r w:rsidR="00F22B16">
        <w:rPr>
          <w:rFonts w:ascii="Arial" w:eastAsia="Arial" w:hAnsi="Arial" w:cs="Arial"/>
          <w:sz w:val="24"/>
          <w:szCs w:val="24"/>
          <w:highlight w:val="white"/>
        </w:rPr>
        <w:t xml:space="preserve"> or high contribution of health component</w:t>
      </w:r>
      <w:r w:rsidR="005A0B32">
        <w:rPr>
          <w:rFonts w:ascii="Arial" w:eastAsia="Arial" w:hAnsi="Arial" w:cs="Arial"/>
          <w:sz w:val="24"/>
          <w:szCs w:val="24"/>
          <w:highlight w:val="white"/>
        </w:rPr>
        <w:t xml:space="preserve">.  </w:t>
      </w:r>
    </w:p>
    <w:p w14:paraId="357913C4" w14:textId="6FE9DE65" w:rsidR="002F5852" w:rsidRPr="00BD1717" w:rsidRDefault="006D2668">
      <w:pPr>
        <w:keepNext/>
        <w:spacing w:before="240" w:after="240" w:line="360" w:lineRule="auto"/>
        <w:jc w:val="both"/>
        <w:rPr>
          <w:rFonts w:ascii="Georgia" w:eastAsia="Georgia" w:hAnsi="Georgia" w:cs="Georgia"/>
          <w:sz w:val="24"/>
          <w:szCs w:val="24"/>
          <w:highlight w:val="white"/>
        </w:rPr>
      </w:pPr>
      <w:r w:rsidRPr="006D2668">
        <w:rPr>
          <w:rFonts w:ascii="Georgia" w:eastAsia="Georgia" w:hAnsi="Georgia" w:cs="Georgia"/>
          <w:noProof/>
          <w:sz w:val="24"/>
          <w:szCs w:val="24"/>
          <w:highlight w:val="white"/>
        </w:rPr>
        <w:drawing>
          <wp:inline distT="0" distB="0" distL="0" distR="0" wp14:anchorId="7A05AF44" wp14:editId="25EE5C06">
            <wp:extent cx="6412675" cy="4387933"/>
            <wp:effectExtent l="0" t="0" r="7620" b="0"/>
            <wp:docPr id="7" name="Picture 3">
              <a:extLst xmlns:a="http://schemas.openxmlformats.org/drawingml/2006/main">
                <a:ext uri="{FF2B5EF4-FFF2-40B4-BE49-F238E27FC236}">
                  <a16:creationId xmlns:a16="http://schemas.microsoft.com/office/drawing/2014/main" id="{6B5C0E48-72F2-484A-9EF6-5B9A627052F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5C0E48-72F2-484A-9EF6-5B9A627052F2}"/>
                        </a:ext>
                      </a:extLst>
                    </pic:cNvPr>
                    <pic:cNvPicPr/>
                  </pic:nvPicPr>
                  <pic:blipFill rotWithShape="1">
                    <a:blip r:embed="rId15" cstate="print">
                      <a:extLst>
                        <a:ext uri="{28A0092B-C50C-407E-A947-70E740481C1C}">
                          <a14:useLocalDpi xmlns:a14="http://schemas.microsoft.com/office/drawing/2010/main" val="0"/>
                        </a:ext>
                      </a:extLst>
                    </a:blip>
                    <a:srcRect l="6296"/>
                    <a:stretch/>
                  </pic:blipFill>
                  <pic:spPr>
                    <a:xfrm>
                      <a:off x="0" y="0"/>
                      <a:ext cx="6485535" cy="4437788"/>
                    </a:xfrm>
                    <a:prstGeom prst="rect">
                      <a:avLst/>
                    </a:prstGeom>
                  </pic:spPr>
                </pic:pic>
              </a:graphicData>
            </a:graphic>
          </wp:inline>
        </w:drawing>
      </w:r>
    </w:p>
    <w:p w14:paraId="0000026F" w14:textId="0C923113" w:rsidR="00B133DD" w:rsidRDefault="00A50CB3">
      <w:pPr>
        <w:keepNext/>
        <w:spacing w:before="240" w:after="240" w:line="360" w:lineRule="auto"/>
        <w:jc w:val="both"/>
        <w:rPr>
          <w:rFonts w:ascii="Georgia" w:eastAsia="Georgia" w:hAnsi="Georgia" w:cs="Georgia"/>
          <w:sz w:val="24"/>
          <w:szCs w:val="24"/>
          <w:highlight w:val="white"/>
        </w:rPr>
      </w:pPr>
      <w:r>
        <w:rPr>
          <w:rFonts w:ascii="Arial" w:eastAsia="Arial" w:hAnsi="Arial" w:cs="Arial"/>
          <w:b/>
          <w:sz w:val="24"/>
          <w:szCs w:val="24"/>
          <w:highlight w:val="white"/>
        </w:rPr>
        <w:t>Figure 4.</w:t>
      </w:r>
      <w:r>
        <w:rPr>
          <w:rFonts w:ascii="Arial" w:eastAsia="Arial" w:hAnsi="Arial" w:cs="Arial"/>
          <w:sz w:val="24"/>
          <w:szCs w:val="24"/>
          <w:highlight w:val="white"/>
        </w:rPr>
        <w:t xml:space="preserve"> </w:t>
      </w:r>
      <w:r w:rsidR="007E0FF4">
        <w:rPr>
          <w:rFonts w:ascii="Arial" w:eastAsia="Arial" w:hAnsi="Arial" w:cs="Arial"/>
          <w:sz w:val="24"/>
          <w:szCs w:val="24"/>
          <w:highlight w:val="white"/>
        </w:rPr>
        <w:t xml:space="preserve">Ranking of countries </w:t>
      </w:r>
      <w:r w:rsidR="00725202">
        <w:rPr>
          <w:rFonts w:ascii="Arial" w:eastAsia="Arial" w:hAnsi="Arial" w:cs="Arial"/>
          <w:sz w:val="24"/>
          <w:szCs w:val="24"/>
          <w:highlight w:val="white"/>
        </w:rPr>
        <w:t xml:space="preserve">(from </w:t>
      </w:r>
      <w:r w:rsidR="00C90CA5">
        <w:rPr>
          <w:rFonts w:ascii="Arial" w:eastAsia="Arial" w:hAnsi="Arial" w:cs="Arial"/>
          <w:sz w:val="24"/>
          <w:szCs w:val="24"/>
          <w:highlight w:val="white"/>
        </w:rPr>
        <w:t>lower to higher</w:t>
      </w:r>
      <w:r w:rsidR="00725202">
        <w:rPr>
          <w:rFonts w:ascii="Arial" w:eastAsia="Arial" w:hAnsi="Arial" w:cs="Arial"/>
          <w:sz w:val="24"/>
          <w:szCs w:val="24"/>
          <w:highlight w:val="white"/>
        </w:rPr>
        <w:t xml:space="preserve"> gap</w:t>
      </w:r>
      <w:r w:rsidR="00C90CA5">
        <w:rPr>
          <w:rFonts w:ascii="Arial" w:eastAsia="Arial" w:hAnsi="Arial" w:cs="Arial"/>
          <w:sz w:val="24"/>
          <w:szCs w:val="24"/>
          <w:highlight w:val="white"/>
        </w:rPr>
        <w:t>s</w:t>
      </w:r>
      <w:r w:rsidR="00725202">
        <w:rPr>
          <w:rFonts w:ascii="Arial" w:eastAsia="Arial" w:hAnsi="Arial" w:cs="Arial"/>
          <w:sz w:val="24"/>
          <w:szCs w:val="24"/>
          <w:highlight w:val="white"/>
        </w:rPr>
        <w:t xml:space="preserve">) </w:t>
      </w:r>
      <w:r w:rsidR="007E0FF4">
        <w:rPr>
          <w:rFonts w:ascii="Arial" w:eastAsia="Arial" w:hAnsi="Arial" w:cs="Arial"/>
          <w:sz w:val="24"/>
          <w:szCs w:val="24"/>
          <w:highlight w:val="white"/>
        </w:rPr>
        <w:t>by</w:t>
      </w:r>
      <w:r>
        <w:rPr>
          <w:rFonts w:ascii="Arial" w:eastAsia="Arial" w:hAnsi="Arial" w:cs="Arial"/>
          <w:sz w:val="24"/>
          <w:szCs w:val="24"/>
          <w:highlight w:val="white"/>
        </w:rPr>
        <w:t xml:space="preserve"> gender gap in </w:t>
      </w:r>
      <w:r w:rsidR="00C27F32">
        <w:rPr>
          <w:rFonts w:ascii="Arial" w:eastAsia="Arial" w:hAnsi="Arial" w:cs="Arial"/>
          <w:sz w:val="24"/>
          <w:szCs w:val="24"/>
          <w:highlight w:val="white"/>
        </w:rPr>
        <w:t xml:space="preserve">life expectancy, </w:t>
      </w:r>
      <w:r w:rsidR="007E0FF4">
        <w:rPr>
          <w:rFonts w:ascii="Arial" w:eastAsia="Arial" w:hAnsi="Arial" w:cs="Arial"/>
          <w:sz w:val="24"/>
          <w:szCs w:val="24"/>
          <w:highlight w:val="white"/>
        </w:rPr>
        <w:t xml:space="preserve">disability and </w:t>
      </w:r>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r w:rsidR="00C27F32">
        <w:rPr>
          <w:rFonts w:ascii="Arial" w:eastAsia="Arial" w:hAnsi="Arial" w:cs="Arial"/>
          <w:sz w:val="24"/>
          <w:szCs w:val="24"/>
          <w:highlight w:val="white"/>
        </w:rPr>
        <w:t xml:space="preserve">, and the </w:t>
      </w:r>
      <w:commentRangeStart w:id="221"/>
      <w:commentRangeStart w:id="222"/>
      <w:r w:rsidR="00C27F32">
        <w:rPr>
          <w:rFonts w:ascii="Arial" w:eastAsia="Arial" w:hAnsi="Arial" w:cs="Arial"/>
          <w:sz w:val="24"/>
          <w:szCs w:val="24"/>
          <w:highlight w:val="white"/>
        </w:rPr>
        <w:t xml:space="preserve">contribution of </w:t>
      </w:r>
      <w:commentRangeEnd w:id="221"/>
      <w:r w:rsidR="004C0A67">
        <w:rPr>
          <w:rStyle w:val="CommentReference"/>
          <w:rFonts w:ascii="Times New Roman" w:eastAsia="Times New Roman" w:hAnsi="Times New Roman" w:cs="Times New Roman"/>
        </w:rPr>
        <w:commentReference w:id="221"/>
      </w:r>
      <w:commentRangeEnd w:id="222"/>
      <w:r w:rsidR="00994A69">
        <w:rPr>
          <w:rStyle w:val="CommentReference"/>
          <w:rFonts w:ascii="Times New Roman" w:eastAsia="Times New Roman" w:hAnsi="Times New Roman" w:cs="Times New Roman"/>
        </w:rPr>
        <w:commentReference w:id="222"/>
      </w:r>
      <w:r w:rsidR="00C27F32">
        <w:rPr>
          <w:rFonts w:ascii="Arial" w:eastAsia="Arial" w:hAnsi="Arial" w:cs="Arial"/>
          <w:sz w:val="24"/>
          <w:szCs w:val="24"/>
          <w:highlight w:val="white"/>
        </w:rPr>
        <w:t>disability and chronic component to the total gender gap</w:t>
      </w:r>
      <w:r>
        <w:rPr>
          <w:rFonts w:ascii="Arial" w:eastAsia="Arial" w:hAnsi="Arial" w:cs="Arial"/>
          <w:sz w:val="24"/>
          <w:szCs w:val="24"/>
          <w:highlight w:val="white"/>
        </w:rPr>
        <w:t xml:space="preserve"> at ages 60+</w:t>
      </w:r>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 xml:space="preserve">In terms of </w:t>
      </w:r>
      <w:r w:rsidR="00CA569A">
        <w:rPr>
          <w:rFonts w:ascii="Arial" w:eastAsia="Arial" w:hAnsi="Arial" w:cs="Arial"/>
          <w:sz w:val="18"/>
          <w:szCs w:val="18"/>
          <w:highlight w:val="white"/>
        </w:rPr>
        <w:lastRenderedPageBreak/>
        <w:t>gap</w:t>
      </w:r>
      <w:r w:rsidR="00A14635">
        <w:rPr>
          <w:rFonts w:ascii="Arial" w:eastAsia="Arial" w:hAnsi="Arial" w:cs="Arial"/>
          <w:sz w:val="18"/>
          <w:szCs w:val="18"/>
          <w:highlight w:val="white"/>
        </w:rPr>
        <w:t>s</w:t>
      </w:r>
      <w:r w:rsidR="00CA569A">
        <w:rPr>
          <w:rFonts w:ascii="Arial" w:eastAsia="Arial" w:hAnsi="Arial" w:cs="Arial"/>
          <w:sz w:val="18"/>
          <w:szCs w:val="18"/>
          <w:highlight w:val="white"/>
        </w:rPr>
        <w:t xml:space="preserve">, the ranking is from low to high gap </w:t>
      </w:r>
      <w:r w:rsidR="00A14635">
        <w:rPr>
          <w:rFonts w:ascii="Arial" w:eastAsia="Arial" w:hAnsi="Arial" w:cs="Arial"/>
          <w:sz w:val="18"/>
          <w:szCs w:val="18"/>
          <w:highlight w:val="white"/>
        </w:rPr>
        <w:t>and in terms of disability and chronic from low to high contributions of these components to the total gap.</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32BAAE1E"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t>Denmark is the opposite, being placed at first Rank when considering the effect of disability, while it is among the last countries (Rank 21) when considering the gender gap in DFLE.</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0287D642" w:rsidR="00B133DD" w:rsidRDefault="00B133DD" w:rsidP="0025608A">
      <w:pPr>
        <w:pBdr>
          <w:top w:val="nil"/>
          <w:left w:val="nil"/>
          <w:bottom w:val="nil"/>
          <w:right w:val="nil"/>
          <w:between w:val="nil"/>
        </w:pBdr>
        <w:spacing w:after="0"/>
        <w:jc w:val="both"/>
        <w:rPr>
          <w:rFonts w:ascii="Arial" w:eastAsia="Arial" w:hAnsi="Arial" w:cs="Arial"/>
          <w:color w:val="000000"/>
          <w:sz w:val="24"/>
          <w:szCs w:val="24"/>
        </w:rPr>
      </w:pPr>
    </w:p>
    <w:p w14:paraId="7C2DA22B" w14:textId="3B91B2E6"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Gender gap indices in health and mortality are routinely used as indicators of inequality. Gaps are used by policy makers to benchmark countries, monitor changes over time, and identify the pace at which countries are closing or widening gender gaps in health</w:t>
      </w:r>
      <w:r w:rsidR="006F5A22">
        <w:rPr>
          <w:rFonts w:ascii="Arial" w:eastAsia="Arial" w:hAnsi="Arial" w:cs="Arial"/>
          <w:color w:val="000000"/>
          <w:sz w:val="24"/>
          <w:szCs w:val="24"/>
        </w:rPr>
        <w:t xml:space="preserve"> </w:t>
      </w:r>
      <w:r w:rsidR="006F5A22">
        <w:rPr>
          <w:rFonts w:ascii="Arial" w:eastAsia="Arial" w:hAnsi="Arial" w:cs="Arial"/>
          <w:color w:val="000000"/>
          <w:sz w:val="24"/>
          <w:szCs w:val="24"/>
        </w:rPr>
        <w:fldChar w:fldCharType="begin" w:fldLock="1"/>
      </w:r>
      <w:r w:rsidR="00083FD8">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Health","type":"report"},"uris":["http://www.mendeley.com/documents/?uuid=fd6fbcb5-2fe4-42ff-af5f-181da538f995"]}],"mendeley":{"formattedCitation":"(WHO 2020; European Institute for Gender Equality 2021; World Economic Forum 2021)","plainTextFormattedCitation":"(WHO 2020; European Institute for Gender Equality 2021; World Economic Forum 2021)","previouslyFormattedCitation":"(WHO 2020; European Institute for Gender Equality 2021; World Economic Forum 2021)"},"properties":{"noteIndex":0},"schema":"https://github.com/citation-style-language/schema/raw/master/csl-citation.json"}</w:instrText>
      </w:r>
      <w:r w:rsidR="006F5A22">
        <w:rPr>
          <w:rFonts w:ascii="Arial" w:eastAsia="Arial" w:hAnsi="Arial" w:cs="Arial"/>
          <w:color w:val="000000"/>
          <w:sz w:val="24"/>
          <w:szCs w:val="24"/>
        </w:rPr>
        <w:fldChar w:fldCharType="separate"/>
      </w:r>
      <w:r w:rsidR="006F5A22" w:rsidRPr="006F5A22">
        <w:rPr>
          <w:rFonts w:ascii="Arial" w:eastAsia="Arial" w:hAnsi="Arial" w:cs="Arial"/>
          <w:noProof/>
          <w:color w:val="000000"/>
          <w:sz w:val="24"/>
          <w:szCs w:val="24"/>
        </w:rPr>
        <w:t>(WHO 2020; European Institute for Gender Equality 2021; World Economic Forum 2021)</w:t>
      </w:r>
      <w:r w:rsidR="006F5A22">
        <w:rPr>
          <w:rFonts w:ascii="Arial" w:eastAsia="Arial" w:hAnsi="Arial" w:cs="Arial"/>
          <w:color w:val="000000"/>
          <w:sz w:val="24"/>
          <w:szCs w:val="24"/>
        </w:rPr>
        <w:fldChar w:fldCharType="end"/>
      </w:r>
      <w:r w:rsidRPr="00337D4B">
        <w:rPr>
          <w:rFonts w:ascii="Arial" w:eastAsia="Arial" w:hAnsi="Arial" w:cs="Arial"/>
          <w:color w:val="000000"/>
          <w:sz w:val="24"/>
          <w:szCs w:val="24"/>
        </w:rPr>
        <w:t>. Aggregate indices, such as the World Bank Global Gender Gap Index, measure gender equality based on gaps between women and men across health, education, economy, and politics. Likewise, the WHO European Health Equity Status Report initiative (</w:t>
      </w:r>
      <w:proofErr w:type="spellStart"/>
      <w:r w:rsidRPr="00337D4B">
        <w:rPr>
          <w:rFonts w:ascii="Arial" w:eastAsia="Arial" w:hAnsi="Arial" w:cs="Arial"/>
          <w:color w:val="000000"/>
          <w:sz w:val="24"/>
          <w:szCs w:val="24"/>
        </w:rPr>
        <w:t>HESRi</w:t>
      </w:r>
      <w:proofErr w:type="spellEnd"/>
      <w:r w:rsidRPr="00337D4B">
        <w:rPr>
          <w:rFonts w:ascii="Arial" w:eastAsia="Arial" w:hAnsi="Arial" w:cs="Arial"/>
          <w:color w:val="000000"/>
          <w:sz w:val="24"/>
          <w:szCs w:val="24"/>
        </w:rPr>
        <w:t xml:space="preserve">) uses gender gaps in disability-adjusted life years (DALYs) and life expectancy to implement policy action for health equity and well-being in the European Region. Gender gaps </w:t>
      </w:r>
      <w:r w:rsidR="006F5A22">
        <w:rPr>
          <w:rFonts w:ascii="Arial" w:eastAsia="Arial" w:hAnsi="Arial" w:cs="Arial"/>
          <w:color w:val="000000"/>
          <w:sz w:val="24"/>
          <w:szCs w:val="24"/>
        </w:rPr>
        <w:t xml:space="preserve">in healthy life years </w:t>
      </w:r>
      <w:r w:rsidRPr="00337D4B">
        <w:rPr>
          <w:rFonts w:ascii="Arial" w:eastAsia="Arial" w:hAnsi="Arial" w:cs="Arial"/>
          <w:color w:val="000000"/>
          <w:sz w:val="24"/>
          <w:szCs w:val="24"/>
        </w:rPr>
        <w:t>are also used by the Gender Equality Index to assess gender inequalities in the EU.</w:t>
      </w:r>
    </w:p>
    <w:p w14:paraId="4DAC135F" w14:textId="77777777"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p>
    <w:p w14:paraId="2DC0943D" w14:textId="215B490E" w:rsidR="009469DB" w:rsidRPr="009469DB" w:rsidRDefault="006F5405" w:rsidP="009469DB">
      <w:pPr>
        <w:keepNext/>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 xml:space="preserve">Overall, gaps are widely used because they are an easy and straightforward way to relate the difference between two quantities. However, </w:t>
      </w:r>
      <w:r>
        <w:rPr>
          <w:rFonts w:ascii="Arial" w:eastAsia="Arial" w:hAnsi="Arial" w:cs="Arial"/>
          <w:color w:val="000000"/>
          <w:sz w:val="24"/>
          <w:szCs w:val="24"/>
        </w:rPr>
        <w:t xml:space="preserve">we show how using gender gaps in health as </w:t>
      </w:r>
      <w:r w:rsidR="00E15D8C">
        <w:rPr>
          <w:rFonts w:ascii="Arial" w:eastAsia="Arial" w:hAnsi="Arial" w:cs="Arial"/>
          <w:color w:val="000000"/>
          <w:sz w:val="24"/>
          <w:szCs w:val="24"/>
        </w:rPr>
        <w:t>a metric for</w:t>
      </w:r>
      <w:r>
        <w:rPr>
          <w:rFonts w:ascii="Arial" w:eastAsia="Arial" w:hAnsi="Arial" w:cs="Arial"/>
          <w:color w:val="000000"/>
          <w:sz w:val="24"/>
          <w:szCs w:val="24"/>
        </w:rPr>
        <w:t xml:space="preserve"> inequality</w:t>
      </w:r>
      <w:r w:rsidRPr="00337D4B">
        <w:rPr>
          <w:rFonts w:ascii="Arial" w:eastAsia="Arial" w:hAnsi="Arial" w:cs="Arial"/>
          <w:color w:val="000000"/>
          <w:sz w:val="24"/>
          <w:szCs w:val="24"/>
        </w:rPr>
        <w:t xml:space="preserve"> can be misleading</w:t>
      </w:r>
      <w:r>
        <w:rPr>
          <w:rFonts w:ascii="Arial" w:eastAsia="Arial" w:hAnsi="Arial" w:cs="Arial"/>
          <w:color w:val="000000"/>
          <w:sz w:val="24"/>
          <w:szCs w:val="24"/>
        </w:rPr>
        <w:t>.  Reducing gender gaps in health expectancy may not necessarily mean that we are reducing inequality between women and men. It is important to take a cautionary approach when interpreting those gaps</w:t>
      </w:r>
      <w:r>
        <w:rPr>
          <w:rFonts w:ascii="Arial" w:eastAsia="Arial" w:hAnsi="Arial" w:cs="Arial"/>
          <w:sz w:val="24"/>
          <w:szCs w:val="24"/>
        </w:rPr>
        <w:t xml:space="preserve"> and especially when using them to guide policy. </w:t>
      </w:r>
      <w:r w:rsidR="00A50CB3">
        <w:rPr>
          <w:rFonts w:ascii="Arial" w:eastAsia="Arial" w:hAnsi="Arial" w:cs="Arial"/>
          <w:sz w:val="24"/>
          <w:szCs w:val="24"/>
        </w:rPr>
        <w:t>Recent work has shown that policies that aim to advance gender equality in health across different countries have surprisingly poor design and implementation flaws, which are mostly due to scarcity of relevant data and accurate indicators</w:t>
      </w:r>
      <w:r w:rsidR="00BA4B06">
        <w:rPr>
          <w:rFonts w:ascii="Arial" w:eastAsia="Arial" w:hAnsi="Arial" w:cs="Arial"/>
          <w:sz w:val="24"/>
          <w:szCs w:val="24"/>
        </w:rPr>
        <w:t xml:space="preserve"> </w:t>
      </w:r>
      <w:r w:rsidR="00BA4B06">
        <w:rPr>
          <w:rFonts w:ascii="Arial" w:eastAsia="Arial" w:hAnsi="Arial" w:cs="Arial"/>
          <w:sz w:val="24"/>
          <w:szCs w:val="24"/>
        </w:rPr>
        <w:fldChar w:fldCharType="begin" w:fldLock="1"/>
      </w:r>
      <w:r w:rsidR="00DF2CAF">
        <w:rPr>
          <w:rFonts w:ascii="Arial" w:eastAsia="Arial" w:hAnsi="Arial" w:cs="Arial"/>
          <w:sz w:val="24"/>
          <w:szCs w:val="24"/>
        </w:rPr>
        <w:instrText>ADDIN CSL_CITATION {"citationItems":[{"id":"ITEM-1","itemData":{"DOI":"10.3390/ijerph18010327","ISSN":"1660-4601","abstract":"Gender is recognized as one of the most relevant determinants of health inequalities. This scoping review sought to identify and analyse policies, either implemented or formulated as proposals, which aimed to reduce gender inequalities in health. We searched Medline, Web of Science, and Scielo. Of 2895 records, 91 full text articles were analysed, and 33 papers were included. Of these papers, 22 described the process of formulation, implementation, or evaluation of policies whose aim was to reduce gender inequalities in health; six focused on recommendations, and the remaining five dealt with both issues. Our review showed that the policies aimed at reducing gender inequalities in health, either implemented or formulated as proposals, are scarce. Moreover, despite some success, overall progress has been slow. The studies show failures in design and particularly in the implementation process. We found a lack of awareness and capacity in the policy-making progress, under-financing, bureaucratization, shortage of relevant data, and absence of women’s participation in decision-making. Therefore, an emphasis on the design and implementation of gender-sensitive policies seems essential to advance gender equality in health. This scoping review gathers evidence to support the design of such policies and recommendations that can facilitate their implementation.","author":[{"dropping-particle":"","family":"Crespí-Lloréns","given":"Nuria","non-dropping-particle":"","parse-names":false,"suffix":""},{"dropping-particle":"","family":"Hernández-Aguado","given":"Ildefonso","non-dropping-particle":"","parse-names":false,"suffix":""},{"dropping-particle":"","family":"Chilet-Rosell","given":"Elisa","non-dropping-particle":"","parse-names":false,"suffix":""}],"container-title":"International Journal of Environmental Research and Public Health","id":"ITEM-1","issue":"1","issued":{"date-parts":[["2021","1","5"]]},"page":"327","title":"Have Policies Tackled Gender Inequalities in Health? A Scoping Review","type":"article-journal","volume":"18"},"uris":["http://www.mendeley.com/documents/?uuid=6d99780c-5d4c-4e5a-8a04-5601bd84c3d8"]}],"mendeley":{"formattedCitation":"(Crespí-Lloréns et al. 2021)","plainTextFormattedCitation":"(Crespí-Lloréns et al. 2021)","previouslyFormattedCitation":"(Crespí-Lloréns et al. 2021)"},"properties":{"noteIndex":0},"schema":"https://github.com/citation-style-language/schema/raw/master/csl-citation.json"}</w:instrText>
      </w:r>
      <w:r w:rsidR="00BA4B06">
        <w:rPr>
          <w:rFonts w:ascii="Arial" w:eastAsia="Arial" w:hAnsi="Arial" w:cs="Arial"/>
          <w:sz w:val="24"/>
          <w:szCs w:val="24"/>
        </w:rPr>
        <w:fldChar w:fldCharType="separate"/>
      </w:r>
      <w:r w:rsidR="00BA4B06" w:rsidRPr="00BA4B06">
        <w:rPr>
          <w:rFonts w:ascii="Arial" w:eastAsia="Arial" w:hAnsi="Arial" w:cs="Arial"/>
          <w:noProof/>
          <w:sz w:val="24"/>
          <w:szCs w:val="24"/>
        </w:rPr>
        <w:t>(Crespí-Lloréns et al. 2021)</w:t>
      </w:r>
      <w:r w:rsidR="00BA4B06">
        <w:rPr>
          <w:rFonts w:ascii="Arial" w:eastAsia="Arial" w:hAnsi="Arial" w:cs="Arial"/>
          <w:sz w:val="24"/>
          <w:szCs w:val="24"/>
        </w:rPr>
        <w:fldChar w:fldCharType="end"/>
      </w:r>
      <w:r w:rsidR="00BA4B06">
        <w:rPr>
          <w:rFonts w:ascii="Arial" w:eastAsia="Arial" w:hAnsi="Arial" w:cs="Arial"/>
          <w:sz w:val="24"/>
          <w:szCs w:val="24"/>
        </w:rPr>
        <w:t>.</w:t>
      </w:r>
      <w:r>
        <w:rPr>
          <w:rFonts w:ascii="Arial" w:eastAsia="Arial" w:hAnsi="Arial" w:cs="Arial"/>
          <w:color w:val="000000"/>
          <w:sz w:val="24"/>
          <w:szCs w:val="24"/>
        </w:rPr>
        <w:t xml:space="preserve"> </w:t>
      </w:r>
      <w:r w:rsidR="00A50CB3">
        <w:rPr>
          <w:rFonts w:ascii="Arial" w:eastAsia="Arial" w:hAnsi="Arial" w:cs="Arial"/>
          <w:color w:val="000000"/>
          <w:sz w:val="24"/>
          <w:szCs w:val="24"/>
        </w:rPr>
        <w:t xml:space="preserve">Taking gender gaps as a standpoint for conducting studies on gender differences when they are </w:t>
      </w:r>
      <w:r w:rsidR="00A50CB3">
        <w:rPr>
          <w:rFonts w:ascii="Arial" w:eastAsia="Arial" w:hAnsi="Arial" w:cs="Arial"/>
          <w:color w:val="000000"/>
          <w:sz w:val="24"/>
          <w:szCs w:val="24"/>
        </w:rPr>
        <w:lastRenderedPageBreak/>
        <w:t>masking important underlying differences in health and mortality may also explain why some studies find conflicting results or no correlation between cross-national variation in gender gaps and societal-level gender inequality</w:t>
      </w:r>
      <w:r w:rsidR="00DF2CAF">
        <w:rPr>
          <w:rFonts w:ascii="Arial" w:eastAsia="Arial" w:hAnsi="Arial" w:cs="Arial"/>
          <w:color w:val="000000"/>
          <w:sz w:val="24"/>
          <w:szCs w:val="24"/>
        </w:rPr>
        <w:t xml:space="preserve"> </w:t>
      </w:r>
      <w:r w:rsidR="00DF2CAF">
        <w:rPr>
          <w:rFonts w:ascii="Arial" w:eastAsia="Arial" w:hAnsi="Arial" w:cs="Arial"/>
          <w:color w:val="000000"/>
          <w:sz w:val="24"/>
          <w:szCs w:val="24"/>
        </w:rPr>
        <w:fldChar w:fldCharType="begin" w:fldLock="1"/>
      </w:r>
      <w:r w:rsidR="001524B4">
        <w:rPr>
          <w:rFonts w:ascii="Arial" w:eastAsia="Arial" w:hAnsi="Arial" w:cs="Arial"/>
          <w:color w:val="000000"/>
          <w:sz w:val="24"/>
          <w:szCs w:val="24"/>
        </w:rPr>
        <w:instrText>ADDIN CSL_CITATION {"citationItems":[{"id":"ITEM-1","itemData":{"DOI":"10.1016/J.SOCSCIMED.2013.08.028","ISSN":"02779536","PMID":"24331878","abstract":"Multiple studies have found that women report being in worse health despite living longer. Gender gaps vary cross-nationally, but relatively little is known about the causes of comparative differences. Existing literature is inconclusive as to whether gender gaps in health are smaller in more gender equal societies. We analyze gender gaps in self-rated health (SRH) and limiting longstanding illness (LLI) with five waves of European Social Survey data for 191,104 respondents from 28 countries. We use means, odds ratios, logistic regressions, and multilevel random slopes logistic regressions. Gender gaps in subjective health vary visibly across Europe. In many countries (especially in Eastern and Southern Europe), women report distinctly worse health, while in others (such as Estonia, Finland, and Great Britain) there are small or no differences. Logistic regressions ran separately for each country revealed that individual-level socioeconomic and demographic variables explain a majority of these gaps in some countries, but contribute little to their understanding in most countries. In yet other countries, men had worse health when these variables were controlled for. Cross-national variation in the gender gaps exists after accounting for individual-level factors. Against expectations, the remaining gaps are not systematically related to societal-level gender inequality in the multilevel analyses. Our findings stress persistent cross-national variability in gender gaps in health and call for further analysis. © 2013 Elsevier Ltd.","author":[{"dropping-particle":"","family":"Dahlin","given":"Johanna","non-dropping-particle":"","parse-names":false,"suffix":""},{"dropping-particle":"","family":"Härkönen","given":"Juho","non-dropping-particle":"","parse-names":false,"suffix":""}],"container-title":"Social Science and Medicine","id":"ITEM-1","issued":{"date-parts":[["2013","12"]]},"page":"24-28","title":"Cross-national differences in the gender gap in subjective health in Europe: Does country-level gender equality matter?","type":"article-journal","volume":"98"},"uris":["http://www.mendeley.com/documents/?uuid=2e0b4eed-b1e8-39d4-993a-4b3e17db333d"]}],"mendeley":{"formattedCitation":"(Dahlin and Härkönen 2013)","plainTextFormattedCitation":"(Dahlin and Härkönen 2013)","previouslyFormattedCitation":"(Dahlin and Härkönen 2013)"},"properties":{"noteIndex":0},"schema":"https://github.com/citation-style-language/schema/raw/master/csl-citation.json"}</w:instrText>
      </w:r>
      <w:r w:rsidR="00DF2CAF">
        <w:rPr>
          <w:rFonts w:ascii="Arial" w:eastAsia="Arial" w:hAnsi="Arial" w:cs="Arial"/>
          <w:color w:val="000000"/>
          <w:sz w:val="24"/>
          <w:szCs w:val="24"/>
        </w:rPr>
        <w:fldChar w:fldCharType="separate"/>
      </w:r>
      <w:r w:rsidR="00DF2CAF" w:rsidRPr="00DF2CAF">
        <w:rPr>
          <w:rFonts w:ascii="Arial" w:eastAsia="Arial" w:hAnsi="Arial" w:cs="Arial"/>
          <w:noProof/>
          <w:color w:val="000000"/>
          <w:sz w:val="24"/>
          <w:szCs w:val="24"/>
        </w:rPr>
        <w:t>(Dahlin and Härkönen 2013)</w:t>
      </w:r>
      <w:r w:rsidR="00DF2CAF">
        <w:rPr>
          <w:rFonts w:ascii="Arial" w:eastAsia="Arial" w:hAnsi="Arial" w:cs="Arial"/>
          <w:color w:val="000000"/>
          <w:sz w:val="24"/>
          <w:szCs w:val="24"/>
        </w:rPr>
        <w:fldChar w:fldCharType="end"/>
      </w:r>
      <w:r w:rsidR="00A50CB3">
        <w:rPr>
          <w:rFonts w:ascii="Arial" w:eastAsia="Arial" w:hAnsi="Arial" w:cs="Arial"/>
          <w:color w:val="000000"/>
          <w:sz w:val="24"/>
          <w:szCs w:val="24"/>
        </w:rPr>
        <w:t>. By focusing on the gap, these studies may be missing important changes in the patterns of health and mortality, which may not go together with societal level changes in health and gender inequality.</w:t>
      </w:r>
      <w:r w:rsidR="00DF2CAF">
        <w:rPr>
          <w:rFonts w:ascii="Arial" w:eastAsia="Arial" w:hAnsi="Arial" w:cs="Arial"/>
          <w:color w:val="000000"/>
          <w:sz w:val="24"/>
          <w:szCs w:val="24"/>
        </w:rPr>
        <w:t xml:space="preserve"> </w:t>
      </w:r>
      <w:r w:rsidR="00FA1FD2">
        <w:rPr>
          <w:rFonts w:ascii="Arial" w:eastAsia="Arial" w:hAnsi="Arial" w:cs="Arial"/>
          <w:color w:val="000000"/>
          <w:sz w:val="24"/>
          <w:szCs w:val="24"/>
        </w:rPr>
        <w:t xml:space="preserve">This is particularly due to the relationship between health and mortality and the specific role of certain conditions among women and men. </w:t>
      </w:r>
      <w:r w:rsidR="001524B4">
        <w:rPr>
          <w:rFonts w:ascii="Arial" w:eastAsia="Arial" w:hAnsi="Arial" w:cs="Arial"/>
          <w:color w:val="000000"/>
          <w:sz w:val="24"/>
          <w:szCs w:val="24"/>
        </w:rPr>
        <w:t xml:space="preserve">Women </w:t>
      </w:r>
      <w:r w:rsidR="00526DD5">
        <w:rPr>
          <w:rFonts w:ascii="Arial" w:eastAsia="Arial" w:hAnsi="Arial" w:cs="Arial"/>
          <w:color w:val="000000"/>
          <w:sz w:val="24"/>
          <w:szCs w:val="24"/>
        </w:rPr>
        <w:t xml:space="preserve">live longer but </w:t>
      </w:r>
      <w:r w:rsidR="001524B4">
        <w:rPr>
          <w:rFonts w:ascii="Arial" w:eastAsia="Arial" w:hAnsi="Arial" w:cs="Arial"/>
          <w:color w:val="000000"/>
          <w:sz w:val="24"/>
          <w:szCs w:val="24"/>
        </w:rPr>
        <w:t xml:space="preserve">face a higher burden of chronic, non-lethal but debilitating conditions, such as arthritis </w:t>
      </w:r>
      <w:r w:rsidR="001524B4">
        <w:rPr>
          <w:rFonts w:ascii="Arial" w:eastAsia="Arial" w:hAnsi="Arial" w:cs="Arial"/>
          <w:color w:val="000000"/>
          <w:sz w:val="24"/>
          <w:szCs w:val="24"/>
        </w:rPr>
        <w:fldChar w:fldCharType="begin" w:fldLock="1"/>
      </w:r>
      <w:r w:rsidR="00526DD5">
        <w:rPr>
          <w:rFonts w:ascii="Arial" w:eastAsia="Arial" w:hAnsi="Arial" w:cs="Arial"/>
          <w:color w:val="000000"/>
          <w:sz w:val="24"/>
          <w:szCs w:val="24"/>
        </w:rPr>
        <w:instrText>ADDIN CSL_CITATION {"citationItems":[{"id":"ITEM-1","itemData":{"DOI":"10.1186/s12889-016-3352-y","ISSN":"1471-2458","abstract":"Background: While surveys in high-income countries show that women generally have poorer self-reported health than men, much less is known about gender differences in other regions of the world. Such data can be used to examine the determinants of sex differences. Methods: We analysed data on respondents 18 years and over from the World Health Surveys 2002-04 in 59 countries, which included multiple measures of self-reported health, eight domains of functioning and presumptive diagnoses of chronic conditions. The age-standardized female excess fraction was computed for all indicators and analysed for five regional groups of countries. Multivariate regression models were used to examine the association between country gaps in self-reported health between the sexes with societal and other background characteristics. Results: Women reported significantly poorer health than men on all self-reported health indicators. The excess fraction was 15 % for the health score based on the eight domains, 28 % for \"poor\" or \"very poor\" self-rated health on the single question, and 26 % for \"severe\" or \"extreme\" on a single question on limitations. The excess female reporting of poorer health occurred at all ages, but was smaller at ages 60 and over. The female excess was observed in all regions, and was smallest in the European high-income countries. Women more frequently reported problems in specific health domains, with the excess fraction ranging from 25 % for vision to 35 % for mobility, pain and sleep, and with considerable variation between regions. Angina, arthritis and depression had female excess fractions of 33, 32 and 42 % respectively. Higher female prevalence of the presumptive diagnoses was observed in all regional country groups. The main factors affecting the size of the gender gap in self-reported health were the female-male gaps in the prevalence of chronic conditions, especially arthritis and depression and gender characteristics of the society. Conclusions: Large female-male differences in self-reported health and functioning, equivalent to a decade of growing older, consistently occurred in all regions of the world, irrespective of differences in mortality levels or societal factors. The multi-country study suggests that a mix of biological factors and societal gender inequalities are major contributing factors to gender gap in self-reported measures of health.","author":[{"dropping-particle":"","family":"Boerma","given":"Ties","non-dropping-particle":"","parse-names":false,"suffix":""},{"dropping-particle":"","family":"Hosseinpoor","given":"Ahmad Reza","non-dropping-particle":"","parse-names":false,"suffix":""},{"dropping-particle":"","family":"Verdes","given":"Emese","non-dropping-particle":"","parse-names":false,"suffix":""},{"dropping-particle":"","family":"Chatterji","given":"Somnath","non-dropping-particle":"","parse-names":false,"suffix":""}],"container-title":"BMC Public Health","id":"ITEM-1","issue":"1","issued":{"date-parts":[["2016","12","30"]]},"page":"675","publisher":"BioMed Central Ltd.","title":"A global assessment of the gender gap in self-reported health with survey data from 59 countries","type":"article-journal","volume":"16"},"uris":["http://www.mendeley.com/documents/?uuid=d6f1b707-3e19-3e59-8a91-507caf8401a2"]}],"mendeley":{"formattedCitation":"(Boerma et al. 2016)","plainTextFormattedCitation":"(Boerma et al. 2016)","previouslyFormattedCitation":"(Boerma et al. 2016)"},"properties":{"noteIndex":0},"schema":"https://github.com/citation-style-language/schema/raw/master/csl-citation.json"}</w:instrText>
      </w:r>
      <w:r w:rsidR="001524B4">
        <w:rPr>
          <w:rFonts w:ascii="Arial" w:eastAsia="Arial" w:hAnsi="Arial" w:cs="Arial"/>
          <w:color w:val="000000"/>
          <w:sz w:val="24"/>
          <w:szCs w:val="24"/>
        </w:rPr>
        <w:fldChar w:fldCharType="separate"/>
      </w:r>
      <w:r w:rsidR="001524B4" w:rsidRPr="001524B4">
        <w:rPr>
          <w:rFonts w:ascii="Arial" w:eastAsia="Arial" w:hAnsi="Arial" w:cs="Arial"/>
          <w:noProof/>
          <w:color w:val="000000"/>
          <w:sz w:val="24"/>
          <w:szCs w:val="24"/>
        </w:rPr>
        <w:t>(Boerma et al. 2016)</w:t>
      </w:r>
      <w:r w:rsidR="001524B4">
        <w:rPr>
          <w:rFonts w:ascii="Arial" w:eastAsia="Arial" w:hAnsi="Arial" w:cs="Arial"/>
          <w:color w:val="000000"/>
          <w:sz w:val="24"/>
          <w:szCs w:val="24"/>
        </w:rPr>
        <w:fldChar w:fldCharType="end"/>
      </w:r>
      <w:r w:rsidR="00526DD5">
        <w:rPr>
          <w:rFonts w:ascii="Arial" w:eastAsia="Arial" w:hAnsi="Arial" w:cs="Arial"/>
          <w:sz w:val="24"/>
          <w:szCs w:val="24"/>
        </w:rPr>
        <w:t xml:space="preserve">, while men experience higher levels of </w:t>
      </w:r>
      <w:r w:rsidR="00A50CB3">
        <w:rPr>
          <w:rFonts w:ascii="Arial" w:eastAsia="Arial" w:hAnsi="Arial" w:cs="Arial"/>
          <w:sz w:val="24"/>
          <w:szCs w:val="24"/>
        </w:rPr>
        <w:t xml:space="preserve">diabetes and heart disease </w:t>
      </w:r>
      <w:r w:rsidR="00526DD5">
        <w:rPr>
          <w:rFonts w:ascii="Arial" w:eastAsia="Arial" w:hAnsi="Arial" w:cs="Arial"/>
          <w:sz w:val="24"/>
          <w:szCs w:val="24"/>
        </w:rPr>
        <w:t xml:space="preserve"> </w:t>
      </w:r>
      <w:r w:rsidR="00526DD5">
        <w:rPr>
          <w:rFonts w:ascii="Arial" w:eastAsia="Arial" w:hAnsi="Arial" w:cs="Arial"/>
          <w:sz w:val="24"/>
          <w:szCs w:val="24"/>
        </w:rPr>
        <w:fldChar w:fldCharType="begin" w:fldLock="1"/>
      </w:r>
      <w:r w:rsidR="009469DB">
        <w:rPr>
          <w:rFonts w:ascii="Arial" w:eastAsia="Arial" w:hAnsi="Arial" w:cs="Arial"/>
          <w:sz w:val="24"/>
          <w:szCs w:val="24"/>
        </w:rPr>
        <w:instrText>ADDIN CSL_CITATION {"citationItems":[{"id":"ITEM-1","itemData":{"DOI":"10.1093/gerona/glx224","ISSN":"1758535X","abstract":"Background International comparisons of disease prevalence have been useful in understanding what proportion of disease might be preventable and in informing potential policy interventions in different cultural and economic contexts. Using newly available, harmonized data from 20 countries, we compare disability and morbidity of older adults between the ages of 55 and 74. Methods The Gateway to Global Aging Data, a data and information portal, provides access to easy-to-use individual-level longitudinal data from 10 surveys covering over 30 countries. Exploiting harmonized measures available from the Gateway, we descriptively examine how disability and morbidity differ across countries. Results Significant cross-country differences are observed for several health indicators. Comparing countries with the highest and lowest prevalence rates, we observe that hypertension rates vary twofold and stroke rates vary threefold, while disability and arthritis rates vary more than fivefold. Among women, higher gross domestic product and life expectancy are related to lower diabetes, heart disease, and better functioning. Among men, national indicators of economic conditions are not significantly associated with reported disease prevalence. Conclusions We document substantial heterogeneity in disability and morbidity across countries, separately for men and women and after controlling for population age composition and education. Rich data from various surveys across the world offers remarkable opportunities for cross-country analyses, calling for further investigation of what drives observed differences. The Gateway to Global Aging Data provides easy-to-use harmonized data files and tools to facilitate this type of research.","author":[{"dropping-particle":"","family":"Lee","given":"Jinkook","non-dropping-particle":"","parse-names":false,"suffix":""},{"dropping-particle":"","family":"Phillips","given":"Drystan","non-dropping-particle":"","parse-names":false,"suffix":""},{"dropping-particle":"","family":"Wilkens","given":"Jenny","non-dropping-particle":"","parse-names":false,"suffix":""},{"dropping-particle":"","family":"Chien","given":"Sandy","non-dropping-particle":"","parse-names":false,"suffix":""},{"dropping-particle":"","family":"Lin","given":"Yu Chen","non-dropping-particle":"","parse-names":false,"suffix":""},{"dropping-particle":"","family":"Angrisani","given":"Marco","non-dropping-particle":"","parse-names":false,"suffix":""},{"dropping-particle":"","family":"Crimmins","given":"Eileen","non-dropping-particle":"","parse-names":false,"suffix":""}],"container-title":"Journals of Gerontology - Series A Biological Sciences and Medical Sciences","id":"ITEM-1","issue":"11","issued":{"date-parts":[["2018","10","8"]]},"page":"1519-1524","publisher":"Oxford University Press","title":"Cross-country comparisons of disability and morbidity: Evidence from the gateway to global aging data","type":"article-journal","volume":"73"},"uris":["http://www.mendeley.com/documents/?uuid=98ab343c-9469-3d0d-8fb8-6e5c4c7a00d8"]}],"mendeley":{"formattedCitation":"(Lee et al. 2018)","plainTextFormattedCitation":"(Lee et al. 2018)","previouslyFormattedCitation":"(Lee et al. 2018)"},"properties":{"noteIndex":0},"schema":"https://github.com/citation-style-language/schema/raw/master/csl-citation.json"}</w:instrText>
      </w:r>
      <w:r w:rsidR="00526DD5">
        <w:rPr>
          <w:rFonts w:ascii="Arial" w:eastAsia="Arial" w:hAnsi="Arial" w:cs="Arial"/>
          <w:sz w:val="24"/>
          <w:szCs w:val="24"/>
        </w:rPr>
        <w:fldChar w:fldCharType="separate"/>
      </w:r>
      <w:r w:rsidR="00526DD5" w:rsidRPr="00526DD5">
        <w:rPr>
          <w:rFonts w:ascii="Arial" w:eastAsia="Arial" w:hAnsi="Arial" w:cs="Arial"/>
          <w:noProof/>
          <w:sz w:val="24"/>
          <w:szCs w:val="24"/>
        </w:rPr>
        <w:t>(Lee et al. 2018)</w:t>
      </w:r>
      <w:r w:rsidR="00526DD5">
        <w:rPr>
          <w:rFonts w:ascii="Arial" w:eastAsia="Arial" w:hAnsi="Arial" w:cs="Arial"/>
          <w:sz w:val="24"/>
          <w:szCs w:val="24"/>
        </w:rPr>
        <w:fldChar w:fldCharType="end"/>
      </w:r>
      <w:r w:rsidR="00A50CB3">
        <w:rPr>
          <w:rFonts w:ascii="Arial" w:eastAsia="Arial" w:hAnsi="Arial" w:cs="Arial"/>
          <w:sz w:val="24"/>
          <w:szCs w:val="24"/>
        </w:rPr>
        <w:t>.</w:t>
      </w:r>
      <w:r w:rsidR="009469DB">
        <w:rPr>
          <w:rFonts w:ascii="Arial" w:eastAsia="Arial" w:hAnsi="Arial" w:cs="Arial"/>
          <w:sz w:val="24"/>
          <w:szCs w:val="24"/>
        </w:rPr>
        <w:t xml:space="preserve"> </w:t>
      </w:r>
      <w:r w:rsidR="009469DB" w:rsidRPr="00337D4B">
        <w:rPr>
          <w:rFonts w:ascii="Arial" w:eastAsia="Arial" w:hAnsi="Arial" w:cs="Arial"/>
          <w:color w:val="000000"/>
          <w:sz w:val="24"/>
          <w:szCs w:val="24"/>
        </w:rPr>
        <w:t>Despite long standing effort from researchers worldwide</w:t>
      </w:r>
      <w:r w:rsidR="009469DB">
        <w:rPr>
          <w:rFonts w:ascii="Arial" w:eastAsia="Arial" w:hAnsi="Arial" w:cs="Arial"/>
          <w:color w:val="000000"/>
          <w:sz w:val="24"/>
          <w:szCs w:val="24"/>
        </w:rPr>
        <w:t xml:space="preserve"> to understand </w:t>
      </w:r>
      <w:r w:rsidR="009469DB" w:rsidRPr="00337D4B">
        <w:rPr>
          <w:rFonts w:ascii="Arial" w:eastAsia="Arial" w:hAnsi="Arial" w:cs="Arial"/>
          <w:color w:val="000000"/>
          <w:sz w:val="24"/>
          <w:szCs w:val="24"/>
        </w:rPr>
        <w:t>gender disparities in health</w:t>
      </w:r>
      <w:r w:rsidR="009469DB">
        <w:rPr>
          <w:rFonts w:ascii="Arial" w:eastAsia="Arial" w:hAnsi="Arial" w:cs="Arial"/>
          <w:color w:val="000000"/>
          <w:sz w:val="24"/>
          <w:szCs w:val="24"/>
        </w:rPr>
        <w:t>,</w:t>
      </w:r>
      <w:r w:rsidR="009469DB" w:rsidRPr="00337D4B">
        <w:rPr>
          <w:rFonts w:ascii="Arial" w:eastAsia="Arial" w:hAnsi="Arial" w:cs="Arial"/>
          <w:color w:val="000000"/>
          <w:sz w:val="24"/>
          <w:szCs w:val="24"/>
        </w:rPr>
        <w:t xml:space="preserve"> there has been no conclusive explanation for why, despite living longer than men, women experience poorer health for most outcomes</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9469DB">
        <w:rPr>
          <w:rFonts w:ascii="Arial" w:eastAsia="Arial" w:hAnsi="Arial" w:cs="Arial"/>
          <w:color w:val="000000"/>
          <w:sz w:val="24"/>
          <w:szCs w:val="24"/>
        </w:rPr>
        <w:instrText>ADDIN CSL_CITATION {"citationItems":[{"id":"ITEM-1","itemData":{"ISSN":"0070-3370","PMID":"15986983","abstract":"Women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-1","issue":"2","issued":{"date-parts":[["2005","5"]]},"page":"189-214","title":"Sex differences in morbidity and mortality.","type":"article-journal","volume":"42"},"uris":["http://www.mendeley.com/documents/?uuid=8163c422-4a69-47ae-aa7f-019cea0b73b2"]},{"id":"ITEM-2","itemData":{"DOI":"10.1093/eurpub/ckq022","ISBN":"1464-360X (Electronic)\\r1101-1262 (Linking)","ISSN":"1464-360X","PMID":"20237171","abstract":"We examine gender differences in health at ages 50 years and older in 11 European countries, England and the USA.","author":[{"dropping-particle":"","family":"Crimmins","given":"Eileen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HRS","type":"article-journal","volume":"21"},"uris":["http://www.mendeley.com/documents/?uuid=fc93dd47-6c79-430f-b9d6-18ed14c0e624"]},{"id":"ITEM-3","itemData":{"DOI":"10.1300/J013v12n02_07","ISSN":"0363-0242","author":[{"dropping-particle":"","family":"Verbrugge","given":"Lois M.","non-dropping-particle":"","parse-names":false,"suffix":""},{"dropping-particle":"","family":"Wingard","given":"Deborah L.","non-dropping-particle":"","parse-names":false,"suffix":""}],"container-title":"Women &amp; Health","id":"ITEM-3","issue":"2","issued":{"date-parts":[["1987","11","4"]]},"page":"103-145","title":"Sex Differentials in Health and Mortality","type":"article-journal","volume":"12"},"uris":["http://www.mendeley.com/documents/?uuid=a38bd138-4907-4027-8208-1e8cb9e14727"]},{"id":"ITEM-4","itemData":{"DOI":"10.1016/j.whi.2010.08.007","ISSN":"10493867","author":[{"dropping-particle":"","family":"Drumond Andrade","given":"Flávia Cristina","non-dropping-particle":"","parse-names":false,"suffix":""},{"dropping-particle":"","family":"Guevara","given":"Pilar Egüez","non-dropping-particle":"","parse-names":false,"suffix":""},{"dropping-particle":"","family":"Lebrão","given":"Maria Lúcia","non-dropping-particle":"","parse-names":false,"suffix":""},{"dropping-particle":"","family":"Oliveira Duarte","given":"Yeda Aparecida","non-dropping-particle":"de","parse-names":false,"suffix":""},{"dropping-particle":"","family":"Santos","given":"Jair Lício Ferreira","non-dropping-particle":"","parse-names":false,"suffix":""}],"container-title":"Women's Health Issues","id":"ITEM-4","issue":"1","issued":{"date-parts":[["2011","1"]]},"page":"64-70","title":"Gender Differences in Life Expectancy and Disability-Free Life Expectancy Among Older Adults in São Paulo, Brazil","type":"article-journal","volume":"21"},"uris":["http://www.mendeley.com/documents/?uuid=301b5e04-6afc-46df-9a95-36b4acf82f1a"]},{"id":"ITEM-5","itemData":{"DOI":"10.1007/978-3-030-37668-0_11","author":[{"dropping-particle":"","family":"Lego","given":"Vanessa","non-dropping-particle":"Di","parse-names":false,"suffix":""},{"dropping-particle":"","family":"Giulio","given":"Paola","non-dropping-particle":"Di","parse-names":false,"suffix":""},{"dropping-particle":"","family":"Luy","given":"Marc","non-dropping-particle":"","parse-names":false,"suffix":""}],"id":"ITEM-5","issued":{"date-parts":[["2020"]]},"page":"151-172","title":"Gender Differences in Healthy and Unhealthy Life Expectancy","type":"chapter"},"uris":["http://www.mendeley.com/documents/?uuid=6c4d9332-30fc-3481-9ca2-2b71f34f6be9"]},{"id":"ITEM-6","itemData":{"DOI":"10.1007/s10433-010-0170-4","ISSN":"1613-9372","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Ageing","id":"ITEM-6","issue":"4","issued":{"date-parts":[["2010","12","4"]]},"page":"213-218","title":"Gender gap in health expectancy","type":"article-journal","volume":"7"},"uris":["http://www.mendeley.com/documents/?uuid=ee6c3c7c-ad4c-436f-9720-ca1a1b4168b2"]},{"id":"ITEM-7","itemData":{"ISSN":"1209-1367","PMID":"25517936","abstract":"BACKGROUND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reports","id":"ITEM-7","issue":"12","issued":{"date-parts":[["2014","12"]]},"page":"12-9","title":"Gender gaps--Life expectancy and proportion of life in poor health.","type":"article-journal","volume":"25"},"uris":["http://www.mendeley.com/documents/?uuid=56d6d9a3-5c20-4c8c-b98c-7713a2efcdca"]}],"mendeley":{"formattedCitation":"(Verbrugge and Wingard 1987; Case and Paxson 2005; Oksuzyan et al. 2010; Drumond Andrade et al. 2011; Crimmins et al. 2011; Luy and Minagawa 2014; Di Lego et al. 2020)","plainTextFormattedCitation":"(Verbrugge and Wingard 1987; Case and Paxson 2005; Oksuzyan et al. 2010; Drumond Andrade et al. 2011; Crimmins et al. 2011; Luy and Minagawa 2014; Di Lego et al. 2020)","previouslyFormattedCitation":"(Verbrugge and Wingard 1987; Case and Paxson 2005; Oksuzyan et al. 2010; Drumond Andrade et al. 2011; Crimmins et al. 2011; Luy and Minagawa 2014; Di Lego et al. 2020)"},"properties":{"noteIndex":0},"schema":"https://github.com/citation-style-language/schema/raw/master/csl-citation.json"}</w:instrText>
      </w:r>
      <w:r w:rsidR="009469DB">
        <w:rPr>
          <w:rFonts w:ascii="Arial" w:eastAsia="Arial" w:hAnsi="Arial" w:cs="Arial"/>
          <w:color w:val="000000"/>
          <w:sz w:val="24"/>
          <w:szCs w:val="24"/>
        </w:rPr>
        <w:fldChar w:fldCharType="separate"/>
      </w:r>
      <w:r w:rsidR="009469DB" w:rsidRPr="00083FD8">
        <w:rPr>
          <w:rFonts w:ascii="Arial" w:eastAsia="Arial" w:hAnsi="Arial" w:cs="Arial"/>
          <w:noProof/>
          <w:color w:val="000000"/>
          <w:sz w:val="24"/>
          <w:szCs w:val="24"/>
        </w:rPr>
        <w:t>(Verbrugge and Wingard 1987; Case and Paxson 2005; Oksuzyan et al. 2010; Drumond Andrade et al. 2011; Crimmins et al. 2011; Luy and Minagawa 2014; Di Lego et al. 2020)</w:t>
      </w:r>
      <w:r w:rsidR="009469DB">
        <w:rPr>
          <w:rFonts w:ascii="Arial" w:eastAsia="Arial" w:hAnsi="Arial" w:cs="Arial"/>
          <w:color w:val="000000"/>
          <w:sz w:val="24"/>
          <w:szCs w:val="24"/>
        </w:rPr>
        <w:fldChar w:fldCharType="end"/>
      </w:r>
      <w:r w:rsidR="009469DB" w:rsidRPr="00337D4B">
        <w:rPr>
          <w:rFonts w:ascii="Arial" w:eastAsia="Arial" w:hAnsi="Arial" w:cs="Arial"/>
          <w:color w:val="000000"/>
          <w:sz w:val="24"/>
          <w:szCs w:val="24"/>
        </w:rPr>
        <w:t xml:space="preserve">. </w:t>
      </w:r>
      <w:r w:rsidR="009469DB">
        <w:rPr>
          <w:rFonts w:ascii="Arial" w:eastAsia="Arial" w:hAnsi="Arial" w:cs="Arial"/>
          <w:color w:val="000000"/>
          <w:sz w:val="24"/>
          <w:szCs w:val="24"/>
        </w:rPr>
        <w:t>This has</w:t>
      </w:r>
      <w:r w:rsidR="009469DB" w:rsidRPr="00C44C07">
        <w:rPr>
          <w:rFonts w:ascii="Arial" w:eastAsia="Arial" w:hAnsi="Arial" w:cs="Arial"/>
          <w:color w:val="000000"/>
          <w:sz w:val="24"/>
          <w:szCs w:val="24"/>
        </w:rPr>
        <w:t xml:space="preserve"> startling effects since debilitating conditions such as arthritis limit the ability</w:t>
      </w:r>
      <w:r w:rsidR="009469DB">
        <w:rPr>
          <w:rFonts w:ascii="Arial" w:eastAsia="Arial" w:hAnsi="Arial" w:cs="Arial"/>
          <w:color w:val="000000"/>
          <w:sz w:val="24"/>
          <w:szCs w:val="24"/>
        </w:rPr>
        <w:t xml:space="preserve"> of women</w:t>
      </w:r>
      <w:r w:rsidR="009469DB" w:rsidRPr="00C44C07">
        <w:rPr>
          <w:rFonts w:ascii="Arial" w:eastAsia="Arial" w:hAnsi="Arial" w:cs="Arial"/>
          <w:color w:val="000000"/>
          <w:sz w:val="24"/>
          <w:szCs w:val="24"/>
        </w:rPr>
        <w:t xml:space="preserve"> to remain independent, engage in social activities, and usually demand long-term care</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4F2072">
        <w:rPr>
          <w:rFonts w:ascii="Arial" w:eastAsia="Arial" w:hAnsi="Arial" w:cs="Arial"/>
          <w:color w:val="000000"/>
          <w:sz w:val="24"/>
          <w:szCs w:val="24"/>
        </w:rPr>
        <w:instrText>ADDIN CSL_CITATION {"citationItems":[{"id":"ITEM-1","itemData":{"DOI":"10.2105/AJPH.2016.303089","ISSN":"0090-0036","abstract":"Objectives. To examine changes in active life expectancy in the United States over 30 years for older men and women (aged ≥ 65 years). Methods.We used the 1982 and 2004 National Long Term Care Survey and the 2011 National Health and Aging Trends Study to estimate age-specific mortality and disability rates, the overall chances of survival and of surviving without disability, and years of active life for men and women. Results. For older men, longevity has increased, disability has been postponed to older ages, disability prevalence has fallen, and the percentage of remaining life spent active has increased. However, for older women, small longevity increases have been accompanied by even smaller postponements in disability, a reversal of a downward trend in moderate disability, and stagnation of active life as a percentage of life expectancy. As a consequence, older women no longer live more active years than men, despite their longer lives. Conclusions. Neither a compression nor expansion of late-life disability is inevitable. Public health measures directed at older women to postpone disability may be needed to offset impending long-term care pressures related to population aging.","author":[{"dropping-particle":"","family":"Freedman","given":"Vicki A.","non-dropping-particle":"","parse-names":false,"suffix":""},{"dropping-particle":"","family":"Wolf","given":"Douglas A.","non-dropping-particle":"","parse-names":false,"suffix":""},{"dropping-particle":"","family":"Spillman","given":"Brenda C.","non-dropping-particle":"","parse-names":false,"suffix":""}],"container-title":"American Journal of Public Health","id":"ITEM-1","issue":"6","issued":{"date-parts":[["2016","6","1"]]},"page":"1079-1085","publisher":"American Public Health Association Inc.","title":"Disability-Free Life Expectancy Over 30 Years: A Growing Female Disadvantage in the US Population","type":"article-journal","volume":"106"},"uris":["http://www.mendeley.com/documents/?uuid=1f4cdf09-0b4a-3838-9868-f7934a4e832f"]}],"mendeley":{"formattedCitation":"(Freedman et al. 2016)","plainTextFormattedCitation":"(Freedman et al. 2016)","previouslyFormattedCitation":"(Freedman et al. 2016)"},"properties":{"noteIndex":0},"schema":"https://github.com/citation-style-language/schema/raw/master/csl-citation.json"}</w:instrText>
      </w:r>
      <w:r w:rsidR="009469DB">
        <w:rPr>
          <w:rFonts w:ascii="Arial" w:eastAsia="Arial" w:hAnsi="Arial" w:cs="Arial"/>
          <w:color w:val="000000"/>
          <w:sz w:val="24"/>
          <w:szCs w:val="24"/>
        </w:rPr>
        <w:fldChar w:fldCharType="separate"/>
      </w:r>
      <w:r w:rsidR="009469DB" w:rsidRPr="009469DB">
        <w:rPr>
          <w:rFonts w:ascii="Arial" w:eastAsia="Arial" w:hAnsi="Arial" w:cs="Arial"/>
          <w:noProof/>
          <w:color w:val="000000"/>
          <w:sz w:val="24"/>
          <w:szCs w:val="24"/>
        </w:rPr>
        <w:t>(Freedman et al. 2016)</w:t>
      </w:r>
      <w:r w:rsidR="009469DB">
        <w:rPr>
          <w:rFonts w:ascii="Arial" w:eastAsia="Arial" w:hAnsi="Arial" w:cs="Arial"/>
          <w:color w:val="000000"/>
          <w:sz w:val="24"/>
          <w:szCs w:val="24"/>
        </w:rPr>
        <w:fldChar w:fldCharType="end"/>
      </w:r>
      <w:r w:rsidR="009469DB">
        <w:rPr>
          <w:rFonts w:ascii="Arial" w:eastAsia="Arial" w:hAnsi="Arial" w:cs="Arial"/>
          <w:color w:val="000000"/>
          <w:sz w:val="24"/>
          <w:szCs w:val="24"/>
        </w:rPr>
        <w:t xml:space="preserve">. </w:t>
      </w:r>
    </w:p>
    <w:p w14:paraId="24E6145C" w14:textId="4CF7ECB9" w:rsidR="008747FF" w:rsidRPr="00337D4B" w:rsidRDefault="008747FF" w:rsidP="008747FF">
      <w:pPr>
        <w:pBdr>
          <w:top w:val="nil"/>
          <w:left w:val="nil"/>
          <w:bottom w:val="nil"/>
          <w:right w:val="nil"/>
          <w:between w:val="nil"/>
        </w:pBdr>
        <w:spacing w:after="0" w:line="360" w:lineRule="auto"/>
        <w:jc w:val="both"/>
        <w:rPr>
          <w:rFonts w:ascii="Arial" w:eastAsia="Arial" w:hAnsi="Arial" w:cs="Arial"/>
          <w:color w:val="000000"/>
          <w:sz w:val="24"/>
          <w:szCs w:val="24"/>
        </w:rPr>
      </w:pPr>
    </w:p>
    <w:p w14:paraId="37378912" w14:textId="3A63F6EB" w:rsidR="00A176F6" w:rsidRDefault="00C13944"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r>
        <w:rPr>
          <w:rFonts w:ascii="Arial" w:eastAsia="Arial" w:hAnsi="Arial" w:cs="Arial"/>
          <w:sz w:val="24"/>
          <w:szCs w:val="24"/>
        </w:rPr>
        <w:t xml:space="preserve">In addition, since gender gaps in health expectancy can be masking important effects of health, they may also hinder appropriate country-specific analysis. </w:t>
      </w:r>
      <w:r w:rsidR="00EF735F">
        <w:rPr>
          <w:rFonts w:ascii="Arial" w:eastAsia="Arial" w:hAnsi="Arial" w:cs="Arial"/>
          <w:sz w:val="24"/>
          <w:szCs w:val="24"/>
        </w:rPr>
        <w:t xml:space="preserve">As we have shown, countries from very different epidemiological contexts can have similar gaps at a given point in time. </w:t>
      </w:r>
      <w:r w:rsidR="004F2072">
        <w:rPr>
          <w:rFonts w:ascii="Arial" w:eastAsia="Arial" w:hAnsi="Arial" w:cs="Arial"/>
          <w:sz w:val="24"/>
          <w:szCs w:val="24"/>
        </w:rPr>
        <w:t xml:space="preserve">Countries may also have similar results but driven by very different contexts. </w:t>
      </w:r>
      <w:r w:rsidR="00A645E5">
        <w:rPr>
          <w:rFonts w:ascii="Arial" w:eastAsia="Arial" w:hAnsi="Arial" w:cs="Arial"/>
          <w:sz w:val="24"/>
          <w:szCs w:val="24"/>
        </w:rPr>
        <w:t>It</w:t>
      </w:r>
      <w:r w:rsidR="00EF735F">
        <w:rPr>
          <w:rFonts w:ascii="Arial" w:eastAsia="Arial" w:hAnsi="Arial" w:cs="Arial"/>
          <w:sz w:val="24"/>
          <w:szCs w:val="24"/>
        </w:rPr>
        <w:t xml:space="preserve"> has been shown that </w:t>
      </w:r>
      <w:r w:rsidR="004F2072" w:rsidRPr="0063355F">
        <w:rPr>
          <w:rFonts w:ascii="Arial" w:hAnsi="Arial" w:cs="Arial"/>
          <w:bCs/>
          <w:color w:val="000000"/>
          <w:sz w:val="24"/>
          <w:szCs w:val="24"/>
        </w:rPr>
        <w:t>the son preference in Chinese traditions</w:t>
      </w:r>
      <w:r w:rsidR="004F2072">
        <w:rPr>
          <w:rFonts w:ascii="Arial" w:hAnsi="Arial" w:cs="Arial"/>
          <w:bCs/>
          <w:color w:val="000000"/>
          <w:sz w:val="24"/>
          <w:szCs w:val="24"/>
        </w:rPr>
        <w:t xml:space="preserve"> has impacted female health in very different ways than other countries in the western world</w:t>
      </w:r>
      <w:r w:rsidR="000167F6">
        <w:rPr>
          <w:rFonts w:ascii="Arial" w:hAnsi="Arial" w:cs="Arial"/>
          <w:bCs/>
          <w:color w:val="000000"/>
          <w:sz w:val="24"/>
          <w:szCs w:val="24"/>
        </w:rPr>
        <w:t xml:space="preserve">, where families </w:t>
      </w:r>
      <w:r w:rsidR="000167F6" w:rsidRPr="004C093A">
        <w:rPr>
          <w:rFonts w:ascii="Arial" w:hAnsi="Arial" w:cs="Arial"/>
          <w:bCs/>
          <w:color w:val="000000"/>
          <w:sz w:val="24"/>
          <w:szCs w:val="24"/>
        </w:rPr>
        <w:t>often invested more in sons at the expenses of daughters</w:t>
      </w:r>
      <w:r w:rsidR="003E7433">
        <w:rPr>
          <w:rFonts w:ascii="Arial" w:hAnsi="Arial" w:cs="Arial"/>
          <w:bCs/>
          <w:color w:val="000000"/>
          <w:sz w:val="24"/>
          <w:szCs w:val="24"/>
        </w:rPr>
        <w:t xml:space="preserve"> </w:t>
      </w:r>
      <w:r w:rsidR="003E7433">
        <w:rPr>
          <w:rFonts w:ascii="Arial" w:hAnsi="Arial" w:cs="Arial"/>
          <w:bCs/>
          <w:color w:val="000000"/>
          <w:sz w:val="24"/>
          <w:szCs w:val="24"/>
        </w:rPr>
        <w:fldChar w:fldCharType="begin" w:fldLock="1"/>
      </w:r>
      <w:r w:rsidR="00445CE8">
        <w:rPr>
          <w:rFonts w:ascii="Arial" w:hAnsi="Arial" w:cs="Arial"/>
          <w:bCs/>
          <w:color w:val="000000"/>
          <w:sz w:val="24"/>
          <w:szCs w:val="24"/>
        </w:rPr>
        <w:instrText>ADDIN CSL_CITATION {"citationItems":[{"id":"ITEM-1","itemData":{"DOI":"10.1016/J.EHB.2015.03.001","ISSN":"1873-6130","PMID":"25867249","abstract":"Around the world, and in spite of their higher life expectancy, women tend to report worse health than men until old age. Explanations for this gender gap in self-perceived health may be different in China than in other countries due to the traditional phenomenon of son preference. We examine several possible reasons for the gap using the Chinese SAGE data. We first rule out differential reporting by gender as a possible explanation, exploiting information on anchoring vignettes in eight domains of health functioning. Decomposing the gap in general self-assessed health, we find that about 31% can be explained by socio-demographic factors, most of all by discrimination against women in education in the 20th century. A more complete specification including chronic conditions and health functioning fully explains the remainder of the gap (about 69%). Adding chronic conditions and health functioning also explains at least two thirds of the education contribution, suggesting how education may affect health. In particular, women's higher rates of arthritis, angina and eye diseases make the largest contributions to the gender health gap, by limiting mobility, increasing pain and discomfort, and causing sleep problems and a feeling of low energy.","author":[{"dropping-particle":"","family":"Zhang","given":"Hao","non-dropping-particle":"","parse-names":false,"suffix":""},{"dropping-particle":"","family":"Bago D'Uva","given":"Teresa","non-dropping-particle":"","parse-names":false,"suffix":""},{"dropping-particle":"","family":"Doorslaer","given":"Eddy","non-dropping-particle":"Van","parse-names":false,"suffix":""}],"container-title":"Economics and human biology","id":"ITEM-1","issued":{"date-parts":[["2015","7","1"]]},"page":"13-26","publisher":"Econ Hum Biol","title":"The gender health gap in China: A decomposition analysis","type":"article-journal","volume":"18"},"uris":["http://www.mendeley.com/documents/?uuid=f1379a79-d88d-316f-9c51-a8fcd96fd1cd"]}],"mendeley":{"formattedCitation":"(Zhang et al. 2015)","plainTextFormattedCitation":"(Zhang et al. 2015)","previouslyFormattedCitation":"(Zhang et al. 2015)"},"properties":{"noteIndex":0},"schema":"https://github.com/citation-style-language/schema/raw/master/csl-citation.json"}</w:instrText>
      </w:r>
      <w:r w:rsidR="003E7433">
        <w:rPr>
          <w:rFonts w:ascii="Arial" w:hAnsi="Arial" w:cs="Arial"/>
          <w:bCs/>
          <w:color w:val="000000"/>
          <w:sz w:val="24"/>
          <w:szCs w:val="24"/>
        </w:rPr>
        <w:fldChar w:fldCharType="separate"/>
      </w:r>
      <w:r w:rsidR="003E7433" w:rsidRPr="003E7433">
        <w:rPr>
          <w:rFonts w:ascii="Arial" w:hAnsi="Arial" w:cs="Arial"/>
          <w:bCs/>
          <w:noProof/>
          <w:color w:val="000000"/>
          <w:sz w:val="24"/>
          <w:szCs w:val="24"/>
        </w:rPr>
        <w:t>(Zhang et al. 2015)</w:t>
      </w:r>
      <w:r w:rsidR="003E7433">
        <w:rPr>
          <w:rFonts w:ascii="Arial" w:hAnsi="Arial" w:cs="Arial"/>
          <w:bCs/>
          <w:color w:val="000000"/>
          <w:sz w:val="24"/>
          <w:szCs w:val="24"/>
        </w:rPr>
        <w:fldChar w:fldCharType="end"/>
      </w:r>
      <w:r w:rsidR="003E7433">
        <w:rPr>
          <w:rFonts w:ascii="Arial" w:hAnsi="Arial" w:cs="Arial"/>
          <w:bCs/>
          <w:color w:val="000000"/>
          <w:sz w:val="24"/>
          <w:szCs w:val="24"/>
        </w:rPr>
        <w:t xml:space="preserve">. </w:t>
      </w:r>
      <w:r w:rsidR="000167F6">
        <w:rPr>
          <w:rFonts w:ascii="Arial" w:hAnsi="Arial" w:cs="Arial"/>
          <w:bCs/>
          <w:color w:val="000000"/>
          <w:sz w:val="24"/>
          <w:szCs w:val="24"/>
        </w:rPr>
        <w:t>Indeed, our results showed how China is the only country where heart conditions among women is more prevalent than among men. This is</w:t>
      </w:r>
      <w:r w:rsidR="00970004">
        <w:rPr>
          <w:rFonts w:ascii="Arial" w:hAnsi="Arial" w:cs="Arial"/>
          <w:bCs/>
          <w:color w:val="000000"/>
          <w:sz w:val="24"/>
          <w:szCs w:val="24"/>
        </w:rPr>
        <w:t xml:space="preserve"> in</w:t>
      </w:r>
      <w:r w:rsidR="000167F6">
        <w:rPr>
          <w:rFonts w:ascii="Arial" w:hAnsi="Arial" w:cs="Arial"/>
          <w:bCs/>
          <w:color w:val="000000"/>
          <w:sz w:val="24"/>
          <w:szCs w:val="24"/>
        </w:rPr>
        <w:t xml:space="preserve"> line with previous studies that have shown that among </w:t>
      </w:r>
      <w:r w:rsidR="004F2072" w:rsidRPr="0083318A">
        <w:rPr>
          <w:rFonts w:ascii="Arial" w:hAnsi="Arial" w:cs="Arial"/>
          <w:bCs/>
          <w:color w:val="000000"/>
          <w:sz w:val="24"/>
          <w:szCs w:val="24"/>
        </w:rPr>
        <w:t>chronic conditions, women</w:t>
      </w:r>
      <w:r w:rsidR="000167F6">
        <w:rPr>
          <w:rFonts w:ascii="Arial" w:hAnsi="Arial" w:cs="Arial"/>
          <w:bCs/>
          <w:color w:val="000000"/>
          <w:sz w:val="24"/>
          <w:szCs w:val="24"/>
        </w:rPr>
        <w:t xml:space="preserve"> have </w:t>
      </w:r>
      <w:r w:rsidR="004F2072" w:rsidRPr="0083318A">
        <w:rPr>
          <w:rFonts w:ascii="Arial" w:hAnsi="Arial" w:cs="Arial"/>
          <w:bCs/>
          <w:color w:val="000000"/>
          <w:sz w:val="24"/>
          <w:szCs w:val="24"/>
        </w:rPr>
        <w:t>higher rates in arthritis and angina</w:t>
      </w:r>
      <w:r w:rsidR="00445CE8">
        <w:rPr>
          <w:rFonts w:ascii="Arial" w:hAnsi="Arial" w:cs="Arial"/>
          <w:bCs/>
          <w:color w:val="000000"/>
          <w:sz w:val="24"/>
          <w:szCs w:val="24"/>
        </w:rPr>
        <w:t xml:space="preserve"> and are less covered by health insurance than men </w:t>
      </w:r>
      <w:r w:rsidR="00445CE8">
        <w:rPr>
          <w:rFonts w:ascii="Arial" w:hAnsi="Arial" w:cs="Arial"/>
          <w:bCs/>
          <w:color w:val="000000"/>
          <w:sz w:val="24"/>
          <w:szCs w:val="24"/>
        </w:rPr>
        <w:fldChar w:fldCharType="begin" w:fldLock="1"/>
      </w:r>
      <w:r w:rsidR="00FF2C8B">
        <w:rPr>
          <w:rFonts w:ascii="Arial" w:hAnsi="Arial" w:cs="Arial"/>
          <w:bCs/>
          <w:color w:val="000000"/>
          <w:sz w:val="24"/>
          <w:szCs w:val="24"/>
        </w:rPr>
        <w:instrText>ADDIN CSL_CITATION {"citationItems":[{"id":"ITEM-1","itemData":{"DOI":"10.1186/s12939-021-01383-9","ISSN":"14759276","PMID":"33526037","abstract":"Background: China initiated a reform of the health insurance system in the late 1990s. The new insurance, Urban Employee Basic Medical Insurance (UEBMI), is employment-based, which makes it more difficult than it used to be for those unemployed or informal employed (most of whom are women) to be covered by health insurance. Methods: Based on three large sample of micro datasets, we first use statistical methods to identify gender differences in health insurance. Next, we construct a logistic regression model to capture the differences in insurance coverage across age groups using the parameter of interaction terms for gender and age groups. Results: Based on data from a demographic survey that covers a large sample, we find that in the below 50 (in 2005) or 60 (in 2015) years age group, the coverage gap of UEBMI between men and women was relatively smaller, while a larger disparity existed in the above 50 (in 2005) or 60 (in 2015) group. Moreover, gender differences in health insurance were more significant in the low-education group, while no gender differences were found in the high-education group. Conclusions: This paper explains the gender gap in health insurance and the reason for the wider gap among older people. Our study indicates that because the UEBMI in China mainly covers people with formal jobs, a lower labor participation rate (even much lower in formal jobs) of women has led to their greater difficulty in obtaining health insurance. Since the older women’s greater difficulty in obtaining jobs or susceptibility to lay-offs during the period of the UEBMI’s implementation, the possibility of being covered was even much lower. In fact, it was because of the combined effects of the UEBMI system and the labor market condition at that time that older women had a lower proportion of being covered under the UEBMI.","author":[{"dropping-particle":"","family":"Zhou","given":"Mei","non-dropping-particle":"","parse-names":false,"suffix":""},{"dropping-particle":"","family":"Zhao","given":"Shaoyang","non-dropping-particle":"","parse-names":false,"suffix":""},{"dropping-particle":"","family":"Zhao","given":"Zhi","non-dropping-particle":"","parse-names":false,"suffix":""}],"container-title":"International Journal for Equity in Health","id":"ITEM-1","issue":"1","issued":{"date-parts":[["2021","12","1"]]},"publisher":"BioMed Central Ltd","title":"Gender differences in health insurance coverage in China","type":"article-journal","volume":"20"},"uris":["http://www.mendeley.com/documents/?uuid=f194858a-80ae-303f-8fb8-1e88c5bd68ae"]}],"mendeley":{"formattedCitation":"(Zhou et al. 2021)","plainTextFormattedCitation":"(Zhou et al. 2021)","previouslyFormattedCitation":"(Zhou et al. 2021)"},"properties":{"noteIndex":0},"schema":"https://github.com/citation-style-language/schema/raw/master/csl-citation.json"}</w:instrText>
      </w:r>
      <w:r w:rsidR="00445CE8">
        <w:rPr>
          <w:rFonts w:ascii="Arial" w:hAnsi="Arial" w:cs="Arial"/>
          <w:bCs/>
          <w:color w:val="000000"/>
          <w:sz w:val="24"/>
          <w:szCs w:val="24"/>
        </w:rPr>
        <w:fldChar w:fldCharType="separate"/>
      </w:r>
      <w:r w:rsidR="00445CE8" w:rsidRPr="00445CE8">
        <w:rPr>
          <w:rFonts w:ascii="Arial" w:hAnsi="Arial" w:cs="Arial"/>
          <w:bCs/>
          <w:noProof/>
          <w:color w:val="000000"/>
          <w:sz w:val="24"/>
          <w:szCs w:val="24"/>
        </w:rPr>
        <w:t>(Zhou et al. 2021)</w:t>
      </w:r>
      <w:r w:rsidR="00445CE8">
        <w:rPr>
          <w:rFonts w:ascii="Arial" w:hAnsi="Arial" w:cs="Arial"/>
          <w:bCs/>
          <w:color w:val="000000"/>
          <w:sz w:val="24"/>
          <w:szCs w:val="24"/>
        </w:rPr>
        <w:fldChar w:fldCharType="end"/>
      </w:r>
      <w:r w:rsidR="00445CE8">
        <w:rPr>
          <w:rFonts w:ascii="Arial" w:hAnsi="Arial" w:cs="Arial"/>
          <w:bCs/>
          <w:color w:val="000000"/>
          <w:sz w:val="24"/>
          <w:szCs w:val="24"/>
        </w:rPr>
        <w:t>.</w:t>
      </w:r>
      <w:r w:rsidR="00FF2C8B">
        <w:rPr>
          <w:rFonts w:ascii="Arial" w:hAnsi="Arial" w:cs="Arial"/>
          <w:bCs/>
          <w:color w:val="000000"/>
          <w:sz w:val="24"/>
          <w:szCs w:val="24"/>
        </w:rPr>
        <w:t xml:space="preserve"> Korea is also a remarkable case, where in our sample it has the highest female advantage in survival, with a </w:t>
      </w:r>
      <w:r w:rsidR="00FF2C8B" w:rsidRPr="0092646F">
        <w:rPr>
          <w:rFonts w:ascii="Arial" w:hAnsi="Arial" w:cs="Arial"/>
          <w:bCs/>
          <w:color w:val="000000"/>
          <w:sz w:val="24"/>
          <w:szCs w:val="24"/>
        </w:rPr>
        <w:t>5.56</w:t>
      </w:r>
      <w:r w:rsidR="00FF2C8B">
        <w:rPr>
          <w:rFonts w:ascii="Arial" w:hAnsi="Arial" w:cs="Arial"/>
          <w:bCs/>
          <w:color w:val="000000"/>
          <w:sz w:val="24"/>
          <w:szCs w:val="24"/>
        </w:rPr>
        <w:t xml:space="preserve"> difference in life expectancy at age 60. Some studies have showed that the persistently high gap in life expectancy at older ages in Korea is due to excess male mortality</w:t>
      </w:r>
      <w:r w:rsidR="00FF2C8B" w:rsidRPr="00173A16">
        <w:rPr>
          <w:rFonts w:ascii="Arial" w:hAnsi="Arial" w:cs="Arial"/>
          <w:bCs/>
          <w:color w:val="000000"/>
          <w:sz w:val="24"/>
          <w:szCs w:val="24"/>
        </w:rPr>
        <w:t xml:space="preserve"> from lung cancer</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suicide</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chronic lower respiratory diseases, and ischemic heart diseases</w:t>
      </w:r>
      <w:r w:rsidR="00FF2C8B">
        <w:rPr>
          <w:rFonts w:ascii="Arial" w:hAnsi="Arial" w:cs="Arial"/>
          <w:bCs/>
          <w:color w:val="000000"/>
          <w:sz w:val="24"/>
          <w:szCs w:val="24"/>
        </w:rPr>
        <w:t xml:space="preserve">, most </w:t>
      </w:r>
      <w:r w:rsidR="00FF2C8B">
        <w:rPr>
          <w:rFonts w:ascii="Arial" w:hAnsi="Arial" w:cs="Arial"/>
          <w:bCs/>
          <w:color w:val="000000"/>
          <w:sz w:val="24"/>
          <w:szCs w:val="24"/>
        </w:rPr>
        <w:lastRenderedPageBreak/>
        <w:t xml:space="preserve">of all which have been attributed to smoking </w:t>
      </w:r>
      <w:r w:rsidR="00FF2C8B">
        <w:rPr>
          <w:rFonts w:ascii="Arial" w:hAnsi="Arial" w:cs="Arial"/>
          <w:bCs/>
          <w:color w:val="000000"/>
          <w:sz w:val="24"/>
          <w:szCs w:val="24"/>
        </w:rPr>
        <w:fldChar w:fldCharType="begin" w:fldLock="1"/>
      </w:r>
      <w:r w:rsidR="00C314D9">
        <w:rPr>
          <w:rFonts w:ascii="Arial" w:hAnsi="Arial" w:cs="Arial"/>
          <w:bCs/>
          <w:color w:val="000000"/>
          <w:sz w:val="24"/>
          <w:szCs w:val="24"/>
        </w:rPr>
        <w:instrText>ADDIN CSL_CITATION {"citationItems":[{"id":"ITEM-1","itemData":{"DOI":"10.1016/j.socscimed.2012.04.026","ISSN":"02779536","PMID":"22739261","abstract":"Women live much longer than men in Korea, with remarkable gains in life expectancy at birth for the past decades. The gender differential has steadily increased over time, reaching a peak of more than 8 years in 1980s, and decreased thereafter to 6.7 years in 2005. Studies to investigate the pattern and contributing factors to changes in the life expectancy gender gap have been mostly from Western countries, and there has been no such study in Asian countries, except in Japan. We therefore aimed to examine age- and cause-specific contributions to the changing gender differentials in life expectancy in Korea, in particular the decline of the gap, using a decomposition method. Between 1970 and 1979 when the gender gap in life expectancy widened, faster mortality decline among women in ages 20-44 explained 66% of the total increase in the gender gap, which would be due to substantial improvements in reproductive health among women and excess male mortality in occupational injuries and transport accidents. Although greater survival advantage among elderly women over 70 contributed to further increase in the gender gap, the contributions from younger ages with the ages 15-64 contributing the most (-2 years) resulted in the overall reduction of the gender gap which began in 1992 and continued to 2005. Among causes of death, liver diseases (-0.5 years, 38% of the total decline), transport accidents (-0.4 years, 31%), hypertensive diseases (-0.3 years, 19%), stroke (-0.1 years, 11%), and tuberculosis (-0.1 years) contributed the most to the overall 1.4 years reduction in the gender gap. However, changes in mortality from lung cancer (+0.3 years), suicide (+0.3 years), chronic lower respiratory diseases (+0.2 years), and ischemic heart diseases (+0.1 years) contributed to widening the gap during the same period. In sum, while smoking-related causes of death have contributed most to the narrowing gap in most other industrialized countries, these causes contributed toward increasing the gender gap in Korea. Instead, liver disease, hypertension-related diseases, and transport accidents were major contributing causes of death to the narrowing of gender differentials in life expectancy in Korea. © 2012 Elsevier Ltd.","author":[{"dropping-particle":"","family":"Yang","given":"Seungmi","non-dropping-particle":"","parse-names":false,"suffix":""},{"dropping-particle":"","family":"Khang","given":"Young Ho","non-dropping-particle":"","parse-names":false,"suffix":""},{"dropping-particle":"","family":"Chun","given":"Heeran","non-dropping-particle":"","parse-names":false,"suffix":""},{"dropping-particle":"","family":"Harper","given":"Sam","non-dropping-particle":"","parse-names":false,"suffix":""},{"dropping-particle":"","family":"Lynch","given":"John","non-dropping-particle":"","parse-names":false,"suffix":""}],"container-title":"Social Science and Medicine","id":"ITEM-1","issue":"7","issued":{"date-parts":[["2012","10"]]},"page":"1280-1287","title":"The changing gender differences in life expectancy in Korea 1970-2005","type":"article-journal","volume":"75"},"uris":["http://www.mendeley.com/documents/?uuid=58cf9264-4359-3062-97c3-ace7e1dc21b1"]}],"mendeley":{"formattedCitation":"(Yang et al. 2012)","plainTextFormattedCitation":"(Yang et al. 2012)","previouslyFormattedCitation":"(Yang et al. 2012)"},"properties":{"noteIndex":0},"schema":"https://github.com/citation-style-language/schema/raw/master/csl-citation.json"}</w:instrText>
      </w:r>
      <w:r w:rsidR="00FF2C8B">
        <w:rPr>
          <w:rFonts w:ascii="Arial" w:hAnsi="Arial" w:cs="Arial"/>
          <w:bCs/>
          <w:color w:val="000000"/>
          <w:sz w:val="24"/>
          <w:szCs w:val="24"/>
        </w:rPr>
        <w:fldChar w:fldCharType="separate"/>
      </w:r>
      <w:r w:rsidR="00FF2C8B" w:rsidRPr="00FF2C8B">
        <w:rPr>
          <w:rFonts w:ascii="Arial" w:hAnsi="Arial" w:cs="Arial"/>
          <w:bCs/>
          <w:noProof/>
          <w:color w:val="000000"/>
          <w:sz w:val="24"/>
          <w:szCs w:val="24"/>
        </w:rPr>
        <w:t>(Yang et al. 2012)</w:t>
      </w:r>
      <w:r w:rsidR="00FF2C8B">
        <w:rPr>
          <w:rFonts w:ascii="Arial" w:hAnsi="Arial" w:cs="Arial"/>
          <w:bCs/>
          <w:color w:val="000000"/>
          <w:sz w:val="24"/>
          <w:szCs w:val="24"/>
        </w:rPr>
        <w:fldChar w:fldCharType="end"/>
      </w:r>
      <w:r w:rsidR="00FF2C8B">
        <w:rPr>
          <w:rFonts w:ascii="Arial" w:hAnsi="Arial" w:cs="Arial"/>
          <w:bCs/>
          <w:color w:val="000000"/>
          <w:sz w:val="24"/>
          <w:szCs w:val="24"/>
        </w:rPr>
        <w:t>.</w:t>
      </w:r>
      <w:r w:rsidR="00A176F6">
        <w:rPr>
          <w:rFonts w:ascii="Arial" w:hAnsi="Arial" w:cs="Arial"/>
          <w:bCs/>
          <w:color w:val="000000"/>
          <w:sz w:val="24"/>
          <w:szCs w:val="24"/>
        </w:rPr>
        <w:t xml:space="preserve"> </w:t>
      </w:r>
      <w:r w:rsidR="007D2716">
        <w:rPr>
          <w:rFonts w:ascii="Arial" w:hAnsi="Arial" w:cs="Arial"/>
          <w:bCs/>
          <w:color w:val="000000"/>
          <w:sz w:val="24"/>
          <w:szCs w:val="24"/>
        </w:rPr>
        <w:t>Another case noteworthy of mention is India, where</w:t>
      </w:r>
      <w:r w:rsidR="00C314D9">
        <w:rPr>
          <w:rFonts w:ascii="Arial" w:hAnsi="Arial" w:cs="Arial"/>
          <w:bCs/>
          <w:color w:val="000000"/>
          <w:sz w:val="24"/>
          <w:szCs w:val="24"/>
        </w:rPr>
        <w:t xml:space="preserve"> we found</w:t>
      </w:r>
      <w:r w:rsidR="007D2716">
        <w:rPr>
          <w:rFonts w:ascii="Arial" w:hAnsi="Arial" w:cs="Arial"/>
          <w:bCs/>
          <w:color w:val="000000"/>
          <w:sz w:val="24"/>
          <w:szCs w:val="24"/>
        </w:rPr>
        <w:t xml:space="preserve"> the gap between women and men is negative, i.e., women have lower DFLE than man.</w:t>
      </w:r>
      <w:r w:rsidR="00C314D9">
        <w:rPr>
          <w:rFonts w:ascii="Arial" w:hAnsi="Arial" w:cs="Arial"/>
          <w:bCs/>
          <w:color w:val="000000"/>
          <w:sz w:val="24"/>
          <w:szCs w:val="24"/>
        </w:rPr>
        <w:t xml:space="preserve"> This result is in line with what was found in other studies using different data, such as the </w:t>
      </w:r>
      <w:r w:rsidR="00A176F6">
        <w:rPr>
          <w:rFonts w:ascii="Arial" w:hAnsi="Arial" w:cs="Arial"/>
          <w:bCs/>
          <w:color w:val="000000"/>
          <w:sz w:val="24"/>
          <w:szCs w:val="24"/>
        </w:rPr>
        <w:t xml:space="preserve"> </w:t>
      </w:r>
      <w:r w:rsidR="00A176F6" w:rsidRPr="00815940">
        <w:rPr>
          <w:rFonts w:ascii="Arial" w:hAnsi="Arial" w:cs="Arial"/>
          <w:bCs/>
          <w:color w:val="000000"/>
          <w:sz w:val="24"/>
          <w:szCs w:val="24"/>
        </w:rPr>
        <w:t xml:space="preserve">nationally representative survey </w:t>
      </w:r>
      <w:r w:rsidR="00A176F6">
        <w:rPr>
          <w:rFonts w:ascii="Arial" w:hAnsi="Arial" w:cs="Arial"/>
          <w:bCs/>
          <w:color w:val="000000"/>
          <w:sz w:val="24"/>
          <w:szCs w:val="24"/>
        </w:rPr>
        <w:t xml:space="preserve">of </w:t>
      </w:r>
      <w:r w:rsidR="00A176F6" w:rsidRPr="00815940">
        <w:rPr>
          <w:rFonts w:ascii="Arial" w:hAnsi="Arial" w:cs="Arial"/>
          <w:bCs/>
          <w:color w:val="000000"/>
          <w:sz w:val="24"/>
          <w:szCs w:val="24"/>
        </w:rPr>
        <w:t>Bangladesh</w:t>
      </w:r>
      <w:r w:rsidR="00A176F6">
        <w:rPr>
          <w:rFonts w:ascii="Arial" w:hAnsi="Arial" w:cs="Arial"/>
          <w:bCs/>
          <w:color w:val="000000"/>
          <w:sz w:val="24"/>
          <w:szCs w:val="24"/>
        </w:rPr>
        <w:t xml:space="preserve"> on</w:t>
      </w:r>
      <w:r w:rsidR="00A176F6" w:rsidRPr="00815940">
        <w:rPr>
          <w:rFonts w:ascii="Arial" w:hAnsi="Arial" w:cs="Arial"/>
          <w:bCs/>
          <w:color w:val="000000"/>
          <w:sz w:val="24"/>
          <w:szCs w:val="24"/>
        </w:rPr>
        <w:t xml:space="preserve"> Household Income and Expenditure Survey-2010)</w:t>
      </w:r>
      <w:r w:rsidR="00C314D9">
        <w:rPr>
          <w:rFonts w:ascii="Arial" w:hAnsi="Arial" w:cs="Arial"/>
          <w:bCs/>
          <w:color w:val="000000"/>
          <w:sz w:val="24"/>
          <w:szCs w:val="24"/>
        </w:rPr>
        <w:t xml:space="preserve"> </w:t>
      </w:r>
      <w:r w:rsidR="00C314D9">
        <w:rPr>
          <w:rFonts w:ascii="Arial" w:hAnsi="Arial" w:cs="Arial"/>
          <w:bCs/>
          <w:color w:val="000000"/>
          <w:sz w:val="24"/>
          <w:szCs w:val="24"/>
        </w:rPr>
        <w:fldChar w:fldCharType="begin" w:fldLock="1"/>
      </w:r>
      <w:r w:rsidR="00A645E5">
        <w:rPr>
          <w:rFonts w:ascii="Arial" w:hAnsi="Arial" w:cs="Arial"/>
          <w:bCs/>
          <w:color w:val="000000"/>
          <w:sz w:val="24"/>
          <w:szCs w:val="24"/>
        </w:rPr>
        <w:instrText>ADDIN CSL_CITATION {"citationItems":[{"id":"ITEM-1","itemData":{"DOI":"10.1177/0898264313501388","ISSN":"08982643","abstract":"Objective: We examined gender differences in the prevalence of disability and Disability-free Life Expectancy (DFLE) for Bangladeshi older adults. Method: We used data representing 4,189 elderly subjects aged 60 years and over from a nationally representative survey (Bangladesh's Household Income and Expenditure Survey-2010). The Sullivan method was used to compute DFLE. Results: Eyesight disability is prevalent among 28.94 and 36.47 men and women, respectively, and is the most prevalent type of disability in Bangladesh. Women have each disability and at least one disability in significantly higher percentages than men. At all ages, and in both numbers and proportion, women have longer life expectancy but shorter DFLE than men. Discussion: Attention should be given to the elderly, with special care devoted to elderly women. The findings of the current study have important implications for risk of disability and the need for, and use of, long-term care services.","author":[{"dropping-particle":"","family":"Tareque","given":"Md Ismail","non-dropping-particle":"","parse-names":false,"suffix":""},{"dropping-particle":"","family":"Begum","given":"Sharifa","non-dropping-particle":"","parse-names":false,"suffix":""},{"dropping-particle":"","family":"Saito","given":"Yasuhiko","non-dropping-particle":"","parse-names":false,"suffix":""}],"container-title":"Journal of Aging and Health","id":"ITEM-1","issue":"8","issued":{"date-parts":[["2013","12"]]},"page":"1299-1312","title":"Gender differences in disability-free life expectancy at old ages in Bangladesh","type":"article-journal","volume":"25"},"uris":["http://www.mendeley.com/documents/?uuid=bcfe3561-9a30-3e73-a05e-413e07a2a952"]}],"mendeley":{"formattedCitation":"(Tareque et al. 2013)","plainTextFormattedCitation":"(Tareque et al. 2013)","previouslyFormattedCitation":"(Tareque et al. 2013)"},"properties":{"noteIndex":0},"schema":"https://github.com/citation-style-language/schema/raw/master/csl-citation.json"}</w:instrText>
      </w:r>
      <w:r w:rsidR="00C314D9">
        <w:rPr>
          <w:rFonts w:ascii="Arial" w:hAnsi="Arial" w:cs="Arial"/>
          <w:bCs/>
          <w:color w:val="000000"/>
          <w:sz w:val="24"/>
          <w:szCs w:val="24"/>
        </w:rPr>
        <w:fldChar w:fldCharType="separate"/>
      </w:r>
      <w:r w:rsidR="00C314D9" w:rsidRPr="00C314D9">
        <w:rPr>
          <w:rFonts w:ascii="Arial" w:hAnsi="Arial" w:cs="Arial"/>
          <w:bCs/>
          <w:noProof/>
          <w:color w:val="000000"/>
          <w:sz w:val="24"/>
          <w:szCs w:val="24"/>
        </w:rPr>
        <w:t>(Tareque et al. 2013)</w:t>
      </w:r>
      <w:r w:rsidR="00C314D9">
        <w:rPr>
          <w:rFonts w:ascii="Arial" w:hAnsi="Arial" w:cs="Arial"/>
          <w:bCs/>
          <w:color w:val="000000"/>
          <w:sz w:val="24"/>
          <w:szCs w:val="24"/>
        </w:rPr>
        <w:fldChar w:fldCharType="end"/>
      </w:r>
      <w:r w:rsidR="00A176F6" w:rsidRPr="00815940">
        <w:rPr>
          <w:rFonts w:ascii="Arial" w:hAnsi="Arial" w:cs="Arial"/>
          <w:bCs/>
          <w:color w:val="000000"/>
          <w:sz w:val="24"/>
          <w:szCs w:val="24"/>
        </w:rPr>
        <w:t>.</w:t>
      </w:r>
      <w:r w:rsidR="00C314D9">
        <w:rPr>
          <w:rFonts w:ascii="Arial" w:hAnsi="Arial" w:cs="Arial"/>
          <w:bCs/>
          <w:color w:val="000000"/>
          <w:sz w:val="24"/>
          <w:szCs w:val="24"/>
        </w:rPr>
        <w:t xml:space="preserve"> This aspect deserves further investigation and stresses the importance of health.</w:t>
      </w:r>
      <w:r w:rsidR="00A645E5">
        <w:rPr>
          <w:rFonts w:ascii="Arial" w:hAnsi="Arial" w:cs="Arial"/>
          <w:bCs/>
          <w:color w:val="000000"/>
          <w:sz w:val="24"/>
          <w:szCs w:val="24"/>
        </w:rPr>
        <w:t xml:space="preserve"> The fact that the prevalence of doctor diagnosed conditions was so low in India suggests that healthcare access is limited and people do not have proper access to diagnosis of diseases and that patterns of diagnosis may differ for women and men </w:t>
      </w:r>
      <w:r w:rsidR="00A645E5">
        <w:rPr>
          <w:rFonts w:ascii="Arial" w:hAnsi="Arial" w:cs="Arial"/>
          <w:bCs/>
          <w:color w:val="000000"/>
          <w:sz w:val="24"/>
          <w:szCs w:val="24"/>
        </w:rPr>
        <w:fldChar w:fldCharType="begin" w:fldLock="1"/>
      </w:r>
      <w:r w:rsidR="00970004">
        <w:rPr>
          <w:rFonts w:ascii="Arial" w:hAnsi="Arial" w:cs="Arial"/>
          <w:bCs/>
          <w:color w:val="000000"/>
          <w:sz w:val="24"/>
          <w:szCs w:val="24"/>
        </w:rPr>
        <w:instrText>ADDIN CSL_CITATION {"citationItems":[{"id":"ITEM-1","itemData":{"DOI":"10.1016/S0140-6736(20)31561-0","abstract":"Clinicians can encounter sex and gender disparities in diagnostic and therapeutic responses. These disparities are noted in epidemiology, pathophysiology, clinical manifestations, disease progression, and response to treatment. This Review discusses the fundamental influences of sex and gender as modifiers of the major causes of death and morbidity. We articulate how the genetic, epigenetic, and hormonal influences of biological sex influence physiology and disease, and how the social constructs of gender affect the behaviour of the community, clinicians, and patients in the health-care system and interact with pathobiology. We aim to guide clinicians and researchers to consider sex and gender in their approach to diagnosis, prevention, and treatment of diseases as a necessary and fundamental step towards precision medicine, which will benefit men's and women's health.","author":[{"dropping-particle":"","family":"Mauvais-Jarvis","given":"Franck","non-dropping-particle":"","parse-names":false,"suffix":""},{"dropping-particle":"","family":"Bairey Merz","given":"Noel","non-dropping-particle":"","parse-names":false,"suffix":""},{"dropping-particle":"","family":"Barnes","given":"Peter J.","non-dropping-particle":"","parse-names":false,"suffix":""},{"dropping-particle":"","family":"Brinton","given":"Roberta D.","non-dropping-particle":"","parse-names":false,"suffix":""},{"dropping-particle":"","family":"Carrero","given":"Juan Jesus","non-dropping-particle":"","parse-names":false,"suffix":""},{"dropping-particle":"","family":"DeMeo","given":"Dawn L.","non-dropping-particle":"","parse-names":false,"suffix":""},{"dropping-particle":"","family":"Vries","given":"Geert J.","non-dropping-particle":"De","parse-names":false,"suffix":""},{"dropping-particle":"","family":"Epperson","given":"C. Neill","non-dropping-particle":"","parse-names":false,"suffix":""},{"dropping-particle":"","family":"Govindan","given":"Ramaswamy","non-dropping-particle":"","parse-names":false,"suffix":""},{"dropping-particle":"","family":"Klein","given":"Sabra L.","non-dropping-particle":"","parse-names":false,"suffix":""},{"dropping-particle":"","family":"Lonardo","given":"Amedeo","non-dropping-particle":"","parse-names":false,"suffix":""},{"dropping-particle":"","family":"Maki","given":"Pauline M.","non-dropping-particle":"","parse-names":false,"suffix":""},{"dropping-particle":"","family":"McCullough","given":"Louise D.","non-dropping-particle":"","parse-names":false,"suffix":""},{"dropping-particle":"","family":"Regitz-Zagrosek","given":"Vera","non-dropping-particle":"","parse-names":false,"suffix":""},{"dropping-particle":"","family":"Regensteiner","given":"Judith G.","non-dropping-particle":"","parse-names":false,"suffix":""},{"dropping-particle":"","family":"Rubin","given":"Joshua B.","non-dropping-particle":"","parse-names":false,"suffix":""},{"dropping-particle":"","family":"Sandberg","given":"Kathryn","non-dropping-particle":"","parse-names":false,"suffix":""},{"dropping-particle":"","family":"Suzuki","given":"Ayako","non-dropping-particle":"","parse-names":false,"suffix":""}],"container-title":"The Lancet","id":"ITEM-1","issue":"10250","issued":{"date-parts":[["2020","8","22"]]},"page":"565-582","publisher":"Lancet Publishing Group","title":"Sex and gender: modifiers of health, disease, and medicine","type":"article-journal","volume":"396"},"uris":["http://www.mendeley.com/documents/?uuid=6e850630-c461-35fe-a253-252ee01fecb5"]}],"mendeley":{"formattedCitation":"(Mauvais-Jarvis et al. 2020)","plainTextFormattedCitation":"(Mauvais-Jarvis et al. 2020)","previouslyFormattedCitation":"(Mauvais-Jarvis et al. 2020)"},"properties":{"noteIndex":0},"schema":"https://github.com/citation-style-language/schema/raw/master/csl-citation.json"}</w:instrText>
      </w:r>
      <w:r w:rsidR="00A645E5">
        <w:rPr>
          <w:rFonts w:ascii="Arial" w:hAnsi="Arial" w:cs="Arial"/>
          <w:bCs/>
          <w:color w:val="000000"/>
          <w:sz w:val="24"/>
          <w:szCs w:val="24"/>
        </w:rPr>
        <w:fldChar w:fldCharType="separate"/>
      </w:r>
      <w:r w:rsidR="00A645E5" w:rsidRPr="00A645E5">
        <w:rPr>
          <w:rFonts w:ascii="Arial" w:hAnsi="Arial" w:cs="Arial"/>
          <w:bCs/>
          <w:noProof/>
          <w:color w:val="000000"/>
          <w:sz w:val="24"/>
          <w:szCs w:val="24"/>
        </w:rPr>
        <w:t>(Mauvais-Jarvis et al. 2020)</w:t>
      </w:r>
      <w:r w:rsidR="00A645E5">
        <w:rPr>
          <w:rFonts w:ascii="Arial" w:hAnsi="Arial" w:cs="Arial"/>
          <w:bCs/>
          <w:color w:val="000000"/>
          <w:sz w:val="24"/>
          <w:szCs w:val="24"/>
        </w:rPr>
        <w:fldChar w:fldCharType="end"/>
      </w:r>
      <w:r w:rsidR="00A645E5">
        <w:rPr>
          <w:rFonts w:ascii="Arial" w:hAnsi="Arial" w:cs="Arial"/>
          <w:bCs/>
          <w:color w:val="000000"/>
          <w:sz w:val="24"/>
          <w:szCs w:val="24"/>
        </w:rPr>
        <w:t xml:space="preserve">. </w:t>
      </w:r>
    </w:p>
    <w:p w14:paraId="3C73A841" w14:textId="3C0A8F6B" w:rsidR="00A645E5" w:rsidRDefault="00A645E5"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p>
    <w:p w14:paraId="6CE23B55" w14:textId="4BB79107" w:rsidR="004B7C1F" w:rsidRDefault="00970004" w:rsidP="004B7C1F">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hAnsi="Arial" w:cs="Arial"/>
          <w:bCs/>
          <w:color w:val="000000"/>
          <w:sz w:val="24"/>
          <w:szCs w:val="24"/>
        </w:rPr>
        <w:t xml:space="preserve">Furthermore, </w:t>
      </w:r>
      <w:r>
        <w:rPr>
          <w:rFonts w:ascii="Arial" w:eastAsia="Arial" w:hAnsi="Arial" w:cs="Arial"/>
          <w:color w:val="000000"/>
          <w:sz w:val="24"/>
          <w:szCs w:val="24"/>
        </w:rPr>
        <w:t>a</w:t>
      </w:r>
      <w:r w:rsidR="00A50CB3">
        <w:rPr>
          <w:rFonts w:ascii="Arial" w:eastAsia="Arial" w:hAnsi="Arial" w:cs="Arial"/>
          <w:color w:val="000000"/>
          <w:sz w:val="24"/>
          <w:szCs w:val="24"/>
        </w:rPr>
        <w:t>n</w:t>
      </w:r>
      <w:r w:rsidR="00CE70DE">
        <w:rPr>
          <w:rFonts w:ascii="Arial" w:eastAsia="Arial" w:hAnsi="Arial" w:cs="Arial"/>
          <w:color w:val="000000"/>
          <w:sz w:val="24"/>
          <w:szCs w:val="24"/>
        </w:rPr>
        <w:t xml:space="preserve"> important</w:t>
      </w:r>
      <w:r w:rsidR="00A50CB3">
        <w:rPr>
          <w:rFonts w:ascii="Arial" w:eastAsia="Arial" w:hAnsi="Arial" w:cs="Arial"/>
          <w:color w:val="000000"/>
          <w:sz w:val="24"/>
          <w:szCs w:val="24"/>
        </w:rPr>
        <w:t xml:space="preserve"> contribution of this study is the extent of the comparative analysis. </w:t>
      </w:r>
      <w:r w:rsidR="002A7EE3">
        <w:rPr>
          <w:rFonts w:ascii="Arial" w:eastAsia="Arial" w:hAnsi="Arial" w:cs="Arial"/>
          <w:color w:val="000000"/>
          <w:sz w:val="24"/>
          <w:szCs w:val="24"/>
        </w:rPr>
        <w:t>S</w:t>
      </w:r>
      <w:r w:rsidR="002A7EE3">
        <w:rPr>
          <w:rFonts w:ascii="Arial" w:eastAsia="Arial" w:hAnsi="Arial" w:cs="Arial"/>
          <w:sz w:val="24"/>
          <w:szCs w:val="24"/>
        </w:rPr>
        <w:t xml:space="preserve">o far, most of the research has focused on western countries, with few studies including countries like China, India and Korea and even fewer that include developing or Latin American countries like Mexico in the study. </w:t>
      </w:r>
      <w:r w:rsidR="002A7EE3">
        <w:rPr>
          <w:rFonts w:ascii="Arial" w:eastAsia="Arial" w:hAnsi="Arial" w:cs="Arial"/>
          <w:color w:val="000000"/>
          <w:sz w:val="24"/>
          <w:szCs w:val="24"/>
        </w:rPr>
        <w:t xml:space="preserve">Performing cross-country comparisons is crucial to identify common patterns and divergences that exist in health and mortality for different societal regimes </w:t>
      </w:r>
      <w:r w:rsidR="00A50CB3">
        <w:rPr>
          <w:rFonts w:ascii="Arial" w:eastAsia="Arial" w:hAnsi="Arial" w:cs="Arial"/>
          <w:sz w:val="24"/>
          <w:szCs w:val="24"/>
        </w:rPr>
        <w:t>Studies that have performed global comparisons use less detailed health indicators and often lack in harmonization across the indicators healt</w:t>
      </w:r>
      <w:r>
        <w:rPr>
          <w:rFonts w:ascii="Arial" w:eastAsia="Arial" w:hAnsi="Arial" w:cs="Arial"/>
          <w:sz w:val="24"/>
          <w:szCs w:val="24"/>
        </w:rPr>
        <w:t xml:space="preserve">h </w:t>
      </w:r>
      <w:r>
        <w:rPr>
          <w:rFonts w:ascii="Arial" w:eastAsia="Arial" w:hAnsi="Arial" w:cs="Arial"/>
          <w:sz w:val="24"/>
          <w:szCs w:val="24"/>
        </w:rPr>
        <w:fldChar w:fldCharType="begin" w:fldLock="1"/>
      </w:r>
      <w:r w:rsidR="00B73BDF">
        <w:rPr>
          <w:rFonts w:ascii="Arial" w:eastAsia="Arial" w:hAnsi="Arial" w:cs="Arial"/>
          <w:sz w:val="24"/>
          <w:szCs w:val="24"/>
        </w:rPr>
        <w:instrText>ADDIN CSL_CITATION {"citationItems":[{"id":"ITEM-1","itemData":{"DOI":"10.1186/S13690-021-00734-W","ISSN":"2049-3258","abstract":"Health indicators are used to monitor the health status and determinants of health of the population and population sub-groups, identify existing or emerging health problems which would require prevention and health promotion activities, help to target health care resources in the most adequate way as well as for evaluation of the success of public health actions both at the national and international level. The quality and validity of the health indicator depends both on available data and used indicator definition. In this study we will evaluate existing knowledge about comparability of different data sources for definition of health indicators, compare how selected health indicators presented in different international databases possibly differ, and finally, present the results from a case study from Finland on comparability of health indicators derived from different data sources at national level. For comparisons, four health indicators were selected that were commonly available in international databases and available for the Finnish case study. These were prevalence of obesity, hypertension, diabetes, and asthma in the adult populations. Our evaluation has three parts: 1) a scoping review of the latest literature, 2) comparison of the prevalences presented in different international databases, and 3) a case study using data from Finland. Literature shows that comparability of estimated outcomes for health indicators using different data sources such as self-reported questionnaire data from surveys, measured data from surveys or data from administrative health registers, varies between indicators. Also, the case study from Finland showed that diseases which require regular health care visits such as diabetes, comparability is high while for health outcomes which can remain asymptomatic for a long time such as hypertension, comparability is lower. In different international health related databases, country specific results differ due to variations in the used data sources but also due to differences in indicator definitions. Reliable comparison of the health indicators over time and between regions within a country or across the countries requires common indicator definitions, similar data sources and standardized data collection methods.","author":[{"dropping-particle":"","family":"Tolonen","given":"Hanna","non-dropping-particle":"","parse-names":false,"suffix":""},{"dropping-particle":"","family":"Reinikainen","given":"Jaakko","non-dropping-particle":"","parse-names":false,"suffix":""},{"dropping-particle":"","family":"Koponen","given":"Päivikki","non-dropping-particle":"","parse-names":false,"suffix":""},{"dropping-particle":"","family":"Elonheimo","given":"Hanna","non-dropping-particle":"","parse-names":false,"suffix":""},{"dropping-particle":"","family":"Palmieri","given":"Luigi","non-dropping-particle":"","parse-names":false,"suffix":""},{"dropping-particle":"","family":"Tijhuis","given":"Mariken J.","non-dropping-particle":"","parse-names":false,"suffix":""}],"container-title":"Archives of Public Health 2021 79:1","id":"ITEM-1","issue":"1","issued":{"date-parts":[["2021","11","25"]]},"page":"1-14","publisher":"BioMed Central","title":"Cross-national comparisons of health indicators require standardized definitions and common data sources","type":"article-journal","volume":"79"},"uris":["http://www.mendeley.com/documents/?uuid=973effd9-5063-3f2e-bb1f-249a1a4d4296"]}],"mendeley":{"formattedCitation":"(Tolonen et al. 2021)","plainTextFormattedCitation":"(Tolonen et al. 2021)","previouslyFormattedCitation":"(Tolonen et al. 2021)"},"properties":{"noteIndex":0},"schema":"https://github.com/citation-style-language/schema/raw/master/csl-citation.json"}</w:instrText>
      </w:r>
      <w:r>
        <w:rPr>
          <w:rFonts w:ascii="Arial" w:eastAsia="Arial" w:hAnsi="Arial" w:cs="Arial"/>
          <w:sz w:val="24"/>
          <w:szCs w:val="24"/>
        </w:rPr>
        <w:fldChar w:fldCharType="separate"/>
      </w:r>
      <w:r w:rsidR="007B2F24" w:rsidRPr="007B2F24">
        <w:rPr>
          <w:rFonts w:ascii="Arial" w:eastAsia="Arial" w:hAnsi="Arial" w:cs="Arial"/>
          <w:noProof/>
          <w:sz w:val="24"/>
          <w:szCs w:val="24"/>
        </w:rPr>
        <w:t>(Tolonen et al. 2021)</w:t>
      </w:r>
      <w:r>
        <w:rPr>
          <w:rFonts w:ascii="Arial" w:eastAsia="Arial" w:hAnsi="Arial" w:cs="Arial"/>
          <w:sz w:val="24"/>
          <w:szCs w:val="24"/>
        </w:rPr>
        <w:fldChar w:fldCharType="end"/>
      </w:r>
      <w:r>
        <w:rPr>
          <w:rFonts w:ascii="Arial" w:eastAsia="Arial" w:hAnsi="Arial" w:cs="Arial"/>
          <w:sz w:val="24"/>
          <w:szCs w:val="24"/>
        </w:rPr>
        <w:t>.</w:t>
      </w:r>
      <w:r w:rsidR="00F92781">
        <w:rPr>
          <w:rFonts w:ascii="Arial" w:eastAsia="Arial" w:hAnsi="Arial" w:cs="Arial"/>
          <w:sz w:val="24"/>
          <w:szCs w:val="24"/>
        </w:rPr>
        <w:t xml:space="preserve"> </w:t>
      </w:r>
      <w:r w:rsidR="00A50CB3">
        <w:rPr>
          <w:rFonts w:ascii="Arial" w:eastAsia="Arial" w:hAnsi="Arial" w:cs="Arial"/>
          <w:color w:val="000000"/>
          <w:sz w:val="24"/>
          <w:szCs w:val="24"/>
        </w:rPr>
        <w:t>It is particularly important when investigating those patterns by gender, as there is great variation in gender norms, welfare state systems, and socioeconomic development across countries that may directly or indirectly impact health and mortality indicators</w:t>
      </w:r>
      <w:r w:rsidR="00F92781">
        <w:rPr>
          <w:rFonts w:ascii="Arial" w:eastAsia="Arial" w:hAnsi="Arial" w:cs="Arial"/>
          <w:color w:val="000000"/>
          <w:sz w:val="24"/>
          <w:szCs w:val="24"/>
        </w:rPr>
        <w:t xml:space="preserve"> </w:t>
      </w:r>
      <w:r w:rsidR="00F92781">
        <w:rPr>
          <w:rFonts w:ascii="Arial" w:eastAsia="Arial" w:hAnsi="Arial" w:cs="Arial"/>
          <w:color w:val="000000"/>
          <w:sz w:val="24"/>
          <w:szCs w:val="24"/>
        </w:rPr>
        <w:fldChar w:fldCharType="begin" w:fldLock="1"/>
      </w:r>
      <w:r w:rsidR="007B2F24">
        <w:rPr>
          <w:rFonts w:ascii="Arial" w:eastAsia="Arial" w:hAnsi="Arial" w:cs="Arial"/>
          <w:color w:val="000000"/>
          <w:sz w:val="24"/>
          <w:szCs w:val="24"/>
        </w:rPr>
        <w:instrText>ADDIN CSL_CITATION {"citationItems":[{"id":"ITEM-1","itemData":{"DOI":"10.1093/geront/gnw136","ISSN":"17585341","abstract":"© The Author 2016. Published by Oxford University Press on behalf of The Gerontological Society of America. All rights reserved. Although all nations in the America's face a common demographic reality of longevity, declining fertility rates and changes in family roles a growing body of research points to a dramatic demographic transformation in Mexico. Although Mexico's population is relatively young, with a median age of 27.9 in 2015, it will age rapidly in coming years, increasing to 42 years by 2050. The rapid median age in the nation also reflects the growing proportion of people 65 or older, and is expected to triple to 20.2% by 2050. This article examines how the age and gender structure of Mexico offers important insights about current and future political and social stability, as well as economic development. Mexico is the world's eleventh largest country in terms of population size and the \"demographic dividend\" of a large youthful population is giving way to a growing older population that will inevitably place demands on health care and social security. The shift in age structure will result in increased dependency of retirees on the working-age population in the next 20 years. Mexico does not provide universal coverage of social security benefits and less than half of the labor force is covered by any pension or retirement plan. As a result, elderly Mexicans often continue working into old age. The high total poverty rate in the country, especially among the older population magnifies the problem of the potential dependency burden. The article ends with a discussion of key public policy issues related to aging in Mexico.","author":[{"dropping-particle":"","family":"Angel","given":"Jacqueline L.","non-dropping-particle":"","parse-names":false,"suffix":""},{"dropping-particle":"","family":"Vega","given":"William","non-dropping-particle":"","parse-names":false,"suffix":""},{"dropping-particle":"","family":"López-Ortega","given":"Mariana","non-dropping-particle":"","parse-names":false,"suffix":""},{"dropping-particle":"","family":"Pruchno","given":"Rachel","non-dropping-particle":"","parse-names":false,"suffix":""}],"container-title":"Gerontologist","id":"ITEM-1","issue":"2","issued":{"date-parts":[["2017","4","1"]]},"page":"153-162","publisher":"Gerontological Society of America","title":"Aging in Mexico: Population trends and emerging issues","type":"article-journal","volume":"57"},"uris":["http://www.mendeley.com/documents/?uuid=6b6dff97-e95c-3e47-afc6-9cfafabaaaaf"]},{"id":"ITEM-2","itemData":{"DOI":"10.1016/j.jacc.2015.10.067","ISSN":"15583597","PMID":"26791057","abstract":"Background \"Gender\" reflects social norms for women and men, whereas \"sex\" defines biological characteristics. Gender-related characteristics explain some differences in access to care for premature acute coronary syndrome (ACS); whether they are associated with cardiovascular outcomes is unknown. Objectives This study estimated associations between gender and sex with recurrent ACS and major adverse cardiac events (MACE) (e.g., ACS, cardiac mortality, revascularization) over 12 months in patients with ACS. Methods We studied 273 women and 636 men age 18 to 55 years from GENESIS-PRAXY (GENdEr and Sex determInantS of cardiovascular disease: from bench to beyond-Premature Acute Coronary SYndrome), a prospective observational cohort study, who were hospitalized for ACS between January 2009 and April 2013. Gender-related characteristics (e.g., social roles) were assessed using a self-administered questionnaire, and a composite measure of gender was derived. Outcomes included recurrent ACS and MACE over 12 months. Results Feminine roles and personality traits were associated with higher rates of recurrent ACS and MACE compared with masculine characteristics. This difference persisted for recurrent ACS, after multivariable adjustment (hazard ratio from score 0 to 100: 4.50; 95% confidence interval: 1.05 to 19.27), and was a nonstatistically significant trend for MACE (hazard ratio: 1.54; 95% confidence interval: 0.90 to 2.66). A possible explanation is increased anxiety, the only condition that was more prevalent in patients with feminine characteristics and that rendered the association between gender and recurrent ACS nonstatistically significant (hazard ratio: 3.56; 95% confidence interval: 0.81 to 15.61). Female sex was not associated with outcomes post-ACS. Conclusions Younger adults with ACS with feminine gender are at an increased risk of recurrent ACS over 12 months, independent of female sex.","author":[{"dropping-particle":"","family":"Pelletier","given":"Roxanne","non-dropping-particle":"","parse-names":false,"suffix":""},{"dropping-particle":"","family":"Khan","given":"Nadia A.","non-dropping-particle":"","parse-names":false,"suffix":""},{"dropping-particle":"","family":"Cox","given":"Jafna","non-dropping-particle":"","parse-names":false,"suffix":""},{"dropping-particle":"","family":"Daskalopoulou","given":"Stella S.","non-dropping-particle":"","parse-names":false,"suffix":""},{"dropping-particle":"","family":"Eisenberg","given":"Mark J.","non-dropping-particle":"","parse-names":false,"suffix":""},{"dropping-particle":"","family":"Bacon","given":"Simon L.","non-dropping-particle":"","parse-names":false,"suffix":""},{"dropping-particle":"","family":"Lavoie","given":"Kim L.","non-dropping-particle":"","parse-names":false,"suffix":""},{"dropping-particle":"","family":"Daskupta","given":"Kaberi","non-dropping-particle":"","parse-names":false,"suffix":""},{"dropping-particle":"","family":"Rabi","given":"Doreen","non-dropping-particle":"","parse-names":false,"suffix":""},{"dropping-particle":"","family":"Humphries","given":"Karin H.","non-dropping-particle":"","parse-names":false,"suffix":""},{"dropping-particle":"","family":"Norris","given":"Colleen M.","non-dropping-particle":"","parse-names":false,"suffix":""},{"dropping-particle":"","family":"Thanassoulis","given":"George","non-dropping-particle":"","parse-names":false,"suffix":""},{"dropping-particle":"","family":"Behlouli","given":"Hassan","non-dropping-particle":"","parse-names":false,"suffix":""},{"dropping-particle":"","family":"Pilote","given":"Louise","non-dropping-particle":"","parse-names":false,"suffix":""}],"container-title":"Journal of the American College of Cardiology","id":"ITEM-2","issue":"2","issued":{"date-parts":[["2016","1","19"]]},"page":"127-135","publisher":"Elsevier USA","title":"Sex Versus Gender-Related Characteristics Which Predicts Outcome after Acute Coronary Syndrome in the Young?","type":"article-journal","volume":"67"},"uris":["http://www.mendeley.com/documents/?uuid=4c82ed3b-6685-377e-a801-4f28c9d23b62"]},{"id":"ITEM-3","itemData":{"DOI":"10.1007/s13524-012-0130-z","ISBN":"0070-3370","ISSN":"00703370","PMID":"22886759","abstract":"The positive associations between education and health and survival are well established, but whether the strength of these associations depends on gender is not. Is the beneficial influence of education on survival and on self-rated health conditioned by gender in the same way, in opposite ways, or not at all? Because women are otherwise disadvantaged in socioeconomic resources that are inputs to health, their health and survival may depend more on education than will men’s. To test this hypothesis, we use data from the National Health Interview Survey-Linked Mortality Files (NHIS-LMF). We find that education’s beneficial influence on feeling healthy and on survival are conditional on gender, but in opposite ways. Education has a larger effect on women’s self-rated health than on men’s, but a larger effect on men’s mortality. To further examine the mortality results, we examine specific causes of death. We find that the conditional effect is largest for deaths from lung cancer, respiratory disease, stroke, homicide, suicide, and accidents. Because women report worse health but men’s mortality is higher, education closes the gender gap in both health and mortality.","author":[{"dropping-particle":"","family":"Ross","given":"Catherine E.","non-dropping-particle":"","parse-names":false,"suffix":""},{"dropping-particle":"","family":"Masters","given":"Ryan K.","non-dropping-particle":"","parse-names":false,"suffix":""},{"dropping-particle":"","family":"Hummer","given":"Robert A.","non-dropping-particle":"","parse-names":false,"suffix":""}],"container-title":"Demography","id":"ITEM-3","issue":"4","issued":{"date-parts":[["2012"]]},"page":"1157-1183","title":"Education and the Gender Gaps in Health and Mortality","type":"article-journal","volume":"49"},"uris":["http://www.mendeley.com/documents/?uuid=1d542a7f-2832-403a-8c26-af9d492e8b3f"]}],"mendeley":{"formattedCitation":"(Ross et al. 2012; Pelletier et al. 2016; Angel et al. 2017)","plainTextFormattedCitation":"(Ross et al. 2012; Pelletier et al. 2016; Angel et al. 2017)","previouslyFormattedCitation":"(Ross et al. 2012; Pelletier et al. 2016; Angel et al. 2017)"},"properties":{"noteIndex":0},"schema":"https://github.com/citation-style-language/schema/raw/master/csl-citation.json"}</w:instrText>
      </w:r>
      <w:r w:rsidR="00F92781">
        <w:rPr>
          <w:rFonts w:ascii="Arial" w:eastAsia="Arial" w:hAnsi="Arial" w:cs="Arial"/>
          <w:color w:val="000000"/>
          <w:sz w:val="24"/>
          <w:szCs w:val="24"/>
        </w:rPr>
        <w:fldChar w:fldCharType="separate"/>
      </w:r>
      <w:r w:rsidR="00F92781" w:rsidRPr="00F92781">
        <w:rPr>
          <w:rFonts w:ascii="Arial" w:eastAsia="Arial" w:hAnsi="Arial" w:cs="Arial"/>
          <w:noProof/>
          <w:color w:val="000000"/>
          <w:sz w:val="24"/>
          <w:szCs w:val="24"/>
        </w:rPr>
        <w:t>(Ross et al. 2012; Pelletier et al. 2016; Angel et al. 2017)</w:t>
      </w:r>
      <w:r w:rsidR="00F92781">
        <w:rPr>
          <w:rFonts w:ascii="Arial" w:eastAsia="Arial" w:hAnsi="Arial" w:cs="Arial"/>
          <w:color w:val="000000"/>
          <w:sz w:val="24"/>
          <w:szCs w:val="24"/>
        </w:rPr>
        <w:fldChar w:fldCharType="end"/>
      </w:r>
      <w:r w:rsidR="00F92781">
        <w:rPr>
          <w:rFonts w:ascii="Arial" w:eastAsia="Arial" w:hAnsi="Arial" w:cs="Arial"/>
          <w:color w:val="000000"/>
          <w:sz w:val="24"/>
          <w:szCs w:val="24"/>
        </w:rPr>
        <w:t>.</w:t>
      </w:r>
      <w:r w:rsidR="00A50CB3">
        <w:rPr>
          <w:rFonts w:ascii="Arial" w:eastAsia="Arial" w:hAnsi="Arial" w:cs="Arial"/>
          <w:color w:val="000000"/>
          <w:sz w:val="24"/>
          <w:szCs w:val="24"/>
        </w:rPr>
        <w:t xml:space="preserve"> However, comparative analysis are challenging, mainly because the quality, and validity of health indicators vary from country to country, which can lead to variations in results that are not accurately capturing health outcomes </w:t>
      </w:r>
      <w:r w:rsidR="00B73BDF">
        <w:rPr>
          <w:rFonts w:ascii="Arial" w:eastAsia="Arial" w:hAnsi="Arial" w:cs="Arial"/>
          <w:color w:val="000000"/>
          <w:sz w:val="24"/>
          <w:szCs w:val="24"/>
        </w:rPr>
        <w:fldChar w:fldCharType="begin" w:fldLock="1"/>
      </w:r>
      <w:r w:rsidR="009C620F">
        <w:rPr>
          <w:rFonts w:ascii="Arial" w:eastAsia="Arial" w:hAnsi="Arial" w:cs="Arial"/>
          <w:color w:val="000000"/>
          <w:sz w:val="24"/>
          <w:szCs w:val="24"/>
        </w:rPr>
        <w: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process","type":"article-journal","volume":"65"},"uris":["http://www.mendeley.com/documents/?uuid=7ee21c90-a348-3f36-9749-84f7579cb8a1"]}],"mendeley":{"formattedCitation":"(Gardner et al. 2012; Crimmins et al. 2019; Ailshire and Carr 2021)","plainTextFormattedCitation":"(Gardner et al. 2012; Crimmins et al. 2019; Ailshire and Carr 2021)","previouslyFormattedCitation":"(Gardner et al. 2012; Crimmins et al. 2019; Ailshire and Carr 2021)"},"properties":{"noteIndex":0},"schema":"https://github.com/citation-style-language/schema/raw/master/csl-citation.json"}</w:instrText>
      </w:r>
      <w:r w:rsidR="00B73BDF">
        <w:rPr>
          <w:rFonts w:ascii="Arial" w:eastAsia="Arial" w:hAnsi="Arial" w:cs="Arial"/>
          <w:color w:val="000000"/>
          <w:sz w:val="24"/>
          <w:szCs w:val="24"/>
        </w:rPr>
        <w:fldChar w:fldCharType="separate"/>
      </w:r>
      <w:r w:rsidR="00C71E6F" w:rsidRPr="00C71E6F">
        <w:rPr>
          <w:rFonts w:ascii="Arial" w:eastAsia="Arial" w:hAnsi="Arial" w:cs="Arial"/>
          <w:noProof/>
          <w:color w:val="000000"/>
          <w:sz w:val="24"/>
          <w:szCs w:val="24"/>
        </w:rPr>
        <w:t>(Gardner et al. 2012; Crimmins et al. 2019; Ailshire and Carr 2021)</w:t>
      </w:r>
      <w:r w:rsidR="00B73BDF">
        <w:rPr>
          <w:rFonts w:ascii="Arial" w:eastAsia="Arial" w:hAnsi="Arial" w:cs="Arial"/>
          <w:color w:val="000000"/>
          <w:sz w:val="24"/>
          <w:szCs w:val="24"/>
        </w:rPr>
        <w:fldChar w:fldCharType="end"/>
      </w:r>
      <w:r w:rsidR="00B73BDF">
        <w:rPr>
          <w:rFonts w:ascii="Arial" w:eastAsia="Arial" w:hAnsi="Arial" w:cs="Arial"/>
          <w:color w:val="000000"/>
          <w:sz w:val="24"/>
          <w:szCs w:val="24"/>
        </w:rPr>
        <w:t>.</w:t>
      </w:r>
      <w:r w:rsidR="00A50CB3">
        <w:rPr>
          <w:rFonts w:ascii="Arial" w:eastAsia="Arial" w:hAnsi="Arial" w:cs="Arial"/>
          <w:sz w:val="24"/>
          <w:szCs w:val="24"/>
        </w:rPr>
        <w:t xml:space="preserve"> </w:t>
      </w:r>
      <w:r w:rsidR="00C44C07" w:rsidRPr="00C44C07">
        <w:rPr>
          <w:rFonts w:ascii="Arial" w:eastAsia="Arial" w:hAnsi="Arial" w:cs="Arial"/>
          <w:color w:val="000000"/>
          <w:sz w:val="24"/>
          <w:szCs w:val="24"/>
        </w:rPr>
        <w:t>Cross-national comparisons are thus important to further shed light into the topic</w:t>
      </w:r>
      <w:r w:rsidR="004B7C1F" w:rsidRPr="00C44C07">
        <w:rPr>
          <w:rFonts w:ascii="Arial" w:eastAsia="Arial" w:hAnsi="Arial" w:cs="Arial"/>
          <w:color w:val="000000"/>
          <w:sz w:val="24"/>
          <w:szCs w:val="24"/>
        </w:rPr>
        <w:t>,</w:t>
      </w:r>
      <w:r w:rsidR="004B7C1F">
        <w:rPr>
          <w:rFonts w:ascii="Arial" w:eastAsia="Arial" w:hAnsi="Arial" w:cs="Arial"/>
          <w:color w:val="000000"/>
          <w:sz w:val="24"/>
          <w:szCs w:val="24"/>
        </w:rPr>
        <w:t xml:space="preserve"> as</w:t>
      </w:r>
      <w:r w:rsidR="004B7C1F" w:rsidRPr="00C44C07">
        <w:rPr>
          <w:rFonts w:ascii="Arial" w:eastAsia="Arial" w:hAnsi="Arial" w:cs="Arial"/>
          <w:color w:val="000000"/>
          <w:sz w:val="24"/>
          <w:szCs w:val="24"/>
        </w:rPr>
        <w:t xml:space="preserve"> gender inequality in health is correlated to country-specific levels of development and to societal roles of women and men</w:t>
      </w:r>
      <w:r w:rsidR="009C620F">
        <w:rPr>
          <w:rFonts w:ascii="Arial" w:eastAsia="Arial" w:hAnsi="Arial" w:cs="Arial"/>
          <w:color w:val="000000"/>
          <w:sz w:val="24"/>
          <w:szCs w:val="24"/>
        </w:rPr>
        <w:t xml:space="preserve"> </w:t>
      </w:r>
      <w:r w:rsidR="009C620F">
        <w:rPr>
          <w:rFonts w:ascii="Arial" w:eastAsia="Arial" w:hAnsi="Arial" w:cs="Arial"/>
          <w:color w:val="000000"/>
          <w:sz w:val="24"/>
          <w:szCs w:val="24"/>
        </w:rPr>
        <w:fldChar w:fldCharType="begin" w:fldLock="1"/>
      </w:r>
      <w:r w:rsidR="009C620F">
        <w:rPr>
          <w:rFonts w:ascii="Arial" w:eastAsia="Arial" w:hAnsi="Arial" w:cs="Arial"/>
          <w:color w:val="000000"/>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2018)"},"properties":{"noteIndex":0},"schema":"https://github.com/citation-style-language/schema/raw/master/csl-citation.json"}</w:instrText>
      </w:r>
      <w:r w:rsidR="009C620F">
        <w:rPr>
          <w:rFonts w:ascii="Arial" w:eastAsia="Arial" w:hAnsi="Arial" w:cs="Arial"/>
          <w:color w:val="000000"/>
          <w:sz w:val="24"/>
          <w:szCs w:val="24"/>
        </w:rPr>
        <w:fldChar w:fldCharType="separate"/>
      </w:r>
      <w:r w:rsidR="009C620F" w:rsidRPr="009C620F">
        <w:rPr>
          <w:rFonts w:ascii="Arial" w:eastAsia="Arial" w:hAnsi="Arial" w:cs="Arial"/>
          <w:noProof/>
          <w:color w:val="000000"/>
          <w:sz w:val="24"/>
          <w:szCs w:val="24"/>
        </w:rPr>
        <w:t>(Okojie 1994; WCF 2018)</w:t>
      </w:r>
      <w:r w:rsidR="009C620F">
        <w:rPr>
          <w:rFonts w:ascii="Arial" w:eastAsia="Arial" w:hAnsi="Arial" w:cs="Arial"/>
          <w:color w:val="000000"/>
          <w:sz w:val="24"/>
          <w:szCs w:val="24"/>
        </w:rPr>
        <w:fldChar w:fldCharType="end"/>
      </w:r>
      <w:r w:rsidR="004B7C1F" w:rsidRPr="00C44C07">
        <w:rPr>
          <w:rFonts w:ascii="Arial" w:eastAsia="Arial" w:hAnsi="Arial" w:cs="Arial"/>
          <w:color w:val="000000"/>
          <w:sz w:val="24"/>
          <w:szCs w:val="24"/>
        </w:rPr>
        <w:t>.</w:t>
      </w:r>
      <w:r w:rsidR="004B7C1F">
        <w:rPr>
          <w:rFonts w:ascii="Arial" w:eastAsia="Arial" w:hAnsi="Arial" w:cs="Arial"/>
          <w:color w:val="000000"/>
          <w:sz w:val="24"/>
          <w:szCs w:val="24"/>
        </w:rPr>
        <w:t xml:space="preserve"> </w:t>
      </w:r>
      <w:r w:rsidR="004B7C1F" w:rsidRPr="00C44C07">
        <w:rPr>
          <w:rFonts w:ascii="Arial" w:eastAsia="Arial" w:hAnsi="Arial" w:cs="Arial"/>
          <w:color w:val="000000"/>
          <w:sz w:val="24"/>
          <w:szCs w:val="24"/>
        </w:rPr>
        <w:t xml:space="preserve">Therefore, </w:t>
      </w:r>
      <w:r w:rsidR="004B7C1F">
        <w:rPr>
          <w:rFonts w:ascii="Arial" w:eastAsia="Arial" w:hAnsi="Arial" w:cs="Arial"/>
          <w:color w:val="000000"/>
          <w:sz w:val="24"/>
          <w:szCs w:val="24"/>
        </w:rPr>
        <w:t xml:space="preserve">it is important </w:t>
      </w:r>
      <w:r w:rsidR="004B7C1F" w:rsidRPr="00C44C07">
        <w:rPr>
          <w:rFonts w:ascii="Arial" w:eastAsia="Arial" w:hAnsi="Arial" w:cs="Arial"/>
          <w:color w:val="000000"/>
          <w:sz w:val="24"/>
          <w:szCs w:val="24"/>
        </w:rPr>
        <w:t>to quantify health inequalities by gender and across countries with different levels of development</w:t>
      </w:r>
      <w:r w:rsidR="009C620F">
        <w:rPr>
          <w:rFonts w:ascii="Arial" w:eastAsia="Arial" w:hAnsi="Arial" w:cs="Arial"/>
          <w:color w:val="000000"/>
          <w:sz w:val="24"/>
          <w:szCs w:val="24"/>
        </w:rPr>
        <w:t xml:space="preserve">. </w:t>
      </w:r>
    </w:p>
    <w:p w14:paraId="487F21C7" w14:textId="77777777" w:rsidR="00243C56" w:rsidRPr="00C44C07"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00000288" w14:textId="3FD069DD" w:rsidR="00B133DD" w:rsidRDefault="00F64E04" w:rsidP="00E019CD">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Nonetheless, it is important to acknowledge that this study has some limitations. First, this is a </w:t>
      </w:r>
      <w:r w:rsidR="00A50CB3" w:rsidRPr="00F64E04">
        <w:rPr>
          <w:rFonts w:ascii="Arial" w:eastAsia="Arial" w:hAnsi="Arial" w:cs="Arial"/>
          <w:sz w:val="24"/>
          <w:szCs w:val="24"/>
        </w:rPr>
        <w:t xml:space="preserve">cross-sectional </w:t>
      </w:r>
      <w:r>
        <w:rPr>
          <w:rFonts w:ascii="Arial" w:eastAsia="Arial" w:hAnsi="Arial" w:cs="Arial"/>
          <w:sz w:val="24"/>
          <w:szCs w:val="24"/>
        </w:rPr>
        <w:t>analysis so</w:t>
      </w:r>
      <w:r w:rsidR="00A50CB3" w:rsidRPr="00F64E04">
        <w:rPr>
          <w:rFonts w:ascii="Arial" w:eastAsia="Arial" w:hAnsi="Arial" w:cs="Arial"/>
          <w:sz w:val="24"/>
          <w:szCs w:val="24"/>
        </w:rPr>
        <w:t xml:space="preserve"> we do not look into trends nor use the longitudinal potential of the dataset. </w:t>
      </w:r>
      <w:r w:rsidR="004D5B5E">
        <w:rPr>
          <w:rFonts w:ascii="Arial" w:eastAsia="Arial" w:hAnsi="Arial" w:cs="Arial"/>
          <w:sz w:val="24"/>
          <w:szCs w:val="24"/>
        </w:rPr>
        <w:t xml:space="preserve">In addition, </w:t>
      </w:r>
      <w:r>
        <w:rPr>
          <w:rFonts w:ascii="Arial" w:eastAsia="Arial" w:hAnsi="Arial" w:cs="Arial"/>
          <w:sz w:val="24"/>
          <w:szCs w:val="24"/>
        </w:rPr>
        <w:t xml:space="preserve">despite the efforts to harmonize the variables, diagnosis </w:t>
      </w:r>
      <w:r w:rsidR="00E019CD">
        <w:rPr>
          <w:rFonts w:ascii="Arial" w:eastAsia="Arial" w:hAnsi="Arial" w:cs="Arial"/>
          <w:sz w:val="24"/>
          <w:szCs w:val="24"/>
        </w:rPr>
        <w:t>is</w:t>
      </w:r>
      <w:r>
        <w:rPr>
          <w:rFonts w:ascii="Arial" w:eastAsia="Arial" w:hAnsi="Arial" w:cs="Arial"/>
          <w:sz w:val="24"/>
          <w:szCs w:val="24"/>
        </w:rPr>
        <w:t xml:space="preserve"> performed </w:t>
      </w:r>
      <w:r>
        <w:rPr>
          <w:rFonts w:ascii="Arial" w:eastAsia="Arial" w:hAnsi="Arial" w:cs="Arial"/>
          <w:sz w:val="24"/>
          <w:szCs w:val="24"/>
        </w:rPr>
        <w:lastRenderedPageBreak/>
        <w:t xml:space="preserve">differently </w:t>
      </w:r>
      <w:r w:rsidR="00E019CD">
        <w:rPr>
          <w:rFonts w:ascii="Arial" w:eastAsia="Arial" w:hAnsi="Arial" w:cs="Arial"/>
          <w:sz w:val="24"/>
          <w:szCs w:val="24"/>
        </w:rPr>
        <w:t>across</w:t>
      </w:r>
      <w:r>
        <w:rPr>
          <w:rFonts w:ascii="Arial" w:eastAsia="Arial" w:hAnsi="Arial" w:cs="Arial"/>
          <w:sz w:val="24"/>
          <w:szCs w:val="24"/>
        </w:rPr>
        <w:t xml:space="preserve"> countries</w:t>
      </w:r>
      <w:r w:rsidR="00E019CD">
        <w:rPr>
          <w:rFonts w:ascii="Arial" w:eastAsia="Arial" w:hAnsi="Arial" w:cs="Arial"/>
          <w:sz w:val="24"/>
          <w:szCs w:val="24"/>
        </w:rPr>
        <w:t xml:space="preserve">, which could explain results such as those observed for India. The </w:t>
      </w:r>
      <w:r w:rsidR="00154583" w:rsidRPr="00712FA1">
        <w:rPr>
          <w:rFonts w:ascii="Arial" w:eastAsia="Arial" w:hAnsi="Arial" w:cs="Arial"/>
          <w:color w:val="000000"/>
          <w:sz w:val="24"/>
          <w:szCs w:val="24"/>
        </w:rPr>
        <w:t>HRS</w:t>
      </w:r>
      <w:r w:rsidR="00E019CD">
        <w:rPr>
          <w:rFonts w:ascii="Arial" w:eastAsia="Arial" w:hAnsi="Arial" w:cs="Arial"/>
          <w:color w:val="000000"/>
          <w:sz w:val="24"/>
          <w:szCs w:val="24"/>
        </w:rPr>
        <w:t xml:space="preserve"> study, for example,</w:t>
      </w:r>
      <w:r w:rsidR="00154583" w:rsidRPr="00712FA1">
        <w:rPr>
          <w:rFonts w:ascii="Arial" w:eastAsia="Arial" w:hAnsi="Arial" w:cs="Arial"/>
          <w:color w:val="000000"/>
          <w:sz w:val="24"/>
          <w:szCs w:val="24"/>
        </w:rPr>
        <w:t xml:space="preserve"> specifically excludes diagnosis made by nurses/nurse practitioners, chiropractors, and dentists</w:t>
      </w:r>
      <w:r w:rsidR="001218C8">
        <w:rPr>
          <w:rFonts w:ascii="Arial" w:eastAsia="Arial" w:hAnsi="Arial" w:cs="Arial"/>
          <w:color w:val="000000"/>
          <w:sz w:val="24"/>
          <w:szCs w:val="24"/>
        </w:rPr>
        <w:t xml:space="preserve">, while </w:t>
      </w:r>
      <w:r w:rsidR="00154583" w:rsidRPr="00712FA1">
        <w:rPr>
          <w:rFonts w:ascii="Arial" w:eastAsia="Arial" w:hAnsi="Arial" w:cs="Arial"/>
          <w:color w:val="000000"/>
          <w:sz w:val="24"/>
          <w:szCs w:val="24"/>
        </w:rPr>
        <w:t>both CHARLS and LASI allow diagnosis by nurses, practitioners of traditional medicine, and other health care professionals.</w:t>
      </w:r>
      <w:r w:rsidR="00B30A51">
        <w:rPr>
          <w:rFonts w:ascii="Arial" w:eastAsia="Arial" w:hAnsi="Arial" w:cs="Arial"/>
          <w:color w:val="000000"/>
          <w:sz w:val="24"/>
          <w:szCs w:val="24"/>
        </w:rPr>
        <w:t xml:space="preserve"> </w:t>
      </w:r>
      <w:r w:rsidR="004D5B5E" w:rsidRPr="00F64E04">
        <w:rPr>
          <w:rFonts w:ascii="Arial" w:eastAsia="Arial" w:hAnsi="Arial" w:cs="Arial"/>
          <w:sz w:val="24"/>
          <w:szCs w:val="24"/>
        </w:rPr>
        <w:t>However, our aim was to have the most countries included in the comparison</w:t>
      </w:r>
      <w:r w:rsidR="004D5B5E">
        <w:rPr>
          <w:rFonts w:ascii="Arial" w:eastAsia="Arial" w:hAnsi="Arial" w:cs="Arial"/>
          <w:sz w:val="24"/>
          <w:szCs w:val="24"/>
        </w:rPr>
        <w:t xml:space="preserve"> and pinpoint the importance of going beyond gender gaps in health expectancy. Hence, our results hold regardless of the research design. </w:t>
      </w:r>
      <w:r w:rsidR="004D5B5E" w:rsidRPr="00F64E04">
        <w:rPr>
          <w:rFonts w:ascii="Arial" w:eastAsia="Arial" w:hAnsi="Arial" w:cs="Arial"/>
          <w:sz w:val="24"/>
          <w:szCs w:val="24"/>
        </w:rPr>
        <w:t xml:space="preserve"> </w:t>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Acknowledgments</w:t>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This paper uses data from SHARE Wave 6 (10.6103/SHARE.w6.800), see </w:t>
      </w:r>
      <w:proofErr w:type="spellStart"/>
      <w:r>
        <w:rPr>
          <w:rFonts w:ascii="Arial" w:eastAsia="Arial" w:hAnsi="Arial" w:cs="Arial"/>
          <w:sz w:val="24"/>
          <w:szCs w:val="24"/>
          <w:highlight w:val="white"/>
        </w:rPr>
        <w:t>Börsch-Supan</w:t>
      </w:r>
      <w:proofErr w:type="spellEnd"/>
      <w:r>
        <w:rPr>
          <w:rFonts w:ascii="Arial" w:eastAsia="Arial" w:hAnsi="Arial" w:cs="Arial"/>
          <w:sz w:val="24"/>
          <w:szCs w:val="24"/>
          <w:highlight w:val="white"/>
        </w:rPr>
        <w:t xml:space="preserve">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w:t>
      </w:r>
      <w:hyperlink r:id="rId16">
        <w:r>
          <w:rPr>
            <w:rFonts w:ascii="Arial" w:eastAsia="Arial" w:hAnsi="Arial" w:cs="Arial"/>
            <w:sz w:val="24"/>
            <w:szCs w:val="24"/>
            <w:highlight w:val="white"/>
          </w:rPr>
          <w:t xml:space="preserve"> </w:t>
        </w:r>
      </w:hyperlink>
      <w:hyperlink r:id="rId17">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t xml:space="preserve">This analysis uses data or information from the following Harmonized datasets: </w:t>
      </w:r>
      <w:proofErr w:type="spellStart"/>
      <w:r>
        <w:rPr>
          <w:rFonts w:ascii="Arial" w:eastAsia="Arial" w:hAnsi="Arial" w:cs="Arial"/>
          <w:sz w:val="24"/>
          <w:szCs w:val="24"/>
        </w:rPr>
        <w:t>KLoSA</w:t>
      </w:r>
      <w:proofErr w:type="spellEnd"/>
      <w:r>
        <w:rPr>
          <w:rFonts w:ascii="Arial" w:eastAsia="Arial" w:hAnsi="Arial" w:cs="Arial"/>
          <w:sz w:val="24"/>
          <w:szCs w:val="24"/>
        </w:rPr>
        <w:t xml:space="preserve"> dataset and Codebook, Version C as of June 2019 developed by the Gateway to Global Aging Data. The development of the Harmonized </w:t>
      </w:r>
      <w:proofErr w:type="spellStart"/>
      <w:r>
        <w:rPr>
          <w:rFonts w:ascii="Arial" w:eastAsia="Arial" w:hAnsi="Arial" w:cs="Arial"/>
          <w:sz w:val="24"/>
          <w:szCs w:val="24"/>
        </w:rPr>
        <w:t>KLoSA</w:t>
      </w:r>
      <w:proofErr w:type="spellEnd"/>
      <w:r>
        <w:rPr>
          <w:rFonts w:ascii="Arial" w:eastAsia="Arial" w:hAnsi="Arial" w:cs="Arial"/>
          <w:sz w:val="24"/>
          <w:szCs w:val="24"/>
        </w:rPr>
        <w:t xml:space="preserve">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w:t>
      </w:r>
      <w:r>
        <w:rPr>
          <w:rFonts w:ascii="Arial" w:eastAsia="Arial" w:hAnsi="Arial" w:cs="Arial"/>
          <w:sz w:val="23"/>
          <w:szCs w:val="23"/>
        </w:rPr>
        <w:lastRenderedPageBreak/>
        <w:t xml:space="preserve">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use and available at www.MHASweb.org. The MHAS (Mexican Health and Aging Study) receives support from the National Institutes of Health/National Institute on Aging (R01 AG018016) in the United States and the Instituto Nacional de </w:t>
      </w:r>
      <w:proofErr w:type="spellStart"/>
      <w:r>
        <w:rPr>
          <w:rFonts w:ascii="Arial" w:eastAsia="Arial" w:hAnsi="Arial" w:cs="Arial"/>
          <w:sz w:val="23"/>
          <w:szCs w:val="23"/>
        </w:rPr>
        <w:t>Estadística</w:t>
      </w:r>
      <w:proofErr w:type="spellEnd"/>
      <w:r>
        <w:rPr>
          <w:rFonts w:ascii="Arial" w:eastAsia="Arial" w:hAnsi="Arial" w:cs="Arial"/>
          <w:sz w:val="23"/>
          <w:szCs w:val="23"/>
        </w:rPr>
        <w:t xml:space="preserve"> y </w:t>
      </w:r>
      <w:proofErr w:type="spellStart"/>
      <w:r>
        <w:rPr>
          <w:rFonts w:ascii="Arial" w:eastAsia="Arial" w:hAnsi="Arial" w:cs="Arial"/>
          <w:sz w:val="23"/>
          <w:szCs w:val="23"/>
        </w:rPr>
        <w:t>Geografía</w:t>
      </w:r>
      <w:proofErr w:type="spellEnd"/>
      <w:r>
        <w:rPr>
          <w:rFonts w:ascii="Arial" w:eastAsia="Arial" w:hAnsi="Arial" w:cs="Arial"/>
          <w:sz w:val="23"/>
          <w:szCs w:val="23"/>
        </w:rPr>
        <w:t xml:space="preserve">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18">
        <w:r>
          <w:rPr>
            <w:rFonts w:ascii="Arial" w:eastAsia="Arial" w:hAnsi="Arial" w:cs="Arial"/>
            <w:sz w:val="24"/>
            <w:szCs w:val="24"/>
            <w:highlight w:val="white"/>
          </w:rPr>
          <w:t xml:space="preserve"> </w:t>
        </w:r>
      </w:hyperlink>
      <w:hyperlink r:id="rId19">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 xml:space="preserve">This work is supported within the EU Framework </w:t>
      </w:r>
      <w:proofErr w:type="spellStart"/>
      <w:r>
        <w:rPr>
          <w:rFonts w:ascii="Arial" w:eastAsia="Arial" w:hAnsi="Arial" w:cs="Arial"/>
          <w:sz w:val="24"/>
          <w:szCs w:val="24"/>
          <w:highlight w:val="white"/>
        </w:rPr>
        <w:t>Programme</w:t>
      </w:r>
      <w:proofErr w:type="spellEnd"/>
      <w:r>
        <w:rPr>
          <w:rFonts w:ascii="Arial" w:eastAsia="Arial" w:hAnsi="Arial" w:cs="Arial"/>
          <w:sz w:val="24"/>
          <w:szCs w:val="24"/>
          <w:highlight w:val="white"/>
        </w:rPr>
        <w:t xml:space="preserve"> for Research and Innovation Horizon 2020, ERC Grant Agreement No. 725187 (LETHE)</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422BA18E"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1EE1A339" w14:textId="513F84FE" w:rsidR="00807FE1" w:rsidRDefault="00807FE1">
      <w:pPr>
        <w:pBdr>
          <w:top w:val="nil"/>
          <w:left w:val="nil"/>
          <w:bottom w:val="nil"/>
          <w:right w:val="nil"/>
          <w:between w:val="nil"/>
        </w:pBdr>
        <w:spacing w:after="0"/>
        <w:rPr>
          <w:rFonts w:ascii="Arial" w:eastAsia="Arial" w:hAnsi="Arial" w:cs="Arial"/>
          <w:b/>
          <w:color w:val="000000"/>
          <w:sz w:val="24"/>
          <w:szCs w:val="24"/>
        </w:rPr>
      </w:pPr>
    </w:p>
    <w:p w14:paraId="71598593" w14:textId="31AD287A" w:rsidR="009C620F" w:rsidRPr="009C620F" w:rsidRDefault="00807FE1" w:rsidP="00224207">
      <w:pPr>
        <w:widowControl w:val="0"/>
        <w:autoSpaceDE w:val="0"/>
        <w:autoSpaceDN w:val="0"/>
        <w:adjustRightInd w:val="0"/>
        <w:spacing w:after="0" w:line="360" w:lineRule="auto"/>
        <w:ind w:left="480" w:hanging="480"/>
        <w:jc w:val="both"/>
        <w:rPr>
          <w:rFonts w:ascii="Arial" w:hAnsi="Arial" w:cs="Arial"/>
          <w:noProof/>
          <w:sz w:val="24"/>
          <w:szCs w:val="24"/>
        </w:rPr>
      </w:pPr>
      <w:r>
        <w:rPr>
          <w:rFonts w:ascii="Arial" w:eastAsia="Arial" w:hAnsi="Arial" w:cs="Arial"/>
          <w:b/>
          <w:color w:val="000000"/>
          <w:sz w:val="24"/>
          <w:szCs w:val="24"/>
        </w:rPr>
        <w:fldChar w:fldCharType="begin" w:fldLock="1"/>
      </w:r>
      <w:r>
        <w:rPr>
          <w:rFonts w:ascii="Arial" w:eastAsia="Arial" w:hAnsi="Arial" w:cs="Arial"/>
          <w:b/>
          <w:color w:val="000000"/>
          <w:sz w:val="24"/>
          <w:szCs w:val="24"/>
        </w:rPr>
        <w:instrText xml:space="preserve">ADDIN Mendeley Bibliography CSL_BIBLIOGRAPHY </w:instrText>
      </w:r>
      <w:r>
        <w:rPr>
          <w:rFonts w:ascii="Arial" w:eastAsia="Arial" w:hAnsi="Arial" w:cs="Arial"/>
          <w:b/>
          <w:color w:val="000000"/>
          <w:sz w:val="24"/>
          <w:szCs w:val="24"/>
        </w:rPr>
        <w:fldChar w:fldCharType="separate"/>
      </w:r>
      <w:r w:rsidR="009C620F" w:rsidRPr="009C620F">
        <w:rPr>
          <w:rFonts w:ascii="Arial" w:hAnsi="Arial" w:cs="Arial"/>
          <w:noProof/>
          <w:sz w:val="24"/>
          <w:szCs w:val="24"/>
        </w:rPr>
        <w:t>Ailshire J, Carr D (2021) Cross-National Comparisons of Social and Economic Contexts of Aging. Journals Gerontol Ser B 76:S1–S4. https://doi.org/10.1093/GERONB/GBAB049</w:t>
      </w:r>
    </w:p>
    <w:p w14:paraId="12665C8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Angel JL, Vega W, López-Ortega M, Pruchno R (2017) Aging in Mexico: Population trends and emerging issues. Gerontologist 57:153–162. https://doi.org/10.1093/geront/gnw136</w:t>
      </w:r>
    </w:p>
    <w:p w14:paraId="7BF77D5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Beckett L a, Brock DB, Lemke JH, et al (1996) Analysis of change in self-reported physical function among older persons in four population studies. Am J Epidemiol 143:766–78</w:t>
      </w:r>
    </w:p>
    <w:p w14:paraId="608FEFC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Boerma T, Hosseinpoor AR, Verdes E, Chatterji S (2016) A global assessment of the gender gap in self-reported health with survey data from 59 countries. BMC Public Health 16:675. https://doi.org/10.1186/s12889-016-3352-y</w:t>
      </w:r>
    </w:p>
    <w:p w14:paraId="0CEDC33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Case A, Paxson C (2005) Sex differences in morbidity and mortality. Demography 42:189–214</w:t>
      </w:r>
    </w:p>
    <w:p w14:paraId="1866D160"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Crespí-Lloréns N, Hernández-Aguado I, Chilet-Rosell E (2021) Have Policies Tackled Gender Inequalities in Health? A Scoping Review. Int J Environ Res Public Health 18:327. https://doi.org/10.3390/ijerph18010327</w:t>
      </w:r>
    </w:p>
    <w:p w14:paraId="3B7B12C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 xml:space="preserve">Crimmins EM, Kim JK, Solé-Auró A (2011) Gender differences in health: results from SHARE, </w:t>
      </w:r>
      <w:r w:rsidRPr="009C620F">
        <w:rPr>
          <w:rFonts w:ascii="Arial" w:hAnsi="Arial" w:cs="Arial"/>
          <w:noProof/>
          <w:sz w:val="24"/>
          <w:szCs w:val="24"/>
        </w:rPr>
        <w:lastRenderedPageBreak/>
        <w:t>ELSA and HRS. Eur J Public Health 21:81–91. https://doi.org/10.1093/eurpub/ckq022</w:t>
      </w:r>
    </w:p>
    <w:p w14:paraId="7B8C8AB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Shim H, Zhang YS, Kim JK (2019) Differences between men and women in mortality and the health dimensions of the morbidity process. Clin Chem 65:135–145. https://doi.org/10.1373/CLINCHEM.2018.288332</w:t>
      </w:r>
    </w:p>
    <w:p w14:paraId="59B2D603"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Zhang Y, Saito Y (2016) Trends Over 4 Decades in Disability-Free Life Expectancy in the United States. 106:1287–1293. https://doi.org/10.2105/AJPH.2016.303120</w:t>
      </w:r>
    </w:p>
    <w:p w14:paraId="3CC9263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Dahlin J, Härkönen J (2013) Cross-national differences in the gender gap in subjective health in Europe: Does country-level gender equality matter? Soc Sci Med 98:24–28. https://doi.org/10.1016/J.SOCSCIMED.2013.08.028</w:t>
      </w:r>
    </w:p>
    <w:p w14:paraId="0BCB6F10"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Di Lego V, Di Giulio P, Luy M (2020) Gender Differences in Healthy and Unhealthy Life Expectancy. pp 151–172</w:t>
      </w:r>
    </w:p>
    <w:p w14:paraId="167067F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Drumond Andrade FC, Guevara PE, Lebrão ML, et al (2011) Gender Differences in Life Expectancy and Disability-Free Life Expectancy Among Older Adults in São Paulo, Brazil. Women’s Heal Issues 21:64–70. https://doi.org/10.1016/j.whi.2010.08.007</w:t>
      </w:r>
    </w:p>
    <w:p w14:paraId="71506C0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European Institute for Gender Equality (2021) Gender Equality Index 2021: Health. Luxembourg</w:t>
      </w:r>
    </w:p>
    <w:p w14:paraId="354E375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Freedman VA, Wolf DA, Spillman BC (2016) Disability-Free Life Expectancy Over 30 Years: A Growing Female Disadvantage in the US Population. Am J Public Health 106:1079–1085. https://doi.org/10.2105/AJPH.2016.303089</w:t>
      </w:r>
    </w:p>
    <w:p w14:paraId="14ACFD5D"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Gardner P, Katagiri K, Parsons J, et al (2012) “Not for the fainthearted”: Engaging in cross-national comparative research. J Aging Stud 26:253–261. https://doi.org/10.1016/J.JAGING.2012.02.004</w:t>
      </w:r>
    </w:p>
    <w:p w14:paraId="4B809195"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Horiuchi S, Wilmoth JR, Pletcher SD (2008) A decomposition method based on a model of continuous change. Demography 45:785–801. https://doi.org/10.1353/dem.0.0033</w:t>
      </w:r>
    </w:p>
    <w:p w14:paraId="1E5DCED5"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Jagger C, Gillies C, Cambois E, et al (2010) The Global Activity Limitation Index measured function and disability similarly across European countries. J Clin Epidemiol 63:892–899. https://doi.org/10.1016/j.jclinepi.2009.11.002</w:t>
      </w:r>
    </w:p>
    <w:p w14:paraId="0FD482B8"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Lee J, Phillips D, Wilkens J (2021) Gateway to Global Aging Data: Resources for Cross-National Comparisons of Family, Social Environment, and Healthy Aging. Journals Gerontol Ser B Psychol Sci Soc Sci 76:S5. https://doi.org/10.1093/GERONB/GBAB050</w:t>
      </w:r>
    </w:p>
    <w:p w14:paraId="66A78F4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 xml:space="preserve">Lee J, Phillips D, Wilkens J, et al (2018) Cross-country comparisons of disability and morbidity: </w:t>
      </w:r>
      <w:r w:rsidRPr="009C620F">
        <w:rPr>
          <w:rFonts w:ascii="Arial" w:hAnsi="Arial" w:cs="Arial"/>
          <w:noProof/>
          <w:sz w:val="24"/>
          <w:szCs w:val="24"/>
        </w:rPr>
        <w:lastRenderedPageBreak/>
        <w:t>Evidence from the gateway to global aging data. Journals Gerontol - Ser A Biol Sci Med Sci 73:1519–1524. https://doi.org/10.1093/gerona/glx224</w:t>
      </w:r>
    </w:p>
    <w:p w14:paraId="4531819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Luy M, Minagawa Y (2014) Gender gaps--Life expectancy and proportion of life in poor health. Heal reports 25:12–9</w:t>
      </w:r>
    </w:p>
    <w:p w14:paraId="1745916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Mairey I, Bjerregaard P, Brønnum Hansen H (2014) Gender difference in health expectancy trends in Greenland. Scand J Public Health 42:751–758. https://doi.org/10.1177/1403494814550174</w:t>
      </w:r>
    </w:p>
    <w:p w14:paraId="62E775C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Mauvais-Jarvis F, Bairey Merz N, Barnes PJ, et al (2020) Sex and gender: modifiers of health, disease, and medicine. Lancet 396:565–582. https://doi.org/10.1016/S0140-6736(20)31561-0</w:t>
      </w:r>
    </w:p>
    <w:p w14:paraId="649D517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Nepomuceno MR, di Lego V, Turra CM (2021) Gender disparities in health at older ages and their consequences for well-being in Latin America and the Caribbean. Vienna Yearb Popul Res 19:. https://doi.org/10.1553/populationyearbook2021.res2.1</w:t>
      </w:r>
    </w:p>
    <w:p w14:paraId="024A3E36"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Nusselder W, Looman C (2004) Decomposition of differences in health expectancy by cause. Demography 41:315–34</w:t>
      </w:r>
    </w:p>
    <w:p w14:paraId="75414F2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Nusselder WJ, Looman CWN, van Oyen H, et al (2010) Gender differences in health of EU10 and EU15 populations: the double burden of EU10 men. Eur J Ageing 7:219–227. https://doi.org/10.1007/s10433-010-0169-x</w:t>
      </w:r>
    </w:p>
    <w:p w14:paraId="65861AC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Okojie CEE (1994) Gender inequalities of health in the third world. Soc Sci Med 39:1237–1247. https://doi.org/10.1016/0277-9536(94)90356-5</w:t>
      </w:r>
    </w:p>
    <w:p w14:paraId="64BD46A3"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Oksuzyan A, Brønnum-Hansen H, Jeune B (2010) Gender gap in health expectancy. Eur J Ageing 7:213–218. https://doi.org/10.1007/s10433-010-0170-4</w:t>
      </w:r>
    </w:p>
    <w:p w14:paraId="4C4BC3F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Pelletier R, Khan NA, Cox J, et al (2016) Sex Versus Gender-Related Characteristics Which Predicts Outcome after Acute Coronary Syndrome in the Young? J Am Coll Cardiol 67:127–135. https://doi.org/10.1016/j.jacc.2015.10.067</w:t>
      </w:r>
    </w:p>
    <w:p w14:paraId="11A9B206"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Riffe T (2018) Package “DemoDecomp” Type Package Title Decompose Demographic Functions. https://doi.org/10.1353/dem.0.0033</w:t>
      </w:r>
    </w:p>
    <w:p w14:paraId="361F5B1C"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Ross CE, Masters RK, Hummer RA (2012) Education and the Gender Gaps in Health and Mortality. Demography 49:1157–1183. https://doi.org/10.1007/s13524-012-0130-z</w:t>
      </w:r>
    </w:p>
    <w:p w14:paraId="6BF70D3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Saito Y, Robine JM, Crimmins EM (2014) The methods and materials of health expectancy. Stat J IAOS 30:209–223. https://doi.org/10.3233/SJI-140840</w:t>
      </w:r>
    </w:p>
    <w:p w14:paraId="7FC32B8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lastRenderedPageBreak/>
        <w:t>Sullivan D. (1971) A single index of mortality and morbidity. HSMHA Health Rep 86:347–54</w:t>
      </w:r>
    </w:p>
    <w:p w14:paraId="7D6ADD7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Tareque MI, Begum S, Saito Y (2013) Gender differences in disability-free life expectancy at old ages in Bangladesh. J Aging Health 25:1299–1312. https://doi.org/10.1177/0898264313501388</w:t>
      </w:r>
    </w:p>
    <w:p w14:paraId="07C0352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Tolonen H, Reinikainen J, Koponen P, et al (2021) Cross-national comparisons of health indicators require standardized definitions and common data sources. Arch Public Heal 2021 791 79:1–14. https://doi.org/10.1186/S13690-021-00734-W</w:t>
      </w:r>
    </w:p>
    <w:p w14:paraId="73C478FA"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Van Oyen H, Nusselder W, Jagger C, et al (2013) Gender differences in healthy life years within the EU: an exploration of the “health–survival” paradox. Int J Public Health 58:143–155. https://doi.org/10.1007/s00038-012-0361-1</w:t>
      </w:r>
    </w:p>
    <w:p w14:paraId="5361FE2A"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van Raalte AA, Nepomuceno MR (2020) Decomposing Gaps in Healthy Life Expectancy. pp 107–122</w:t>
      </w:r>
    </w:p>
    <w:p w14:paraId="7160681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Verbrugge LM, Wingard DL (1987) Sex Differentials in Health and Mortality. Women Health 12:103–145. https://doi.org/10.1300/J013v12n02_07</w:t>
      </w:r>
    </w:p>
    <w:p w14:paraId="1A8674E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WCF (2018) The Global Gender Gap Report 2018 Insight Report</w:t>
      </w:r>
    </w:p>
    <w:p w14:paraId="33408D0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WHO (2020) Understanding the drivers of health equity: the power of political participation. Copenhagen</w:t>
      </w:r>
    </w:p>
    <w:p w14:paraId="4E6F12B8"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World Economic Forum (2021) The Global Gender Gap Report 2021</w:t>
      </w:r>
    </w:p>
    <w:p w14:paraId="162DFA2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Yang S, Khang YH, Chun H, et al (2012) The changing gender differences in life expectancy in Korea 1970-2005. Soc Sci Med 75:1280–1287. https://doi.org/10.1016/j.socscimed.2012.04.026</w:t>
      </w:r>
    </w:p>
    <w:p w14:paraId="7CE1A34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Yokota RTC, Nusselder WJ, Robine J-M, et al (2019) Contribution of chronic conditions to gender disparities in health expectancies in Belgium, 2001, 2004 and 2008. Eur J Public Health 29:82–87. https://doi.org/10.1093/eurpub/cky105</w:t>
      </w:r>
    </w:p>
    <w:p w14:paraId="7742763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Zhang H, Bago D’Uva T, Van Doorslaer E (2015) The gender health gap in China: A decomposition analysis. Econ Hum Biol 18:13–26. https://doi.org/10.1016/J.EHB.2015.03.001</w:t>
      </w:r>
    </w:p>
    <w:p w14:paraId="4BBF2E6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rPr>
      </w:pPr>
      <w:r w:rsidRPr="009C620F">
        <w:rPr>
          <w:rFonts w:ascii="Arial" w:hAnsi="Arial" w:cs="Arial"/>
          <w:noProof/>
          <w:sz w:val="24"/>
          <w:szCs w:val="24"/>
        </w:rPr>
        <w:t>Zhou M, Zhao S, Zhao Z (2021) Gender differences in health insurance coverage in China. Int J Equity Health 20:. https://doi.org/10.1186/s12939-021-01383-9</w:t>
      </w:r>
    </w:p>
    <w:p w14:paraId="0CDDE276" w14:textId="458E0A99" w:rsidR="00807FE1" w:rsidRDefault="00807FE1" w:rsidP="00224207">
      <w:p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fldChar w:fldCharType="end"/>
      </w:r>
    </w:p>
    <w:p w14:paraId="000002B7"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bookmarkEnd w:id="2"/>
    <w:p w14:paraId="000002DE" w14:textId="77777777" w:rsidR="00B133DD" w:rsidRDefault="00B133DD">
      <w:pPr>
        <w:pBdr>
          <w:top w:val="nil"/>
          <w:left w:val="nil"/>
          <w:bottom w:val="nil"/>
          <w:right w:val="nil"/>
          <w:between w:val="nil"/>
        </w:pBdr>
        <w:rPr>
          <w:rFonts w:ascii="Arial" w:eastAsia="Arial" w:hAnsi="Arial" w:cs="Arial"/>
          <w:color w:val="000000"/>
          <w:sz w:val="20"/>
          <w:szCs w:val="20"/>
        </w:rPr>
      </w:pPr>
    </w:p>
    <w:p w14:paraId="000002DF"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0" w14:textId="77777777" w:rsidR="00B133DD" w:rsidRDefault="00B133DD">
      <w:pPr>
        <w:keepNext/>
        <w:pBdr>
          <w:top w:val="nil"/>
          <w:left w:val="nil"/>
          <w:bottom w:val="nil"/>
          <w:right w:val="nil"/>
          <w:between w:val="nil"/>
        </w:pBdr>
        <w:spacing w:before="240" w:after="0"/>
        <w:jc w:val="both"/>
        <w:rPr>
          <w:rFonts w:ascii="Arial" w:eastAsia="Arial" w:hAnsi="Arial" w:cs="Arial"/>
          <w:color w:val="000000"/>
          <w:sz w:val="20"/>
          <w:szCs w:val="20"/>
        </w:rPr>
      </w:pPr>
    </w:p>
    <w:p w14:paraId="000002F4" w14:textId="1BFABB10"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7C4A806E" w14:textId="77777777" w:rsidR="00A52C95" w:rsidRDefault="00A52C95">
      <w:pPr>
        <w:rPr>
          <w:rFonts w:ascii="Arial" w:eastAsia="Arial" w:hAnsi="Arial" w:cs="Arial"/>
          <w:sz w:val="20"/>
          <w:szCs w:val="20"/>
        </w:rPr>
      </w:pPr>
    </w:p>
    <w:p w14:paraId="42AC238E" w14:textId="4F654D12" w:rsidR="00B30A51" w:rsidRDefault="00B30A51">
      <w:pPr>
        <w:rPr>
          <w:rFonts w:ascii="Arial" w:eastAsia="Arial" w:hAnsi="Arial" w:cs="Arial"/>
          <w:b/>
          <w:color w:val="000000" w:themeColor="text1"/>
          <w:sz w:val="24"/>
          <w:szCs w:val="24"/>
        </w:rPr>
      </w:pPr>
      <w:r w:rsidRPr="004F29A3">
        <w:rPr>
          <w:rFonts w:ascii="Arial" w:eastAsia="Arial" w:hAnsi="Arial" w:cs="Arial"/>
          <w:b/>
          <w:color w:val="000000" w:themeColor="text1"/>
          <w:sz w:val="24"/>
          <w:szCs w:val="24"/>
        </w:rPr>
        <w:t>Supplementary Information</w:t>
      </w:r>
    </w:p>
    <w:p w14:paraId="4406AE9B" w14:textId="77777777" w:rsidR="00A52C95" w:rsidRPr="00A52C95" w:rsidRDefault="00A52C95">
      <w:pPr>
        <w:rPr>
          <w:rFonts w:ascii="Arial" w:eastAsia="Arial" w:hAnsi="Arial" w:cs="Arial"/>
          <w:b/>
          <w:color w:val="000000" w:themeColor="text1"/>
          <w:sz w:val="24"/>
          <w:szCs w:val="24"/>
        </w:rPr>
      </w:pPr>
    </w:p>
    <w:p w14:paraId="3CC970F2" w14:textId="2EA46A91" w:rsidR="00B30A51" w:rsidRPr="00B30A51" w:rsidRDefault="00B30A51" w:rsidP="00B30A51">
      <w:pPr>
        <w:spacing w:line="360" w:lineRule="auto"/>
        <w:jc w:val="both"/>
        <w:rPr>
          <w:rFonts w:ascii="Arial" w:eastAsia="Arial" w:hAnsi="Arial" w:cs="Arial"/>
          <w:sz w:val="24"/>
          <w:szCs w:val="24"/>
        </w:rPr>
      </w:pPr>
      <w:r w:rsidRPr="00EA3E03">
        <w:rPr>
          <w:rFonts w:ascii="Arial" w:eastAsia="Arial" w:hAnsi="Arial" w:cs="Arial"/>
          <w:b/>
          <w:sz w:val="24"/>
          <w:szCs w:val="24"/>
        </w:rPr>
        <w:t>Data</w:t>
      </w:r>
      <w:r w:rsidR="00694C17" w:rsidRPr="00EA3E03">
        <w:rPr>
          <w:rFonts w:ascii="Arial" w:eastAsia="Arial" w:hAnsi="Arial" w:cs="Arial"/>
          <w:b/>
          <w:sz w:val="24"/>
          <w:szCs w:val="24"/>
        </w:rPr>
        <w:t>.</w:t>
      </w:r>
      <w:r w:rsidR="00694C17">
        <w:rPr>
          <w:rFonts w:ascii="Arial" w:eastAsia="Arial" w:hAnsi="Arial" w:cs="Arial"/>
          <w:sz w:val="24"/>
          <w:szCs w:val="24"/>
        </w:rPr>
        <w:t xml:space="preserve"> </w:t>
      </w:r>
      <w:r w:rsidRPr="00B30A51">
        <w:rPr>
          <w:rFonts w:ascii="Arial" w:eastAsia="Arial" w:hAnsi="Arial" w:cs="Arial"/>
          <w:sz w:val="24"/>
          <w:szCs w:val="24"/>
        </w:rPr>
        <w:t xml:space="preserve">We follow the recommendation by the official report carefully written on the data that for harmonization purpose, general diagnosis of chronic medical conditions (e.g. heart diseases), rather than a more specific condition (e.g. congestive heart failure), may be used to maximize the number of studies that may be included. We thus use the diagnosed chronic conditions surveyed for all HRS-sister studies, which were hypertension, diabetes, cancers, chronic lung diseases, stroke, and arthritis or rheumatism. We focus on diagnosis and treatment of chronic medical conditions, as they were available for all surveys and are considered the most suitable for comparative purposes. </w:t>
      </w:r>
    </w:p>
    <w:p w14:paraId="235664B2" w14:textId="1CF6C486" w:rsidR="00EA3E03" w:rsidRDefault="00B30A51" w:rsidP="00B30A51">
      <w:pPr>
        <w:spacing w:line="360" w:lineRule="auto"/>
        <w:jc w:val="both"/>
        <w:rPr>
          <w:rFonts w:ascii="Arial" w:eastAsia="Arial" w:hAnsi="Arial" w:cs="Arial"/>
          <w:sz w:val="24"/>
          <w:szCs w:val="24"/>
        </w:rPr>
      </w:pPr>
      <w:r w:rsidRPr="00EA3E03">
        <w:rPr>
          <w:rFonts w:ascii="Arial" w:eastAsia="Arial" w:hAnsi="Arial" w:cs="Arial"/>
          <w:b/>
          <w:sz w:val="24"/>
          <w:szCs w:val="24"/>
        </w:rPr>
        <w:t>Disease variables:</w:t>
      </w:r>
      <w:r w:rsidRPr="00B30A51">
        <w:rPr>
          <w:rFonts w:ascii="Arial" w:eastAsia="Arial" w:hAnsi="Arial" w:cs="Arial"/>
          <w:sz w:val="24"/>
          <w:szCs w:val="24"/>
        </w:rPr>
        <w:t xml:space="preserve"> </w:t>
      </w:r>
      <w:proofErr w:type="spellStart"/>
      <w:r w:rsidRPr="00B30A51">
        <w:rPr>
          <w:rFonts w:ascii="Arial" w:eastAsia="Arial" w:hAnsi="Arial" w:cs="Arial"/>
          <w:sz w:val="24"/>
          <w:szCs w:val="24"/>
        </w:rPr>
        <w:t>RwDIABE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RwCANCRE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RwLUNGE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RwHEARTE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RwSTROKE</w:t>
      </w:r>
      <w:proofErr w:type="spellEnd"/>
      <w:r w:rsidRPr="00B30A51">
        <w:rPr>
          <w:rFonts w:ascii="Arial" w:eastAsia="Arial" w:hAnsi="Arial" w:cs="Arial"/>
          <w:sz w:val="24"/>
          <w:szCs w:val="24"/>
        </w:rPr>
        <w:t xml:space="preserve">, and </w:t>
      </w:r>
      <w:proofErr w:type="spellStart"/>
      <w:r w:rsidRPr="00B30A51">
        <w:rPr>
          <w:rFonts w:ascii="Arial" w:eastAsia="Arial" w:hAnsi="Arial" w:cs="Arial"/>
          <w:sz w:val="24"/>
          <w:szCs w:val="24"/>
        </w:rPr>
        <w:t>RwARTHRE</w:t>
      </w:r>
      <w:proofErr w:type="spellEnd"/>
      <w:r w:rsidRPr="00B30A51">
        <w:rPr>
          <w:rFonts w:ascii="Arial" w:eastAsia="Arial" w:hAnsi="Arial" w:cs="Arial"/>
          <w:sz w:val="24"/>
          <w:szCs w:val="24"/>
        </w:rPr>
        <w:t xml:space="preserve"> are indicator</w:t>
      </w:r>
      <w:r w:rsidR="00340B76">
        <w:rPr>
          <w:rFonts w:ascii="Arial" w:eastAsia="Arial" w:hAnsi="Arial" w:cs="Arial"/>
          <w:sz w:val="24"/>
          <w:szCs w:val="24"/>
        </w:rPr>
        <w:t xml:space="preserve"> </w:t>
      </w:r>
      <w:r w:rsidRPr="00B30A51">
        <w:rPr>
          <w:rFonts w:ascii="Arial" w:eastAsia="Arial" w:hAnsi="Arial" w:cs="Arial"/>
          <w:sz w:val="24"/>
          <w:szCs w:val="24"/>
        </w:rPr>
        <w:t>variables denoting whether or not the Respondent reports a doctor has ever told her/him that s/he had the specified condition. The conditions are 1) diabetes or high blood sugar; 2) cancer or a malignant tumor of any kind except skin cancer; 3) chronic lung disease except asthma such as chronic bronchitis or emphysema; 4) heart problems, which include heart attack, coronary heart disease, angina, congestive heart failure, or other heart problems; 5) stroke or transient ischemic attack (TIA); and 6) arthritis or rheumatism. The Rand HRS 1992_2018v1 files we use as basis for these doctor-diagnosed conditions, with the exception of cases that dispute a report from a prior wave, each of these variables is set to "yes" if the Respondent answered yes to the pertinent question in the current or any prior wave, and to "no" if the Respondent responded no at the current and all prior waves.</w:t>
      </w:r>
      <w:r w:rsidR="00EA3E03">
        <w:rPr>
          <w:rFonts w:ascii="Arial" w:eastAsia="Arial" w:hAnsi="Arial" w:cs="Arial"/>
          <w:sz w:val="24"/>
          <w:szCs w:val="24"/>
        </w:rPr>
        <w:t xml:space="preserve"> </w:t>
      </w:r>
      <w:r w:rsidRPr="00B30A51">
        <w:rPr>
          <w:rFonts w:ascii="Arial" w:eastAsia="Arial" w:hAnsi="Arial" w:cs="Arial"/>
          <w:sz w:val="24"/>
          <w:szCs w:val="24"/>
        </w:rPr>
        <w:t>We have constructed three new variables that capture prevalence of chronic conditions. “chronic” refers to having at least one of the conditions cited above. “</w:t>
      </w:r>
      <w:proofErr w:type="spellStart"/>
      <w:r w:rsidRPr="00B30A51">
        <w:rPr>
          <w:rFonts w:ascii="Arial" w:eastAsia="Arial" w:hAnsi="Arial" w:cs="Arial"/>
          <w:sz w:val="24"/>
          <w:szCs w:val="24"/>
        </w:rPr>
        <w:t>chronic_sum</w:t>
      </w:r>
      <w:proofErr w:type="spellEnd"/>
      <w:r w:rsidRPr="00B30A51">
        <w:rPr>
          <w:rFonts w:ascii="Arial" w:eastAsia="Arial" w:hAnsi="Arial" w:cs="Arial"/>
          <w:sz w:val="24"/>
          <w:szCs w:val="24"/>
        </w:rPr>
        <w:t>” refers to the total number of conditions ever diagnosed. “</w:t>
      </w:r>
      <w:proofErr w:type="spellStart"/>
      <w:r w:rsidRPr="00B30A51">
        <w:rPr>
          <w:rFonts w:ascii="Arial" w:eastAsia="Arial" w:hAnsi="Arial" w:cs="Arial"/>
          <w:sz w:val="24"/>
          <w:szCs w:val="24"/>
        </w:rPr>
        <w:t>chronic_severe</w:t>
      </w:r>
      <w:proofErr w:type="spellEnd"/>
      <w:r w:rsidRPr="00B30A51">
        <w:rPr>
          <w:rFonts w:ascii="Arial" w:eastAsia="Arial" w:hAnsi="Arial" w:cs="Arial"/>
          <w:sz w:val="24"/>
          <w:szCs w:val="24"/>
        </w:rPr>
        <w:t xml:space="preserve">” is a dummy variable that measures comorbidity, where an individual is diagnosed with having three or more of those conditions. At first, in order to evaluate </w:t>
      </w:r>
      <w:r w:rsidRPr="00B30A51">
        <w:rPr>
          <w:rFonts w:ascii="Arial" w:eastAsia="Arial" w:hAnsi="Arial" w:cs="Arial"/>
          <w:sz w:val="24"/>
          <w:szCs w:val="24"/>
        </w:rPr>
        <w:lastRenderedPageBreak/>
        <w:t xml:space="preserve">further differences in onset of disease, we included the variable RADIAGDIAB, which indicates the age at which the respondent was first diagnosed with diabetes. </w:t>
      </w:r>
      <w:proofErr w:type="spellStart"/>
      <w:r w:rsidRPr="00B30A51">
        <w:rPr>
          <w:rFonts w:ascii="Arial" w:eastAsia="Arial" w:hAnsi="Arial" w:cs="Arial"/>
          <w:sz w:val="24"/>
          <w:szCs w:val="24"/>
        </w:rPr>
        <w:t>RwRECCANCR</w:t>
      </w:r>
      <w:proofErr w:type="spellEnd"/>
      <w:r w:rsidRPr="00B30A51">
        <w:rPr>
          <w:rFonts w:ascii="Arial" w:eastAsia="Arial" w:hAnsi="Arial" w:cs="Arial"/>
          <w:sz w:val="24"/>
          <w:szCs w:val="24"/>
        </w:rPr>
        <w:t xml:space="preserve"> indicates the most recent age at which the respondent was diagnosed with cancer. Respondents are asked the year in which they were most recently diagnosed with cancer, and these responses are converted to their age at diagnosis. Previous responses are carried forward if the respondent does not report a new cancer diagnosis. </w:t>
      </w:r>
      <w:proofErr w:type="spellStart"/>
      <w:r w:rsidRPr="00B30A51">
        <w:rPr>
          <w:rFonts w:ascii="Arial" w:eastAsia="Arial" w:hAnsi="Arial" w:cs="Arial"/>
          <w:sz w:val="24"/>
          <w:szCs w:val="24"/>
        </w:rPr>
        <w:t>RwRECHRTATT</w:t>
      </w:r>
      <w:proofErr w:type="spellEnd"/>
      <w:r w:rsidRPr="00B30A51">
        <w:rPr>
          <w:rFonts w:ascii="Arial" w:eastAsia="Arial" w:hAnsi="Arial" w:cs="Arial"/>
          <w:sz w:val="24"/>
          <w:szCs w:val="24"/>
        </w:rPr>
        <w:t xml:space="preserve"> indicates the most recent age at which the respondent had a heart attack. RAFRHRTATT indicates the age at which the respondent had their first heart attack. However, a first analysis showed that in the sample of HRS and other countries more than 75% was missing for age variables. So</w:t>
      </w:r>
      <w:r w:rsidR="00EA3E03">
        <w:rPr>
          <w:rFonts w:ascii="Arial" w:eastAsia="Arial" w:hAnsi="Arial" w:cs="Arial"/>
          <w:sz w:val="24"/>
          <w:szCs w:val="24"/>
        </w:rPr>
        <w:t>,</w:t>
      </w:r>
      <w:r w:rsidRPr="00B30A51">
        <w:rPr>
          <w:rFonts w:ascii="Arial" w:eastAsia="Arial" w:hAnsi="Arial" w:cs="Arial"/>
          <w:sz w:val="24"/>
          <w:szCs w:val="24"/>
        </w:rPr>
        <w:t xml:space="preserve"> we did not use these variables in the analysis.</w:t>
      </w:r>
    </w:p>
    <w:p w14:paraId="41DDFF4D" w14:textId="1BAAED64" w:rsidR="009070BA" w:rsidRPr="009070BA" w:rsidRDefault="009070BA" w:rsidP="00B30A51">
      <w:pPr>
        <w:spacing w:line="360" w:lineRule="auto"/>
        <w:jc w:val="both"/>
        <w:rPr>
          <w:rFonts w:ascii="Arial" w:eastAsia="Arial" w:hAnsi="Arial" w:cs="Arial"/>
          <w:b/>
          <w:sz w:val="24"/>
          <w:szCs w:val="24"/>
        </w:rPr>
      </w:pPr>
      <w:r w:rsidRPr="009070BA">
        <w:rPr>
          <w:rFonts w:ascii="Arial" w:eastAsia="Arial" w:hAnsi="Arial" w:cs="Arial"/>
          <w:b/>
          <w:sz w:val="24"/>
          <w:szCs w:val="24"/>
        </w:rPr>
        <w:t>Each Country</w:t>
      </w:r>
    </w:p>
    <w:p w14:paraId="197F2A4A" w14:textId="650014D1"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US (HRS).</w:t>
      </w:r>
      <w:r>
        <w:rPr>
          <w:rFonts w:ascii="Arial" w:eastAsia="Arial" w:hAnsi="Arial" w:cs="Arial"/>
          <w:sz w:val="24"/>
          <w:szCs w:val="24"/>
        </w:rPr>
        <w:t xml:space="preserve"> </w:t>
      </w:r>
      <w:r w:rsidRPr="009070BA">
        <w:rPr>
          <w:rFonts w:ascii="Arial" w:eastAsia="Arial" w:hAnsi="Arial" w:cs="Arial"/>
          <w:sz w:val="24"/>
          <w:szCs w:val="24"/>
        </w:rPr>
        <w:t>We are using the Harmonized version B HRS: 37,495 observations. October 2018- There is a new updated version C, until 2019 that was updated now in 2022 and contains 42,233 observations. It is a Respondent level file so each row represents a unique Respondent. This leaves us with 18,747 observations using only wave 12 (year 2014) of HRS.</w:t>
      </w:r>
    </w:p>
    <w:p w14:paraId="3148124A" w14:textId="5B43C8AB"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Mexico (MHAS).</w:t>
      </w:r>
      <w:r>
        <w:rPr>
          <w:rFonts w:ascii="Arial" w:eastAsia="Arial" w:hAnsi="Arial" w:cs="Arial"/>
          <w:sz w:val="24"/>
          <w:szCs w:val="24"/>
        </w:rPr>
        <w:t xml:space="preserve"> </w:t>
      </w:r>
      <w:r w:rsidRPr="009070BA">
        <w:rPr>
          <w:rFonts w:ascii="Arial" w:eastAsia="Arial" w:hAnsi="Arial" w:cs="Arial"/>
          <w:sz w:val="24"/>
          <w:szCs w:val="24"/>
        </w:rPr>
        <w:t>Version B.4 incorporates the latest released version of MHAS data, and adds several new variables. It contains 22,016 observations or rows- 22016. We are using the Harmonized VERSION B.4 (2001-2015), February 2022, for the MHAS data. The Mexican Health and Aging Study (MHAS) is a longitudinal household survey dataset for the study of health, economic position, and quality of life among the elderly. MHAS datasets as of September 2020. The MHAS (Mexican Health and Aging Study) Version B.4 incorporates the latest released version of MHAS data, and adds several new variables. It contains 22,016 observations or rows. It is a Respondent-level file so each row represents a unique Respondent. We will focus on Wave 4, which is for years 2014/2015. We will have 17,616 observations.</w:t>
      </w:r>
    </w:p>
    <w:p w14:paraId="51A5EA7F" w14:textId="1D846E39"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England (ELSA).</w:t>
      </w:r>
      <w:r>
        <w:rPr>
          <w:rFonts w:ascii="Arial" w:eastAsia="Arial" w:hAnsi="Arial" w:cs="Arial"/>
          <w:sz w:val="24"/>
          <w:szCs w:val="24"/>
        </w:rPr>
        <w:t xml:space="preserve"> </w:t>
      </w:r>
      <w:r w:rsidRPr="009070BA">
        <w:rPr>
          <w:rFonts w:ascii="Arial" w:eastAsia="Arial" w:hAnsi="Arial" w:cs="Arial"/>
          <w:sz w:val="24"/>
          <w:szCs w:val="24"/>
        </w:rPr>
        <w:t xml:space="preserve">We are using the Version G.2 (2002-2019), July 2021 for The English Longitudinal Study on Ageing (ELSA). It is a longitudinal household survey dataset for the study of health, economic position, and quality of life among the elderly (panel survey of people aged 50 and over and their partners, living in private households in England). Version G.2 incorporates the latest released version of ELSA data, which includes eleven main modules and the </w:t>
      </w:r>
      <w:r w:rsidRPr="009070BA">
        <w:rPr>
          <w:rFonts w:ascii="Arial" w:eastAsia="Arial" w:hAnsi="Arial" w:cs="Arial"/>
          <w:sz w:val="24"/>
          <w:szCs w:val="24"/>
        </w:rPr>
        <w:lastRenderedPageBreak/>
        <w:t xml:space="preserve">associated datasets, and adds variables and observations from Wave 9 with a total of 19,802 observations. It also adds new variables and </w:t>
      </w:r>
      <w:proofErr w:type="gramStart"/>
      <w:r w:rsidRPr="009070BA">
        <w:rPr>
          <w:rFonts w:ascii="Arial" w:eastAsia="Arial" w:hAnsi="Arial" w:cs="Arial"/>
          <w:sz w:val="24"/>
          <w:szCs w:val="24"/>
        </w:rPr>
        <w:t>makes adjustments</w:t>
      </w:r>
      <w:proofErr w:type="gramEnd"/>
      <w:r w:rsidRPr="009070BA">
        <w:rPr>
          <w:rFonts w:ascii="Arial" w:eastAsia="Arial" w:hAnsi="Arial" w:cs="Arial"/>
          <w:sz w:val="24"/>
          <w:szCs w:val="24"/>
        </w:rPr>
        <w:t xml:space="preserve"> and corrections. We will focus on Wave 7, nonetheless. The samples have been drawn from households which previously responded to the Health Survey for England (HSE). The seventh wave was conducted between June 2014 and May 2015 and included a refreshment sample selected from HSE 2011-2012. </w:t>
      </w:r>
    </w:p>
    <w:p w14:paraId="6521EE64" w14:textId="77777777" w:rsidR="009070BA" w:rsidRPr="009070BA" w:rsidRDefault="009070BA" w:rsidP="009070BA">
      <w:pPr>
        <w:spacing w:line="360" w:lineRule="auto"/>
        <w:jc w:val="both"/>
        <w:rPr>
          <w:rFonts w:ascii="Arial" w:eastAsia="Arial" w:hAnsi="Arial" w:cs="Arial"/>
          <w:sz w:val="24"/>
          <w:szCs w:val="24"/>
        </w:rPr>
      </w:pPr>
    </w:p>
    <w:p w14:paraId="1C819CF8" w14:textId="77777777" w:rsidR="009070BA" w:rsidRPr="009070BA" w:rsidRDefault="009070BA" w:rsidP="009070BA">
      <w:pPr>
        <w:spacing w:line="360" w:lineRule="auto"/>
        <w:jc w:val="both"/>
        <w:rPr>
          <w:rFonts w:ascii="Arial" w:eastAsia="Arial" w:hAnsi="Arial" w:cs="Arial"/>
          <w:sz w:val="24"/>
          <w:szCs w:val="24"/>
        </w:rPr>
      </w:pPr>
    </w:p>
    <w:p w14:paraId="1E99EF73" w14:textId="66354D4F"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India (LASI).</w:t>
      </w:r>
      <w:r>
        <w:rPr>
          <w:rFonts w:ascii="Arial" w:eastAsia="Arial" w:hAnsi="Arial" w:cs="Arial"/>
          <w:sz w:val="24"/>
          <w:szCs w:val="24"/>
        </w:rPr>
        <w:t xml:space="preserve"> </w:t>
      </w:r>
      <w:r w:rsidRPr="009070BA">
        <w:rPr>
          <w:rFonts w:ascii="Arial" w:eastAsia="Arial" w:hAnsi="Arial" w:cs="Arial"/>
          <w:sz w:val="24"/>
          <w:szCs w:val="24"/>
        </w:rPr>
        <w:t xml:space="preserve">The Longitudinal Aging Study in India (LASI) is a multidisciplinary, internationally harmonized panel study designed to be nationally representative of India’s population aged 45 and older. LASI is a joint project of three partnering institutions: International Institute for Population Sciences (IIPS), Harvard T.H. Chan School of Public Health (HSPH), and University of Southern California (USC). The first wave was conducted between 2017 and 2019 in 35 of India’s 36 states and union territories (except Sikkim). This initial sample, as released by USC, included 42,951 households and 72,262 individuals. The LASI sampling plan is complex and was based on the 2011 Indian Census with a multistage, stratified cluster sample design. The sample design includes three distinct selection stages in rural areas and four stages in urban areas. We use Version A.2 that makes corrections using the January 2021 released version of Wave 1 of the LASI data. </w:t>
      </w:r>
    </w:p>
    <w:p w14:paraId="1283C122" w14:textId="77777777" w:rsidR="009070BA" w:rsidRPr="009070BA" w:rsidRDefault="009070BA" w:rsidP="009070BA">
      <w:pPr>
        <w:spacing w:line="360" w:lineRule="auto"/>
        <w:jc w:val="both"/>
        <w:rPr>
          <w:rFonts w:ascii="Arial" w:eastAsia="Arial" w:hAnsi="Arial" w:cs="Arial"/>
          <w:sz w:val="24"/>
          <w:szCs w:val="24"/>
        </w:rPr>
      </w:pPr>
    </w:p>
    <w:p w14:paraId="5E416E3A" w14:textId="21748D04"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Europe (SHARE).</w:t>
      </w:r>
      <w:r>
        <w:rPr>
          <w:rFonts w:ascii="Arial" w:eastAsia="Arial" w:hAnsi="Arial" w:cs="Arial"/>
          <w:sz w:val="24"/>
          <w:szCs w:val="24"/>
        </w:rPr>
        <w:t xml:space="preserve"> </w:t>
      </w:r>
      <w:r w:rsidRPr="009070BA">
        <w:rPr>
          <w:rFonts w:ascii="Arial" w:eastAsia="Arial" w:hAnsi="Arial" w:cs="Arial"/>
          <w:sz w:val="24"/>
          <w:szCs w:val="24"/>
        </w:rPr>
        <w:t xml:space="preserve">This is Version F in the harmonized files and incorporates the latest released version of SHARE data, release 8.0.0, and adds observations from Wave 8. It contains 139,620 observations or rows. It is a Respondent-level file so each row represents a unique Respondent. It also adds new variables and </w:t>
      </w:r>
      <w:proofErr w:type="gramStart"/>
      <w:r w:rsidRPr="009070BA">
        <w:rPr>
          <w:rFonts w:ascii="Arial" w:eastAsia="Arial" w:hAnsi="Arial" w:cs="Arial"/>
          <w:sz w:val="24"/>
          <w:szCs w:val="24"/>
        </w:rPr>
        <w:t>makes adjustments</w:t>
      </w:r>
      <w:proofErr w:type="gramEnd"/>
      <w:r w:rsidRPr="009070BA">
        <w:rPr>
          <w:rFonts w:ascii="Arial" w:eastAsia="Arial" w:hAnsi="Arial" w:cs="Arial"/>
          <w:sz w:val="24"/>
          <w:szCs w:val="24"/>
        </w:rPr>
        <w:t xml:space="preserve"> and corrections. We focus on data from SHARE Wave 6, with the release 8.0.0 as of February 2022. SHARE uses a multistage stratified sample. Its weighting variables make its data representative of the target populations in constituent countries.</w:t>
      </w:r>
      <w:r w:rsidR="004C54AC">
        <w:rPr>
          <w:rFonts w:ascii="Arial" w:eastAsia="Arial" w:hAnsi="Arial" w:cs="Arial"/>
          <w:sz w:val="24"/>
          <w:szCs w:val="24"/>
        </w:rPr>
        <w:t xml:space="preserve"> </w:t>
      </w:r>
      <w:r w:rsidRPr="009070BA">
        <w:rPr>
          <w:rFonts w:ascii="Arial" w:eastAsia="Arial" w:hAnsi="Arial" w:cs="Arial"/>
          <w:sz w:val="24"/>
          <w:szCs w:val="24"/>
        </w:rPr>
        <w:t>Wave 6 does not still have full coverage of European countries, with the following countries only added in Wave 7: Finland, Lithuania, Latvia, Slovakia, Romania, Bulgaria, Malta and Cyprus.</w:t>
      </w:r>
    </w:p>
    <w:p w14:paraId="3E0325FD" w14:textId="391C1C3E" w:rsidR="009070BA" w:rsidRPr="009070BA" w:rsidRDefault="009070BA" w:rsidP="009070BA">
      <w:pPr>
        <w:spacing w:line="360" w:lineRule="auto"/>
        <w:jc w:val="both"/>
        <w:rPr>
          <w:rFonts w:ascii="Arial" w:eastAsia="Arial" w:hAnsi="Arial" w:cs="Arial"/>
          <w:sz w:val="24"/>
          <w:szCs w:val="24"/>
        </w:rPr>
      </w:pPr>
      <w:r w:rsidRPr="004C54AC">
        <w:rPr>
          <w:rFonts w:ascii="Arial" w:eastAsia="Arial" w:hAnsi="Arial" w:cs="Arial"/>
          <w:b/>
          <w:sz w:val="24"/>
          <w:szCs w:val="24"/>
        </w:rPr>
        <w:lastRenderedPageBreak/>
        <w:t xml:space="preserve">China </w:t>
      </w:r>
      <w:r w:rsidR="004C54AC" w:rsidRPr="004C54AC">
        <w:rPr>
          <w:rFonts w:ascii="Arial" w:eastAsia="Arial" w:hAnsi="Arial" w:cs="Arial"/>
          <w:b/>
          <w:sz w:val="24"/>
          <w:szCs w:val="24"/>
        </w:rPr>
        <w:t>(</w:t>
      </w:r>
      <w:r w:rsidRPr="004C54AC">
        <w:rPr>
          <w:rFonts w:ascii="Arial" w:eastAsia="Arial" w:hAnsi="Arial" w:cs="Arial"/>
          <w:b/>
          <w:sz w:val="24"/>
          <w:szCs w:val="24"/>
        </w:rPr>
        <w:t>CHARLS</w:t>
      </w:r>
      <w:r w:rsidR="004C54AC" w:rsidRPr="004C54AC">
        <w:rPr>
          <w:rFonts w:ascii="Arial" w:eastAsia="Arial" w:hAnsi="Arial" w:cs="Arial"/>
          <w:b/>
          <w:sz w:val="24"/>
          <w:szCs w:val="24"/>
        </w:rPr>
        <w:t>).</w:t>
      </w:r>
      <w:r w:rsidR="004C54AC">
        <w:rPr>
          <w:rFonts w:ascii="Arial" w:eastAsia="Arial" w:hAnsi="Arial" w:cs="Arial"/>
          <w:sz w:val="24"/>
          <w:szCs w:val="24"/>
        </w:rPr>
        <w:t xml:space="preserve"> </w:t>
      </w:r>
      <w:r w:rsidRPr="009070BA">
        <w:rPr>
          <w:rFonts w:ascii="Arial" w:eastAsia="Arial" w:hAnsi="Arial" w:cs="Arial"/>
          <w:sz w:val="24"/>
          <w:szCs w:val="24"/>
        </w:rPr>
        <w:t>The China Health and Retirement Longitudinal Study (CHARLS) is a longitudinal study of individuals over age 45 in China. Version D incorporates the latest released version of CHARLS data, and adds variables for Wave 4. It contains 25,586 observations or rows. It is a Respondent-level file so each row represents a unique Respondent; The sample population was selected as part of a stratified, multistage probability design. We will use Wave 3. As we concentrate on ages 50 and above due to the other samples we do not include individuals younger than 50. This leaves us with a sample size of 16,344 individuals.</w:t>
      </w:r>
    </w:p>
    <w:p w14:paraId="2BC8F7B1" w14:textId="77777777" w:rsidR="009070BA" w:rsidRPr="009070BA" w:rsidRDefault="009070BA" w:rsidP="009070BA">
      <w:pPr>
        <w:spacing w:line="360" w:lineRule="auto"/>
        <w:jc w:val="both"/>
        <w:rPr>
          <w:rFonts w:ascii="Arial" w:eastAsia="Arial" w:hAnsi="Arial" w:cs="Arial"/>
          <w:sz w:val="24"/>
          <w:szCs w:val="24"/>
        </w:rPr>
      </w:pPr>
    </w:p>
    <w:p w14:paraId="58D644F9" w14:textId="579B97AD" w:rsidR="009070BA" w:rsidRPr="009070BA" w:rsidRDefault="009070BA" w:rsidP="009070BA">
      <w:pPr>
        <w:spacing w:line="360" w:lineRule="auto"/>
        <w:jc w:val="both"/>
        <w:rPr>
          <w:rFonts w:ascii="Arial" w:eastAsia="Arial" w:hAnsi="Arial" w:cs="Arial"/>
          <w:sz w:val="24"/>
          <w:szCs w:val="24"/>
        </w:rPr>
      </w:pPr>
      <w:r w:rsidRPr="00BA6CC5">
        <w:rPr>
          <w:rFonts w:ascii="Arial" w:eastAsia="Arial" w:hAnsi="Arial" w:cs="Arial"/>
          <w:b/>
          <w:sz w:val="24"/>
          <w:szCs w:val="24"/>
        </w:rPr>
        <w:t>KLOSA- Korea</w:t>
      </w:r>
      <w:r w:rsidR="00BA6CC5" w:rsidRPr="00BA6CC5">
        <w:rPr>
          <w:rFonts w:ascii="Arial" w:eastAsia="Arial" w:hAnsi="Arial" w:cs="Arial"/>
          <w:b/>
          <w:sz w:val="24"/>
          <w:szCs w:val="24"/>
        </w:rPr>
        <w:t>.</w:t>
      </w:r>
      <w:r w:rsidR="00BA6CC5">
        <w:rPr>
          <w:rFonts w:ascii="Arial" w:eastAsia="Arial" w:hAnsi="Arial" w:cs="Arial"/>
          <w:sz w:val="24"/>
          <w:szCs w:val="24"/>
        </w:rPr>
        <w:t xml:space="preserve"> </w:t>
      </w:r>
      <w:r w:rsidRPr="009070BA">
        <w:rPr>
          <w:rFonts w:ascii="Arial" w:eastAsia="Arial" w:hAnsi="Arial" w:cs="Arial"/>
          <w:sz w:val="24"/>
          <w:szCs w:val="24"/>
        </w:rPr>
        <w:t>The Korean Longitudinal Study of Ageing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is a panel survey of people aged 45 and over and their partners, living in private households in Korea. The survey elicits information about demographics, income, assets, health, cognition, family structure and connections, health care use and costs, housing, job status and history, expectations, and insurance.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w:t>
      </w:r>
      <w:proofErr w:type="spellStart"/>
      <w:r w:rsidRPr="009070BA">
        <w:rPr>
          <w:rFonts w:ascii="Arial" w:eastAsia="Arial" w:hAnsi="Arial" w:cs="Arial"/>
          <w:sz w:val="24"/>
          <w:szCs w:val="24"/>
        </w:rPr>
        <w:t>surveys</w:t>
      </w:r>
      <w:proofErr w:type="spellEnd"/>
      <w:r w:rsidRPr="009070BA">
        <w:rPr>
          <w:rFonts w:ascii="Arial" w:eastAsia="Arial" w:hAnsi="Arial" w:cs="Arial"/>
          <w:sz w:val="24"/>
          <w:szCs w:val="24"/>
        </w:rPr>
        <w:t xml:space="preserve"> respondents every two years. Funded by the Korean Ministry of Labor, the Korean Institute of Labor (KLI) collected the first two waves, and the Korea Employment Information Service (KEIS) collected the Waves 3, 4, 5 and 6 of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with the first wave of the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survey being conducted in fall/winter of 2006. The sample population was selected as part of a stratified, multi-stage area probability design. The first component of this sampling framework is the probability proportional to size (PPS) systematic sampling of the 2005 (South Korean) Census enumeration districts after stratifying by the location (15 major metropolitan cities and provinces) and characteristic of the district (urban or rural, and apartment building or non-apartment dwelling). Households were selected within PSUs from a listing of households in the Census identified as age-eligible; that is, inhabited by at least one person 45 years of age and older. This initial sample included 10,254 respondents age 45 and over. The second wave was conducted in 2008 and had 8,688 respondents. The third wave was conducted in 2010 and had 7,920 respondents. The fourth wave was conducted in 2012 and had 7,486 respondents. There was no refresher sample in Waves two through four. In 2014, a refreshment sample of individuals born in 1962 or 1963 was drawn and it included 920 individuals, which were added to the 7,029 remaining core sample respondents for a total of 7,949 Wave 5 respondents. The sixth wave was conducted in 2016 and had 7,490 respondents. We will focus on Wave 5. However, because we focus on ages &gt;50, the sample is not 7,949. We use the </w:t>
      </w:r>
      <w:proofErr w:type="spellStart"/>
      <w:r w:rsidRPr="009070BA">
        <w:rPr>
          <w:rFonts w:ascii="Arial" w:eastAsia="Arial" w:hAnsi="Arial" w:cs="Arial"/>
          <w:sz w:val="24"/>
          <w:szCs w:val="24"/>
        </w:rPr>
        <w:lastRenderedPageBreak/>
        <w:t>hamornized</w:t>
      </w:r>
      <w:proofErr w:type="spellEnd"/>
      <w:r w:rsidRPr="009070BA">
        <w:rPr>
          <w:rFonts w:ascii="Arial" w:eastAsia="Arial" w:hAnsi="Arial" w:cs="Arial"/>
          <w:sz w:val="24"/>
          <w:szCs w:val="24"/>
        </w:rPr>
        <w:t xml:space="preserve"> Version C that contains 11,174 observations or rows. It is a Respondent-level file so each row represents a unique Respondent. </w:t>
      </w:r>
    </w:p>
    <w:p w14:paraId="2F20EB7C" w14:textId="77777777" w:rsidR="009070BA" w:rsidRPr="009070BA" w:rsidRDefault="009070BA" w:rsidP="009070BA">
      <w:pPr>
        <w:spacing w:line="360" w:lineRule="auto"/>
        <w:jc w:val="both"/>
        <w:rPr>
          <w:rFonts w:ascii="Arial" w:eastAsia="Arial" w:hAnsi="Arial" w:cs="Arial"/>
          <w:sz w:val="24"/>
          <w:szCs w:val="24"/>
        </w:rPr>
      </w:pPr>
    </w:p>
    <w:p w14:paraId="11184C37" w14:textId="77777777" w:rsidR="009070BA" w:rsidRDefault="009070BA" w:rsidP="00B30A51">
      <w:pPr>
        <w:spacing w:line="360" w:lineRule="auto"/>
        <w:jc w:val="both"/>
        <w:rPr>
          <w:rFonts w:ascii="Arial" w:eastAsia="Arial" w:hAnsi="Arial" w:cs="Arial"/>
          <w:sz w:val="24"/>
          <w:szCs w:val="24"/>
        </w:rPr>
      </w:pPr>
    </w:p>
    <w:p w14:paraId="7B8778D4" w14:textId="77777777" w:rsidR="00C31D80" w:rsidRDefault="00C31D80" w:rsidP="00B30A51">
      <w:pPr>
        <w:spacing w:line="360" w:lineRule="auto"/>
        <w:jc w:val="both"/>
        <w:rPr>
          <w:rFonts w:ascii="Arial" w:eastAsia="Arial" w:hAnsi="Arial" w:cs="Arial"/>
          <w:sz w:val="24"/>
          <w:szCs w:val="24"/>
        </w:rPr>
      </w:pPr>
    </w:p>
    <w:p w14:paraId="735262D0" w14:textId="77777777" w:rsidR="005A1DD2" w:rsidRPr="00DC623A" w:rsidRDefault="005A1DD2" w:rsidP="005A1DD2">
      <w:pPr>
        <w:pStyle w:val="SMcaption"/>
        <w:rPr>
          <w:rFonts w:ascii="Arial" w:hAnsi="Arial" w:cs="Arial"/>
          <w:sz w:val="20"/>
        </w:rPr>
      </w:pPr>
      <w:r>
        <w:rPr>
          <w:rFonts w:ascii="Arial" w:hAnsi="Arial" w:cs="Arial"/>
          <w:noProof/>
          <w:sz w:val="20"/>
        </w:rPr>
        <w:drawing>
          <wp:inline distT="0" distB="0" distL="0" distR="0" wp14:anchorId="050DFD0A" wp14:editId="51895863">
            <wp:extent cx="6145642" cy="471450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v_adl_cron_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6630" cy="4722933"/>
                    </a:xfrm>
                    <a:prstGeom prst="rect">
                      <a:avLst/>
                    </a:prstGeom>
                  </pic:spPr>
                </pic:pic>
              </a:graphicData>
            </a:graphic>
          </wp:inline>
        </w:drawing>
      </w:r>
    </w:p>
    <w:p w14:paraId="7514860E" w14:textId="16259AE0" w:rsidR="00EA3E03" w:rsidRDefault="005A1DD2" w:rsidP="00B30A51">
      <w:pPr>
        <w:spacing w:line="360" w:lineRule="auto"/>
        <w:jc w:val="both"/>
        <w:rPr>
          <w:rFonts w:ascii="Arial" w:eastAsia="Arial" w:hAnsi="Arial" w:cs="Arial"/>
          <w:sz w:val="24"/>
          <w:szCs w:val="24"/>
        </w:rPr>
      </w:pPr>
      <w:r>
        <w:rPr>
          <w:rFonts w:ascii="Arial" w:eastAsia="Arial" w:hAnsi="Arial" w:cs="Arial"/>
          <w:sz w:val="24"/>
          <w:szCs w:val="24"/>
        </w:rPr>
        <w:t xml:space="preserve">Fig S1. </w:t>
      </w:r>
      <w:r w:rsidR="00CC2752">
        <w:rPr>
          <w:rFonts w:ascii="Arial" w:eastAsia="Arial" w:hAnsi="Arial" w:cs="Arial"/>
          <w:sz w:val="24"/>
          <w:szCs w:val="24"/>
        </w:rPr>
        <w:t>All health conditions</w:t>
      </w:r>
      <w:r w:rsidR="00C05481">
        <w:rPr>
          <w:rFonts w:ascii="Arial" w:eastAsia="Arial" w:hAnsi="Arial" w:cs="Arial"/>
          <w:sz w:val="24"/>
          <w:szCs w:val="24"/>
        </w:rPr>
        <w:t xml:space="preserve"> for all countries for women and men</w:t>
      </w:r>
    </w:p>
    <w:p w14:paraId="4A9ECBA6" w14:textId="48F77433" w:rsidR="006B639E" w:rsidRDefault="006B639E" w:rsidP="00B30A51">
      <w:pPr>
        <w:spacing w:line="360" w:lineRule="auto"/>
        <w:jc w:val="both"/>
        <w:rPr>
          <w:rFonts w:ascii="Arial" w:eastAsia="Arial" w:hAnsi="Arial" w:cs="Arial"/>
          <w:sz w:val="24"/>
          <w:szCs w:val="24"/>
        </w:rPr>
      </w:pPr>
    </w:p>
    <w:p w14:paraId="58319AA6" w14:textId="0206AF25" w:rsidR="006B639E" w:rsidRDefault="006B639E" w:rsidP="00B30A51">
      <w:pPr>
        <w:spacing w:line="360" w:lineRule="auto"/>
        <w:jc w:val="both"/>
        <w:rPr>
          <w:rFonts w:ascii="Arial" w:eastAsia="Arial" w:hAnsi="Arial" w:cs="Arial"/>
          <w:sz w:val="24"/>
          <w:szCs w:val="24"/>
        </w:rPr>
      </w:pPr>
    </w:p>
    <w:p w14:paraId="5579D3F0" w14:textId="3DC4928E" w:rsidR="006B639E" w:rsidRDefault="006B639E" w:rsidP="00B30A51">
      <w:pPr>
        <w:spacing w:line="360" w:lineRule="auto"/>
        <w:jc w:val="both"/>
        <w:rPr>
          <w:rFonts w:ascii="Arial" w:eastAsia="Arial" w:hAnsi="Arial" w:cs="Arial"/>
          <w:sz w:val="24"/>
          <w:szCs w:val="24"/>
        </w:rPr>
      </w:pPr>
    </w:p>
    <w:p w14:paraId="39371F70" w14:textId="12BDDAF7" w:rsidR="006B639E" w:rsidRDefault="006B639E" w:rsidP="00B30A51">
      <w:pPr>
        <w:spacing w:line="360" w:lineRule="auto"/>
        <w:jc w:val="both"/>
        <w:rPr>
          <w:rFonts w:ascii="Arial" w:eastAsia="Arial" w:hAnsi="Arial" w:cs="Arial"/>
          <w:sz w:val="24"/>
          <w:szCs w:val="24"/>
        </w:rPr>
      </w:pPr>
    </w:p>
    <w:p w14:paraId="1427BD2E" w14:textId="53914CA6" w:rsidR="006B639E" w:rsidRDefault="006B639E" w:rsidP="00B30A51">
      <w:pPr>
        <w:spacing w:line="360" w:lineRule="auto"/>
        <w:jc w:val="both"/>
        <w:rPr>
          <w:rFonts w:ascii="Arial" w:eastAsia="Arial" w:hAnsi="Arial" w:cs="Arial"/>
          <w:sz w:val="24"/>
          <w:szCs w:val="24"/>
        </w:rPr>
      </w:pPr>
    </w:p>
    <w:p w14:paraId="2AE674D6" w14:textId="77777777" w:rsidR="006B639E" w:rsidRDefault="006B639E" w:rsidP="006B639E">
      <w:pPr>
        <w:pStyle w:val="SMHeading"/>
        <w:rPr>
          <w:rFonts w:ascii="Arial" w:hAnsi="Arial" w:cs="Arial"/>
          <w:sz w:val="20"/>
          <w:szCs w:val="20"/>
        </w:rPr>
      </w:pPr>
      <w:r>
        <w:rPr>
          <w:rFonts w:ascii="Arial" w:hAnsi="Arial" w:cs="Arial"/>
          <w:noProof/>
          <w:sz w:val="20"/>
          <w:szCs w:val="20"/>
        </w:rPr>
        <w:drawing>
          <wp:inline distT="0" distB="0" distL="0" distR="0" wp14:anchorId="2A728B21" wp14:editId="296182A2">
            <wp:extent cx="6024028" cy="662643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prev_a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26707" cy="6629378"/>
                    </a:xfrm>
                    <a:prstGeom prst="rect">
                      <a:avLst/>
                    </a:prstGeom>
                  </pic:spPr>
                </pic:pic>
              </a:graphicData>
            </a:graphic>
          </wp:inline>
        </w:drawing>
      </w:r>
    </w:p>
    <w:p w14:paraId="661CF08F" w14:textId="77777777" w:rsidR="006B639E" w:rsidRDefault="006B639E" w:rsidP="006B639E">
      <w:pPr>
        <w:pStyle w:val="SMHeading"/>
        <w:rPr>
          <w:rFonts w:ascii="Arial" w:hAnsi="Arial" w:cs="Arial"/>
          <w:sz w:val="20"/>
          <w:szCs w:val="20"/>
        </w:rPr>
      </w:pPr>
    </w:p>
    <w:p w14:paraId="2C56D079" w14:textId="32176389" w:rsidR="00FE6226" w:rsidRDefault="006B639E" w:rsidP="00B30A51">
      <w:pPr>
        <w:spacing w:line="360" w:lineRule="auto"/>
        <w:jc w:val="both"/>
        <w:rPr>
          <w:rFonts w:ascii="Arial" w:eastAsia="Arial" w:hAnsi="Arial" w:cs="Arial"/>
          <w:sz w:val="24"/>
          <w:szCs w:val="24"/>
        </w:rPr>
      </w:pPr>
      <w:r>
        <w:rPr>
          <w:rFonts w:ascii="Arial" w:eastAsia="Arial" w:hAnsi="Arial" w:cs="Arial"/>
          <w:sz w:val="24"/>
          <w:szCs w:val="24"/>
        </w:rPr>
        <w:t xml:space="preserve">Fig S2. </w:t>
      </w:r>
      <w:r w:rsidR="00CC2752">
        <w:rPr>
          <w:rFonts w:ascii="Arial" w:eastAsia="Arial" w:hAnsi="Arial" w:cs="Arial"/>
          <w:sz w:val="24"/>
          <w:szCs w:val="24"/>
        </w:rPr>
        <w:t>Heatmap with health conditions for all countries for women and men</w:t>
      </w:r>
    </w:p>
    <w:p w14:paraId="143F6600" w14:textId="5F38C260" w:rsidR="00FE6226" w:rsidRDefault="00FE6226" w:rsidP="00B30A51">
      <w:pPr>
        <w:spacing w:line="360" w:lineRule="auto"/>
        <w:jc w:val="both"/>
        <w:rPr>
          <w:rFonts w:ascii="Arial" w:eastAsia="Arial" w:hAnsi="Arial" w:cs="Arial"/>
          <w:sz w:val="24"/>
          <w:szCs w:val="24"/>
        </w:rPr>
      </w:pPr>
    </w:p>
    <w:p w14:paraId="5F4C71BA" w14:textId="3AF7DDED" w:rsidR="00FE6226" w:rsidRDefault="00FE6226" w:rsidP="00CC2752">
      <w:pPr>
        <w:pStyle w:val="SMcaption"/>
        <w:jc w:val="center"/>
        <w:rPr>
          <w:rFonts w:ascii="Arial" w:hAnsi="Arial" w:cs="Arial"/>
          <w:sz w:val="20"/>
        </w:rPr>
      </w:pPr>
      <w:r>
        <w:rPr>
          <w:rFonts w:ascii="Arial" w:hAnsi="Arial" w:cs="Arial"/>
          <w:noProof/>
          <w:sz w:val="20"/>
        </w:rPr>
        <w:drawing>
          <wp:inline distT="0" distB="0" distL="0" distR="0" wp14:anchorId="39B01191" wp14:editId="329EBD05">
            <wp:extent cx="4824188" cy="69169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r_health_mort_gap.png"/>
                    <pic:cNvPicPr/>
                  </pic:nvPicPr>
                  <pic:blipFill>
                    <a:blip r:embed="rId22">
                      <a:extLst>
                        <a:ext uri="{28A0092B-C50C-407E-A947-70E740481C1C}">
                          <a14:useLocalDpi xmlns:a14="http://schemas.microsoft.com/office/drawing/2010/main" val="0"/>
                        </a:ext>
                      </a:extLst>
                    </a:blip>
                    <a:stretch>
                      <a:fillRect/>
                    </a:stretch>
                  </pic:blipFill>
                  <pic:spPr>
                    <a:xfrm>
                      <a:off x="0" y="0"/>
                      <a:ext cx="4835584" cy="6933243"/>
                    </a:xfrm>
                    <a:prstGeom prst="rect">
                      <a:avLst/>
                    </a:prstGeom>
                  </pic:spPr>
                </pic:pic>
              </a:graphicData>
            </a:graphic>
          </wp:inline>
        </w:drawing>
      </w:r>
    </w:p>
    <w:p w14:paraId="0732297A" w14:textId="77777777" w:rsidR="00242915" w:rsidRDefault="00242915" w:rsidP="00242915">
      <w:pPr>
        <w:pStyle w:val="SMcaption"/>
        <w:rPr>
          <w:rFonts w:ascii="Arial" w:hAnsi="Arial" w:cs="Arial"/>
          <w:sz w:val="20"/>
        </w:rPr>
      </w:pPr>
    </w:p>
    <w:p w14:paraId="12B3CDD5" w14:textId="3B4321DC" w:rsidR="00FE6226" w:rsidRDefault="00FE6226" w:rsidP="00242915">
      <w:pPr>
        <w:pStyle w:val="SMcaption"/>
        <w:rPr>
          <w:rFonts w:ascii="Arial" w:hAnsi="Arial" w:cs="Arial"/>
          <w:sz w:val="20"/>
        </w:rPr>
        <w:sectPr w:rsidR="00FE6226" w:rsidSect="00F23F19">
          <w:headerReference w:type="default" r:id="rId23"/>
          <w:footerReference w:type="default" r:id="rId24"/>
          <w:pgSz w:w="12240" w:h="15840"/>
          <w:pgMar w:top="1440" w:right="1080" w:bottom="1440" w:left="1080" w:header="720" w:footer="720" w:gutter="0"/>
          <w:pgNumType w:start="1"/>
          <w:cols w:space="720"/>
          <w:docGrid w:linePitch="360"/>
        </w:sectPr>
      </w:pPr>
      <w:r>
        <w:rPr>
          <w:rFonts w:ascii="Arial" w:hAnsi="Arial" w:cs="Arial"/>
          <w:sz w:val="20"/>
        </w:rPr>
        <w:t>Fig S3</w:t>
      </w:r>
      <w:r w:rsidR="00242915">
        <w:rPr>
          <w:rFonts w:ascii="Arial" w:hAnsi="Arial" w:cs="Arial"/>
          <w:sz w:val="20"/>
        </w:rPr>
        <w:t xml:space="preserve"> The contribution </w:t>
      </w:r>
      <w:proofErr w:type="gramStart"/>
      <w:r w:rsidR="00242915">
        <w:rPr>
          <w:rFonts w:ascii="Arial" w:hAnsi="Arial" w:cs="Arial"/>
          <w:sz w:val="20"/>
        </w:rPr>
        <w:t>of  each</w:t>
      </w:r>
      <w:proofErr w:type="gramEnd"/>
      <w:r w:rsidR="00242915">
        <w:rPr>
          <w:rFonts w:ascii="Arial" w:hAnsi="Arial" w:cs="Arial"/>
          <w:sz w:val="20"/>
        </w:rPr>
        <w:t xml:space="preserve"> type of health component to the gender gap.</w:t>
      </w:r>
    </w:p>
    <w:p w14:paraId="4D0A824F" w14:textId="0D292360" w:rsidR="00FE6226" w:rsidRDefault="00FE6226" w:rsidP="00FE6226">
      <w:pPr>
        <w:pStyle w:val="SMHeading"/>
        <w:rPr>
          <w:rFonts w:ascii="Arial" w:hAnsi="Arial" w:cs="Arial"/>
          <w:sz w:val="20"/>
          <w:szCs w:val="20"/>
        </w:rPr>
      </w:pPr>
      <w:r>
        <w:rPr>
          <w:rFonts w:ascii="Arial" w:hAnsi="Arial" w:cs="Arial"/>
          <w:sz w:val="20"/>
          <w:szCs w:val="20"/>
        </w:rPr>
        <w:lastRenderedPageBreak/>
        <w:t xml:space="preserve">Table S1 </w:t>
      </w:r>
      <w:r w:rsidR="005D579A">
        <w:rPr>
          <w:rFonts w:ascii="Arial" w:hAnsi="Arial" w:cs="Arial"/>
          <w:sz w:val="20"/>
          <w:szCs w:val="20"/>
        </w:rPr>
        <w:t>Sample Characteristics and sample tests for different characteristics for women and men separately, weighted.</w:t>
      </w:r>
    </w:p>
    <w:p w14:paraId="7908CD7D" w14:textId="06B0F097" w:rsidR="00FE6226" w:rsidRPr="00A03415" w:rsidRDefault="00FE6226" w:rsidP="00FE6226">
      <w:pPr>
        <w:pStyle w:val="SMHeading"/>
        <w:rPr>
          <w:rFonts w:ascii="Arial" w:hAnsi="Arial" w:cs="Arial"/>
          <w:sz w:val="20"/>
          <w:szCs w:val="20"/>
        </w:rPr>
        <w:sectPr w:rsidR="00FE6226" w:rsidRPr="00A03415" w:rsidSect="00E33190">
          <w:pgSz w:w="15840" w:h="12240" w:orient="landscape"/>
          <w:pgMar w:top="1800" w:right="1440" w:bottom="1800" w:left="1440" w:header="720" w:footer="720" w:gutter="0"/>
          <w:pgNumType w:start="1"/>
          <w:cols w:space="720"/>
          <w:docGrid w:linePitch="360"/>
        </w:sectPr>
      </w:pPr>
      <w:r>
        <w:object w:dxaOrig="16989" w:dyaOrig="9705" w14:anchorId="678E7E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9.95pt;height:395.35pt" o:ole="">
            <v:imagedata r:id="rId25" o:title=""/>
          </v:shape>
          <o:OLEObject Type="Embed" ProgID="Excel.Sheet.12" ShapeID="_x0000_i1025" DrawAspect="Content" ObjectID="_1748932242" r:id="rId26"/>
        </w:object>
      </w:r>
    </w:p>
    <w:p w14:paraId="026D74C1" w14:textId="281998FA" w:rsidR="0009777F" w:rsidRDefault="0009777F" w:rsidP="0009777F">
      <w:pPr>
        <w:rPr>
          <w:rFonts w:ascii="Arial" w:hAnsi="Arial" w:cs="Arial"/>
          <w:b/>
          <w:bCs/>
          <w:sz w:val="24"/>
          <w:szCs w:val="24"/>
        </w:rPr>
      </w:pPr>
      <w:r w:rsidRPr="003F6C37">
        <w:rPr>
          <w:rFonts w:ascii="Arial" w:hAnsi="Arial" w:cs="Arial"/>
          <w:b/>
          <w:bCs/>
          <w:sz w:val="24"/>
          <w:szCs w:val="24"/>
        </w:rPr>
        <w:lastRenderedPageBreak/>
        <w:t>Country-Specific Figures</w:t>
      </w:r>
      <w:r>
        <w:rPr>
          <w:rFonts w:ascii="Arial" w:hAnsi="Arial" w:cs="Arial"/>
          <w:b/>
          <w:bCs/>
          <w:sz w:val="24"/>
          <w:szCs w:val="24"/>
        </w:rPr>
        <w:t xml:space="preserve"> for health conditions</w:t>
      </w:r>
    </w:p>
    <w:p w14:paraId="790E898E" w14:textId="3BE4CBE1" w:rsidR="0009777F" w:rsidRDefault="0009777F" w:rsidP="0009777F">
      <w:pPr>
        <w:rPr>
          <w:rFonts w:ascii="Arial" w:hAnsi="Arial" w:cs="Arial"/>
          <w:b/>
          <w:bCs/>
          <w:sz w:val="24"/>
          <w:szCs w:val="24"/>
        </w:rPr>
      </w:pPr>
      <w:r>
        <w:rPr>
          <w:rFonts w:ascii="Arial" w:hAnsi="Arial" w:cs="Arial"/>
          <w:b/>
          <w:bCs/>
          <w:sz w:val="24"/>
          <w:szCs w:val="24"/>
        </w:rPr>
        <w:t>HRS</w:t>
      </w:r>
    </w:p>
    <w:p w14:paraId="536E58BE" w14:textId="629D1452" w:rsidR="0009777F" w:rsidRDefault="0009777F" w:rsidP="0009777F">
      <w:pPr>
        <w:rPr>
          <w:rFonts w:ascii="Arial" w:hAnsi="Arial" w:cs="Arial"/>
          <w:b/>
          <w:bCs/>
          <w:sz w:val="24"/>
          <w:szCs w:val="24"/>
        </w:rPr>
      </w:pPr>
      <w:r>
        <w:rPr>
          <w:rFonts w:ascii="Arial" w:hAnsi="Arial" w:cs="Arial"/>
          <w:noProof/>
          <w:sz w:val="24"/>
          <w:szCs w:val="24"/>
        </w:rPr>
        <w:drawing>
          <wp:inline distT="0" distB="0" distL="0" distR="0" wp14:anchorId="49CBBAD2" wp14:editId="201BB936">
            <wp:extent cx="6190615" cy="619061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0615" cy="6190615"/>
                    </a:xfrm>
                    <a:prstGeom prst="rect">
                      <a:avLst/>
                    </a:prstGeom>
                  </pic:spPr>
                </pic:pic>
              </a:graphicData>
            </a:graphic>
          </wp:inline>
        </w:drawing>
      </w:r>
    </w:p>
    <w:p w14:paraId="3F218779" w14:textId="78F13BF6" w:rsidR="0009777F" w:rsidRDefault="0009777F" w:rsidP="0009777F">
      <w:pPr>
        <w:rPr>
          <w:rFonts w:ascii="Arial" w:hAnsi="Arial" w:cs="Arial"/>
          <w:b/>
          <w:bCs/>
          <w:sz w:val="24"/>
          <w:szCs w:val="24"/>
        </w:rPr>
      </w:pPr>
    </w:p>
    <w:p w14:paraId="5996344B" w14:textId="7260F8AF" w:rsidR="0009777F" w:rsidRDefault="0009777F" w:rsidP="0009777F">
      <w:pPr>
        <w:rPr>
          <w:rFonts w:ascii="Arial" w:hAnsi="Arial" w:cs="Arial"/>
          <w:b/>
          <w:bCs/>
          <w:sz w:val="24"/>
          <w:szCs w:val="24"/>
        </w:rPr>
      </w:pPr>
    </w:p>
    <w:p w14:paraId="0D3150CE" w14:textId="37F5B2CC" w:rsidR="0009777F" w:rsidRDefault="0009777F" w:rsidP="0009777F">
      <w:pPr>
        <w:rPr>
          <w:rFonts w:ascii="Arial" w:hAnsi="Arial" w:cs="Arial"/>
          <w:b/>
          <w:bCs/>
          <w:sz w:val="24"/>
          <w:szCs w:val="24"/>
        </w:rPr>
      </w:pPr>
    </w:p>
    <w:p w14:paraId="67D90C48" w14:textId="0CB90DA3" w:rsidR="0009777F" w:rsidRDefault="0009777F" w:rsidP="0009777F">
      <w:pPr>
        <w:rPr>
          <w:rFonts w:ascii="Arial" w:hAnsi="Arial" w:cs="Arial"/>
          <w:b/>
          <w:bCs/>
          <w:sz w:val="24"/>
          <w:szCs w:val="24"/>
        </w:rPr>
      </w:pPr>
    </w:p>
    <w:p w14:paraId="324CD3C6" w14:textId="1016040B" w:rsidR="0009777F" w:rsidRDefault="0009777F" w:rsidP="0009777F">
      <w:pPr>
        <w:rPr>
          <w:rFonts w:ascii="Arial" w:hAnsi="Arial" w:cs="Arial"/>
          <w:b/>
          <w:bCs/>
          <w:sz w:val="24"/>
          <w:szCs w:val="24"/>
        </w:rPr>
      </w:pPr>
    </w:p>
    <w:p w14:paraId="6E1ED442" w14:textId="77777777" w:rsidR="0009777F" w:rsidRDefault="0009777F" w:rsidP="0009777F">
      <w:pPr>
        <w:rPr>
          <w:rFonts w:ascii="Arial" w:hAnsi="Arial" w:cs="Arial"/>
          <w:sz w:val="24"/>
          <w:szCs w:val="24"/>
        </w:rPr>
      </w:pPr>
      <w:r>
        <w:rPr>
          <w:rFonts w:ascii="Arial" w:hAnsi="Arial" w:cs="Arial"/>
          <w:sz w:val="24"/>
          <w:szCs w:val="24"/>
        </w:rPr>
        <w:lastRenderedPageBreak/>
        <w:t>ELSA</w:t>
      </w:r>
    </w:p>
    <w:p w14:paraId="37A5C90D" w14:textId="32F97254" w:rsidR="0009777F" w:rsidRDefault="0009777F" w:rsidP="0009777F">
      <w:pPr>
        <w:rPr>
          <w:rFonts w:ascii="Arial" w:hAnsi="Arial" w:cs="Arial"/>
          <w:b/>
          <w:bCs/>
          <w:sz w:val="24"/>
          <w:szCs w:val="24"/>
        </w:rPr>
      </w:pPr>
      <w:r>
        <w:rPr>
          <w:rFonts w:ascii="Arial" w:hAnsi="Arial" w:cs="Arial"/>
          <w:noProof/>
          <w:sz w:val="24"/>
          <w:szCs w:val="24"/>
        </w:rPr>
        <w:drawing>
          <wp:inline distT="0" distB="0" distL="0" distR="0" wp14:anchorId="26A3C05C" wp14:editId="73173F1B">
            <wp:extent cx="6159261" cy="6159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66910" cy="6166910"/>
                    </a:xfrm>
                    <a:prstGeom prst="rect">
                      <a:avLst/>
                    </a:prstGeom>
                  </pic:spPr>
                </pic:pic>
              </a:graphicData>
            </a:graphic>
          </wp:inline>
        </w:drawing>
      </w:r>
    </w:p>
    <w:p w14:paraId="1F85B571" w14:textId="5DDCE169" w:rsidR="00FE6226" w:rsidRDefault="00FE6226" w:rsidP="00E523E1">
      <w:pPr>
        <w:spacing w:line="360" w:lineRule="auto"/>
        <w:jc w:val="both"/>
        <w:rPr>
          <w:rFonts w:ascii="Arial" w:eastAsia="Arial" w:hAnsi="Arial" w:cs="Arial"/>
          <w:sz w:val="24"/>
          <w:szCs w:val="24"/>
        </w:rPr>
      </w:pPr>
    </w:p>
    <w:p w14:paraId="7DC05F45" w14:textId="5813CA02" w:rsidR="0009777F" w:rsidRDefault="0009777F" w:rsidP="00E523E1">
      <w:pPr>
        <w:spacing w:line="360" w:lineRule="auto"/>
        <w:jc w:val="both"/>
        <w:rPr>
          <w:rFonts w:ascii="Arial" w:eastAsia="Arial" w:hAnsi="Arial" w:cs="Arial"/>
          <w:sz w:val="24"/>
          <w:szCs w:val="24"/>
        </w:rPr>
      </w:pPr>
    </w:p>
    <w:p w14:paraId="0A3996F5" w14:textId="5E60DB84" w:rsidR="0009777F" w:rsidRDefault="0009777F" w:rsidP="00E523E1">
      <w:pPr>
        <w:spacing w:line="360" w:lineRule="auto"/>
        <w:jc w:val="both"/>
        <w:rPr>
          <w:rFonts w:ascii="Arial" w:eastAsia="Arial" w:hAnsi="Arial" w:cs="Arial"/>
          <w:sz w:val="24"/>
          <w:szCs w:val="24"/>
        </w:rPr>
      </w:pPr>
    </w:p>
    <w:p w14:paraId="44D23EBB" w14:textId="50BD555D" w:rsidR="0009777F" w:rsidRDefault="0009777F" w:rsidP="00E523E1">
      <w:pPr>
        <w:spacing w:line="360" w:lineRule="auto"/>
        <w:jc w:val="both"/>
        <w:rPr>
          <w:rFonts w:ascii="Arial" w:eastAsia="Arial" w:hAnsi="Arial" w:cs="Arial"/>
          <w:sz w:val="24"/>
          <w:szCs w:val="24"/>
        </w:rPr>
      </w:pPr>
    </w:p>
    <w:p w14:paraId="0A80AAED" w14:textId="052A0D49" w:rsidR="0009777F" w:rsidRDefault="0009777F" w:rsidP="00E523E1">
      <w:pPr>
        <w:spacing w:line="360" w:lineRule="auto"/>
        <w:jc w:val="both"/>
        <w:rPr>
          <w:rFonts w:ascii="Arial" w:eastAsia="Arial" w:hAnsi="Arial" w:cs="Arial"/>
          <w:sz w:val="24"/>
          <w:szCs w:val="24"/>
        </w:rPr>
      </w:pPr>
    </w:p>
    <w:p w14:paraId="308FD6B4" w14:textId="77777777" w:rsidR="0009777F" w:rsidRDefault="0009777F" w:rsidP="0009777F">
      <w:pPr>
        <w:rPr>
          <w:rFonts w:ascii="Arial" w:hAnsi="Arial" w:cs="Arial"/>
          <w:sz w:val="24"/>
          <w:szCs w:val="24"/>
        </w:rPr>
      </w:pPr>
      <w:r>
        <w:rPr>
          <w:rFonts w:ascii="Arial" w:hAnsi="Arial" w:cs="Arial"/>
          <w:sz w:val="24"/>
          <w:szCs w:val="24"/>
        </w:rPr>
        <w:lastRenderedPageBreak/>
        <w:t>KLOSA</w:t>
      </w:r>
      <w:r>
        <w:rPr>
          <w:rFonts w:ascii="Arial" w:hAnsi="Arial" w:cs="Arial"/>
          <w:noProof/>
          <w:sz w:val="24"/>
          <w:szCs w:val="24"/>
        </w:rPr>
        <w:drawing>
          <wp:inline distT="0" distB="0" distL="0" distR="0" wp14:anchorId="192C8A7D" wp14:editId="5CC9A1BE">
            <wp:extent cx="6400800" cy="640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2429" cy="6402429"/>
                    </a:xfrm>
                    <a:prstGeom prst="rect">
                      <a:avLst/>
                    </a:prstGeom>
                  </pic:spPr>
                </pic:pic>
              </a:graphicData>
            </a:graphic>
          </wp:inline>
        </w:drawing>
      </w:r>
    </w:p>
    <w:p w14:paraId="368958CD" w14:textId="3E4EE90A" w:rsidR="0009777F" w:rsidRDefault="0009777F" w:rsidP="00E523E1">
      <w:pPr>
        <w:spacing w:line="360" w:lineRule="auto"/>
        <w:jc w:val="both"/>
        <w:rPr>
          <w:rFonts w:ascii="Arial" w:eastAsia="Arial" w:hAnsi="Arial" w:cs="Arial"/>
          <w:sz w:val="24"/>
          <w:szCs w:val="24"/>
        </w:rPr>
      </w:pPr>
    </w:p>
    <w:p w14:paraId="744EF780" w14:textId="1479E5A9" w:rsidR="0009777F" w:rsidRDefault="0009777F" w:rsidP="00E523E1">
      <w:pPr>
        <w:spacing w:line="360" w:lineRule="auto"/>
        <w:jc w:val="both"/>
        <w:rPr>
          <w:rFonts w:ascii="Arial" w:eastAsia="Arial" w:hAnsi="Arial" w:cs="Arial"/>
          <w:sz w:val="24"/>
          <w:szCs w:val="24"/>
        </w:rPr>
      </w:pPr>
    </w:p>
    <w:p w14:paraId="236C3720" w14:textId="098B78FB" w:rsidR="0009777F" w:rsidRDefault="0009777F" w:rsidP="00E523E1">
      <w:pPr>
        <w:spacing w:line="360" w:lineRule="auto"/>
        <w:jc w:val="both"/>
        <w:rPr>
          <w:rFonts w:ascii="Arial" w:eastAsia="Arial" w:hAnsi="Arial" w:cs="Arial"/>
          <w:sz w:val="24"/>
          <w:szCs w:val="24"/>
        </w:rPr>
      </w:pPr>
    </w:p>
    <w:p w14:paraId="46ACEB0F" w14:textId="72C268ED" w:rsidR="0009777F" w:rsidRDefault="0009777F" w:rsidP="00E523E1">
      <w:pPr>
        <w:spacing w:line="360" w:lineRule="auto"/>
        <w:jc w:val="both"/>
        <w:rPr>
          <w:rFonts w:ascii="Arial" w:eastAsia="Arial" w:hAnsi="Arial" w:cs="Arial"/>
          <w:sz w:val="24"/>
          <w:szCs w:val="24"/>
        </w:rPr>
      </w:pPr>
    </w:p>
    <w:p w14:paraId="27403B11" w14:textId="6626D576" w:rsidR="0009777F" w:rsidRDefault="0009777F" w:rsidP="00E523E1">
      <w:pPr>
        <w:spacing w:line="360" w:lineRule="auto"/>
        <w:jc w:val="both"/>
        <w:rPr>
          <w:rFonts w:ascii="Arial" w:eastAsia="Arial" w:hAnsi="Arial" w:cs="Arial"/>
          <w:sz w:val="24"/>
          <w:szCs w:val="24"/>
        </w:rPr>
      </w:pPr>
    </w:p>
    <w:p w14:paraId="3D3F0AE8" w14:textId="77777777" w:rsidR="0009777F" w:rsidRDefault="0009777F" w:rsidP="0009777F">
      <w:pPr>
        <w:rPr>
          <w:rFonts w:ascii="Arial" w:hAnsi="Arial" w:cs="Arial"/>
          <w:sz w:val="24"/>
          <w:szCs w:val="24"/>
        </w:rPr>
      </w:pPr>
      <w:r>
        <w:rPr>
          <w:rFonts w:ascii="Arial" w:hAnsi="Arial" w:cs="Arial"/>
          <w:sz w:val="24"/>
          <w:szCs w:val="24"/>
        </w:rPr>
        <w:lastRenderedPageBreak/>
        <w:t>India- LASI</w:t>
      </w:r>
    </w:p>
    <w:p w14:paraId="369231A9" w14:textId="77777777" w:rsidR="0009777F" w:rsidRDefault="0009777F" w:rsidP="0009777F">
      <w:pPr>
        <w:rPr>
          <w:rFonts w:ascii="Arial" w:hAnsi="Arial" w:cs="Arial"/>
          <w:sz w:val="24"/>
          <w:szCs w:val="24"/>
        </w:rPr>
      </w:pPr>
      <w:r>
        <w:rPr>
          <w:rFonts w:ascii="Arial" w:hAnsi="Arial" w:cs="Arial"/>
          <w:noProof/>
          <w:sz w:val="24"/>
          <w:szCs w:val="24"/>
        </w:rPr>
        <w:drawing>
          <wp:inline distT="0" distB="0" distL="0" distR="0" wp14:anchorId="7A253D12" wp14:editId="01A4C2DF">
            <wp:extent cx="6512944" cy="651294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17254" cy="6517254"/>
                    </a:xfrm>
                    <a:prstGeom prst="rect">
                      <a:avLst/>
                    </a:prstGeom>
                  </pic:spPr>
                </pic:pic>
              </a:graphicData>
            </a:graphic>
          </wp:inline>
        </w:drawing>
      </w:r>
    </w:p>
    <w:p w14:paraId="2187EFE5" w14:textId="77777777" w:rsidR="0009777F" w:rsidRDefault="0009777F" w:rsidP="0009777F">
      <w:pPr>
        <w:rPr>
          <w:rFonts w:ascii="Arial" w:hAnsi="Arial" w:cs="Arial"/>
          <w:sz w:val="24"/>
          <w:szCs w:val="24"/>
        </w:rPr>
      </w:pPr>
    </w:p>
    <w:p w14:paraId="770AF350" w14:textId="77777777" w:rsidR="0009777F" w:rsidRDefault="0009777F" w:rsidP="0009777F">
      <w:pPr>
        <w:rPr>
          <w:rFonts w:ascii="Arial" w:hAnsi="Arial" w:cs="Arial"/>
          <w:sz w:val="24"/>
          <w:szCs w:val="24"/>
        </w:rPr>
      </w:pPr>
    </w:p>
    <w:p w14:paraId="7AD80B59" w14:textId="28D484B5" w:rsidR="0009777F" w:rsidRDefault="0009777F" w:rsidP="00E523E1">
      <w:pPr>
        <w:spacing w:line="360" w:lineRule="auto"/>
        <w:jc w:val="both"/>
        <w:rPr>
          <w:rFonts w:ascii="Arial" w:eastAsia="Arial" w:hAnsi="Arial" w:cs="Arial"/>
          <w:sz w:val="24"/>
          <w:szCs w:val="24"/>
        </w:rPr>
      </w:pPr>
    </w:p>
    <w:p w14:paraId="7BF3E739" w14:textId="56FA6862" w:rsidR="0009777F" w:rsidRDefault="0009777F" w:rsidP="00E523E1">
      <w:pPr>
        <w:spacing w:line="360" w:lineRule="auto"/>
        <w:jc w:val="both"/>
        <w:rPr>
          <w:rFonts w:ascii="Arial" w:eastAsia="Arial" w:hAnsi="Arial" w:cs="Arial"/>
          <w:sz w:val="24"/>
          <w:szCs w:val="24"/>
        </w:rPr>
      </w:pPr>
    </w:p>
    <w:p w14:paraId="5F8364C5" w14:textId="4EBDCC5B" w:rsidR="0009777F" w:rsidRDefault="0009777F" w:rsidP="00E523E1">
      <w:pPr>
        <w:spacing w:line="360" w:lineRule="auto"/>
        <w:jc w:val="both"/>
        <w:rPr>
          <w:rFonts w:ascii="Arial" w:eastAsia="Arial" w:hAnsi="Arial" w:cs="Arial"/>
          <w:sz w:val="24"/>
          <w:szCs w:val="24"/>
        </w:rPr>
      </w:pPr>
    </w:p>
    <w:p w14:paraId="5940EC54" w14:textId="77777777" w:rsidR="0009777F" w:rsidRDefault="0009777F" w:rsidP="0009777F">
      <w:pPr>
        <w:rPr>
          <w:rFonts w:ascii="Arial" w:hAnsi="Arial" w:cs="Arial"/>
          <w:sz w:val="24"/>
          <w:szCs w:val="24"/>
        </w:rPr>
      </w:pPr>
      <w:r>
        <w:rPr>
          <w:rFonts w:ascii="Arial" w:hAnsi="Arial" w:cs="Arial"/>
          <w:sz w:val="24"/>
          <w:szCs w:val="24"/>
        </w:rPr>
        <w:lastRenderedPageBreak/>
        <w:t>Mexico- MHAS</w:t>
      </w:r>
    </w:p>
    <w:p w14:paraId="2AB74382" w14:textId="77777777" w:rsidR="0009777F" w:rsidRDefault="0009777F" w:rsidP="0009777F">
      <w:pPr>
        <w:rPr>
          <w:rFonts w:ascii="Arial" w:hAnsi="Arial" w:cs="Arial"/>
          <w:sz w:val="24"/>
          <w:szCs w:val="24"/>
        </w:rPr>
      </w:pPr>
    </w:p>
    <w:p w14:paraId="53A5A8C5" w14:textId="77777777" w:rsidR="0009777F" w:rsidRDefault="0009777F" w:rsidP="0009777F">
      <w:pPr>
        <w:rPr>
          <w:rFonts w:ascii="Arial" w:hAnsi="Arial" w:cs="Arial"/>
          <w:sz w:val="24"/>
          <w:szCs w:val="24"/>
        </w:rPr>
      </w:pPr>
      <w:r>
        <w:rPr>
          <w:rFonts w:ascii="Arial" w:hAnsi="Arial" w:cs="Arial"/>
          <w:noProof/>
          <w:sz w:val="24"/>
          <w:szCs w:val="24"/>
        </w:rPr>
        <w:drawing>
          <wp:inline distT="0" distB="0" distL="0" distR="0" wp14:anchorId="15485F8A" wp14:editId="14860009">
            <wp:extent cx="6435306" cy="6435306"/>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38210" cy="6438210"/>
                    </a:xfrm>
                    <a:prstGeom prst="rect">
                      <a:avLst/>
                    </a:prstGeom>
                  </pic:spPr>
                </pic:pic>
              </a:graphicData>
            </a:graphic>
          </wp:inline>
        </w:drawing>
      </w:r>
    </w:p>
    <w:p w14:paraId="6255A363" w14:textId="11CB9B58" w:rsidR="0009777F" w:rsidRDefault="0009777F" w:rsidP="00E523E1">
      <w:pPr>
        <w:spacing w:line="360" w:lineRule="auto"/>
        <w:jc w:val="both"/>
        <w:rPr>
          <w:rFonts w:ascii="Arial" w:eastAsia="Arial" w:hAnsi="Arial" w:cs="Arial"/>
          <w:sz w:val="24"/>
          <w:szCs w:val="24"/>
        </w:rPr>
      </w:pPr>
    </w:p>
    <w:p w14:paraId="4B133CEF" w14:textId="3C157EFB" w:rsidR="0009777F" w:rsidRDefault="0009777F" w:rsidP="00E523E1">
      <w:pPr>
        <w:spacing w:line="360" w:lineRule="auto"/>
        <w:jc w:val="both"/>
        <w:rPr>
          <w:rFonts w:ascii="Arial" w:eastAsia="Arial" w:hAnsi="Arial" w:cs="Arial"/>
          <w:sz w:val="24"/>
          <w:szCs w:val="24"/>
        </w:rPr>
      </w:pPr>
    </w:p>
    <w:p w14:paraId="1FB53B14" w14:textId="06A82438" w:rsidR="0009777F" w:rsidRDefault="0009777F" w:rsidP="00E523E1">
      <w:pPr>
        <w:spacing w:line="360" w:lineRule="auto"/>
        <w:jc w:val="both"/>
        <w:rPr>
          <w:rFonts w:ascii="Arial" w:eastAsia="Arial" w:hAnsi="Arial" w:cs="Arial"/>
          <w:sz w:val="24"/>
          <w:szCs w:val="24"/>
        </w:rPr>
      </w:pPr>
    </w:p>
    <w:p w14:paraId="7B82236D" w14:textId="4A95F772" w:rsidR="0009777F" w:rsidRDefault="0009777F" w:rsidP="00E523E1">
      <w:pPr>
        <w:spacing w:line="360" w:lineRule="auto"/>
        <w:jc w:val="both"/>
        <w:rPr>
          <w:rFonts w:ascii="Arial" w:eastAsia="Arial" w:hAnsi="Arial" w:cs="Arial"/>
          <w:sz w:val="24"/>
          <w:szCs w:val="24"/>
        </w:rPr>
      </w:pPr>
    </w:p>
    <w:p w14:paraId="76ACCFBB" w14:textId="77777777" w:rsidR="0009777F" w:rsidRDefault="0009777F" w:rsidP="0009777F">
      <w:pPr>
        <w:rPr>
          <w:rFonts w:ascii="Arial" w:hAnsi="Arial" w:cs="Arial"/>
          <w:sz w:val="24"/>
          <w:szCs w:val="24"/>
        </w:rPr>
      </w:pPr>
      <w:r>
        <w:rPr>
          <w:rFonts w:ascii="Arial" w:hAnsi="Arial" w:cs="Arial"/>
          <w:sz w:val="24"/>
          <w:szCs w:val="24"/>
        </w:rPr>
        <w:lastRenderedPageBreak/>
        <w:t>SHARE- Europe</w:t>
      </w:r>
    </w:p>
    <w:p w14:paraId="7642AB26" w14:textId="79CDDEBB" w:rsidR="0009777F" w:rsidRDefault="0009777F" w:rsidP="00E523E1">
      <w:pPr>
        <w:spacing w:line="360" w:lineRule="auto"/>
        <w:jc w:val="both"/>
        <w:rPr>
          <w:rFonts w:ascii="Arial" w:eastAsia="Arial" w:hAnsi="Arial" w:cs="Arial"/>
          <w:sz w:val="24"/>
          <w:szCs w:val="24"/>
        </w:rPr>
      </w:pPr>
      <w:r>
        <w:rPr>
          <w:rFonts w:ascii="Arial" w:hAnsi="Arial" w:cs="Arial"/>
          <w:noProof/>
          <w:sz w:val="24"/>
          <w:szCs w:val="24"/>
        </w:rPr>
        <w:drawing>
          <wp:inline distT="0" distB="0" distL="0" distR="0" wp14:anchorId="77F67962" wp14:editId="6411DEE3">
            <wp:extent cx="6190615" cy="619061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0615" cy="6190615"/>
                    </a:xfrm>
                    <a:prstGeom prst="rect">
                      <a:avLst/>
                    </a:prstGeom>
                  </pic:spPr>
                </pic:pic>
              </a:graphicData>
            </a:graphic>
          </wp:inline>
        </w:drawing>
      </w:r>
    </w:p>
    <w:p w14:paraId="69E6B80C" w14:textId="67475059" w:rsidR="0009777F" w:rsidRDefault="0009777F" w:rsidP="00E523E1">
      <w:pPr>
        <w:spacing w:line="360" w:lineRule="auto"/>
        <w:jc w:val="both"/>
        <w:rPr>
          <w:rFonts w:ascii="Arial" w:eastAsia="Arial" w:hAnsi="Arial" w:cs="Arial"/>
          <w:sz w:val="24"/>
          <w:szCs w:val="24"/>
        </w:rPr>
      </w:pPr>
    </w:p>
    <w:p w14:paraId="35E24245" w14:textId="44152609" w:rsidR="0009777F" w:rsidRDefault="0009777F" w:rsidP="00E523E1">
      <w:pPr>
        <w:spacing w:line="360" w:lineRule="auto"/>
        <w:jc w:val="both"/>
        <w:rPr>
          <w:rFonts w:ascii="Arial" w:eastAsia="Arial" w:hAnsi="Arial" w:cs="Arial"/>
          <w:sz w:val="24"/>
          <w:szCs w:val="24"/>
        </w:rPr>
      </w:pPr>
    </w:p>
    <w:p w14:paraId="7A61005B" w14:textId="7657A222" w:rsidR="0009777F" w:rsidRDefault="0009777F" w:rsidP="00E523E1">
      <w:pPr>
        <w:spacing w:line="360" w:lineRule="auto"/>
        <w:jc w:val="both"/>
        <w:rPr>
          <w:rFonts w:ascii="Arial" w:eastAsia="Arial" w:hAnsi="Arial" w:cs="Arial"/>
          <w:sz w:val="24"/>
          <w:szCs w:val="24"/>
        </w:rPr>
      </w:pPr>
    </w:p>
    <w:p w14:paraId="1AF3F4F4" w14:textId="1C08FF32" w:rsidR="0009777F" w:rsidRDefault="0009777F" w:rsidP="00E523E1">
      <w:pPr>
        <w:spacing w:line="360" w:lineRule="auto"/>
        <w:jc w:val="both"/>
        <w:rPr>
          <w:rFonts w:ascii="Arial" w:eastAsia="Arial" w:hAnsi="Arial" w:cs="Arial"/>
          <w:sz w:val="24"/>
          <w:szCs w:val="24"/>
        </w:rPr>
      </w:pPr>
    </w:p>
    <w:p w14:paraId="083BB2A4" w14:textId="104C32DE" w:rsidR="0009777F" w:rsidRPr="00B30A51" w:rsidRDefault="0009777F" w:rsidP="00E523E1">
      <w:pPr>
        <w:spacing w:line="360" w:lineRule="auto"/>
        <w:jc w:val="both"/>
        <w:rPr>
          <w:rFonts w:ascii="Arial" w:eastAsia="Arial" w:hAnsi="Arial" w:cs="Arial"/>
          <w:sz w:val="24"/>
          <w:szCs w:val="24"/>
        </w:rPr>
      </w:pPr>
    </w:p>
    <w:sectPr w:rsidR="0009777F" w:rsidRPr="00B30A51" w:rsidSect="00B7657D">
      <w:headerReference w:type="default" r:id="rId33"/>
      <w:footerReference w:type="default" r:id="rId34"/>
      <w:pgSz w:w="11909" w:h="16834" w:code="9"/>
      <w:pgMar w:top="1440" w:right="1080" w:bottom="1440" w:left="1080" w:header="720" w:footer="720" w:gutter="0"/>
      <w:paperSrc w:first="15" w:other="15"/>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Nepomuceno, Marilia" w:date="2023-05-16T09:40:00Z" w:initials="NM">
    <w:p w14:paraId="2FFA7377" w14:textId="46C41641" w:rsidR="00B610B7" w:rsidRPr="00742769" w:rsidRDefault="00B610B7">
      <w:pPr>
        <w:pStyle w:val="CommentText"/>
        <w:rPr>
          <w:lang w:val="pt-BR"/>
        </w:rPr>
      </w:pPr>
      <w:r>
        <w:rPr>
          <w:rStyle w:val="CommentReference"/>
        </w:rPr>
        <w:annotationRef/>
      </w:r>
      <w:r>
        <w:t xml:space="preserve">I think we shouldn’t write about the method in the second paragraph. Should we write more about the complexity of gender gaps in health? </w:t>
      </w:r>
      <w:r w:rsidRPr="00742769">
        <w:rPr>
          <w:lang w:val="pt-BR"/>
        </w:rPr>
        <w:t xml:space="preserve">It is only an idea. </w:t>
      </w:r>
    </w:p>
  </w:comment>
  <w:comment w:id="17" w:author="Author" w:date="2023-06-16T11:39:00Z" w:initials="Author">
    <w:p w14:paraId="3CBD2132" w14:textId="4C989381" w:rsidR="00B610B7" w:rsidRPr="00994A69" w:rsidRDefault="00B610B7">
      <w:pPr>
        <w:pStyle w:val="CommentText"/>
        <w:rPr>
          <w:lang w:val="pt-BR"/>
        </w:rPr>
      </w:pPr>
      <w:r>
        <w:rPr>
          <w:rStyle w:val="CommentReference"/>
        </w:rPr>
        <w:annotationRef/>
      </w:r>
      <w:r w:rsidRPr="00994A69">
        <w:rPr>
          <w:lang w:val="pt-BR"/>
        </w:rPr>
        <w:t>Sim, acho uma boa ideia.</w:t>
      </w:r>
      <w:r>
        <w:rPr>
          <w:lang w:val="pt-BR"/>
        </w:rPr>
        <w:t xml:space="preserve"> Posso desenvolver melhor essa parte aqui.</w:t>
      </w:r>
    </w:p>
  </w:comment>
  <w:comment w:id="26" w:author="Di Lego Goncalves, Vanessa" w:date="2023-06-22T09:13:00Z" w:initials="DLGV">
    <w:p w14:paraId="5DB87530" w14:textId="5A2260B1" w:rsidR="00D13E0F" w:rsidRDefault="00D13E0F">
      <w:pPr>
        <w:pStyle w:val="CommentText"/>
      </w:pPr>
      <w:r>
        <w:rPr>
          <w:rStyle w:val="CommentReference"/>
        </w:rPr>
        <w:annotationRef/>
      </w:r>
      <w:r>
        <w:t>I usually prefer not to make such statements. In addition, for PNAS, they explicitly state: “</w:t>
      </w:r>
      <w:r w:rsidRPr="00D13E0F">
        <w:t>Do not include statements of novelty or priority.</w:t>
      </w:r>
      <w:r>
        <w:t>”</w:t>
      </w:r>
    </w:p>
  </w:comment>
  <w:comment w:id="28" w:author="Nepomuceno, Marilia" w:date="2023-05-22T15:36:00Z" w:initials="NM">
    <w:p w14:paraId="78B6346F" w14:textId="2A451DC0" w:rsidR="00B610B7" w:rsidRDefault="00B610B7">
      <w:pPr>
        <w:pStyle w:val="CommentText"/>
      </w:pPr>
      <w:r>
        <w:rPr>
          <w:rStyle w:val="CommentReference"/>
        </w:rPr>
        <w:annotationRef/>
      </w:r>
      <w:r>
        <w:t>I am not sure if this sentence is clear.</w:t>
      </w:r>
    </w:p>
  </w:comment>
  <w:comment w:id="29" w:author="Di Lego Goncalves, Vanessa" w:date="2023-06-22T09:29:00Z" w:initials="DLGV">
    <w:p w14:paraId="1140C6C9" w14:textId="4BA25014" w:rsidR="00554E86" w:rsidRDefault="00554E86">
      <w:pPr>
        <w:pStyle w:val="CommentText"/>
      </w:pPr>
      <w:r>
        <w:rPr>
          <w:rStyle w:val="CommentReference"/>
        </w:rPr>
        <w:annotationRef/>
      </w:r>
      <w:r>
        <w:t xml:space="preserve">See now. The </w:t>
      </w:r>
    </w:p>
  </w:comment>
  <w:comment w:id="164" w:author="Nepomuceno, Marilia" w:date="2023-05-15T16:51:00Z" w:initials="NM">
    <w:p w14:paraId="08B847EC" w14:textId="7CACE912" w:rsidR="00B610B7" w:rsidRPr="00742769" w:rsidRDefault="00B610B7">
      <w:pPr>
        <w:pStyle w:val="CommentText"/>
        <w:rPr>
          <w:lang w:val="pt-BR"/>
        </w:rPr>
      </w:pPr>
      <w:r>
        <w:rPr>
          <w:rStyle w:val="CommentReference"/>
        </w:rPr>
        <w:annotationRef/>
      </w:r>
      <w:r w:rsidRPr="00742769">
        <w:rPr>
          <w:lang w:val="pt-BR"/>
        </w:rPr>
        <w:t>As equacoes estao erradas. O “n” deve ser subescrito. Tentei arrumar em cima mas nao sei se vai dar certo rs. Tem que arrumar aqui tambem</w:t>
      </w:r>
    </w:p>
  </w:comment>
  <w:comment w:id="165" w:author="Author" w:date="2023-06-16T11:41:00Z" w:initials="Author">
    <w:p w14:paraId="512C81C5" w14:textId="24292F0A" w:rsidR="00B610B7" w:rsidRPr="00994A69" w:rsidRDefault="00B610B7">
      <w:pPr>
        <w:pStyle w:val="CommentText"/>
        <w:rPr>
          <w:lang w:val="pt-BR"/>
        </w:rPr>
      </w:pPr>
      <w:r>
        <w:rPr>
          <w:rStyle w:val="CommentReference"/>
        </w:rPr>
        <w:annotationRef/>
      </w:r>
      <w:r w:rsidRPr="00994A69">
        <w:rPr>
          <w:lang w:val="pt-BR"/>
        </w:rPr>
        <w:t>S</w:t>
      </w:r>
      <w:r>
        <w:rPr>
          <w:lang w:val="pt-BR"/>
        </w:rPr>
        <w:t>im... eu acho ruim demais escrever equação no word. Sempre me enrolo. Mas o problema aqui foi conflito de versão de word entre o meu e do trabalho. Na hora de atualizar desconfigurou tudo. Depois vou arrumar. Obrigada.</w:t>
      </w:r>
    </w:p>
  </w:comment>
  <w:comment w:id="168" w:author="Nepomuceno, Marilia" w:date="2023-05-15T16:53:00Z" w:initials="NM">
    <w:p w14:paraId="48DD8B21" w14:textId="0B3CEEB2" w:rsidR="00B610B7" w:rsidRPr="00742769" w:rsidRDefault="00B610B7">
      <w:pPr>
        <w:pStyle w:val="CommentText"/>
        <w:rPr>
          <w:lang w:val="pt-BR"/>
        </w:rPr>
      </w:pPr>
      <w:r>
        <w:rPr>
          <w:rStyle w:val="CommentReference"/>
        </w:rPr>
        <w:annotationRef/>
      </w:r>
      <w:r w:rsidRPr="00742769">
        <w:rPr>
          <w:lang w:val="pt-BR"/>
        </w:rPr>
        <w:t xml:space="preserve">Precisamos especificar isso aqui ou no material suplementar? </w:t>
      </w:r>
      <w:r w:rsidRPr="00742769">
        <w:rPr>
          <w:lang w:val="pt-BR"/>
        </w:rPr>
        <w:t xml:space="preserve">Se sim, temos </w:t>
      </w:r>
      <w:r w:rsidRPr="00742769">
        <w:rPr>
          <w:lang w:val="pt-BR"/>
        </w:rPr>
        <w:t>q reescrever, aqui estah a copia do nosso artigo do VYB</w:t>
      </w:r>
    </w:p>
  </w:comment>
  <w:comment w:id="169" w:author="Author" w:date="2023-06-16T11:43:00Z" w:initials="Author">
    <w:p w14:paraId="5F9AEA70" w14:textId="0BA50EBE" w:rsidR="00B610B7" w:rsidRPr="00994A69" w:rsidRDefault="00B610B7">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172" w:author="Nepomuceno, Marilia" w:date="2023-05-22T15:45:00Z" w:initials="NM">
    <w:p w14:paraId="7845F7DD" w14:textId="1B2CA405" w:rsidR="00B610B7" w:rsidRDefault="00B610B7">
      <w:pPr>
        <w:pStyle w:val="CommentText"/>
      </w:pPr>
      <w:r>
        <w:rPr>
          <w:rStyle w:val="CommentReference"/>
        </w:rPr>
        <w:annotationRef/>
      </w:r>
      <w:r w:rsidRPr="00742769">
        <w:rPr>
          <w:lang w:val="pt-BR"/>
        </w:rPr>
        <w:t xml:space="preserve">Tirei pq nao vejo o pq de destacar o US aqui. </w:t>
      </w:r>
      <w:r>
        <w:t xml:space="preserve">It is up to you to </w:t>
      </w:r>
      <w:r>
        <w:rPr>
          <w:rFonts w:ascii="Segoe UI Emoji" w:eastAsia="Segoe UI Emoji" w:hAnsi="Segoe UI Emoji" w:cs="Segoe UI Emoji"/>
        </w:rPr>
        <w:t>😊</w:t>
      </w:r>
    </w:p>
  </w:comment>
  <w:comment w:id="173" w:author="Author" w:date="2023-06-16T11:43:00Z" w:initials="Author">
    <w:p w14:paraId="53C9A845" w14:textId="22442F00" w:rsidR="00B610B7" w:rsidRDefault="00B610B7">
      <w:pPr>
        <w:pStyle w:val="CommentText"/>
      </w:pPr>
      <w:r>
        <w:rPr>
          <w:rStyle w:val="CommentReference"/>
        </w:rPr>
        <w:annotationRef/>
      </w:r>
      <w:proofErr w:type="spellStart"/>
      <w:r>
        <w:t>Depende</w:t>
      </w:r>
      <w:proofErr w:type="spellEnd"/>
      <w:r>
        <w:t xml:space="preserve"> da </w:t>
      </w:r>
      <w:proofErr w:type="spellStart"/>
      <w:r>
        <w:t>revista</w:t>
      </w:r>
      <w:proofErr w:type="spellEnd"/>
      <w:r>
        <w:t xml:space="preserve">, </w:t>
      </w:r>
      <w:proofErr w:type="spellStart"/>
      <w:r>
        <w:t>kkkk</w:t>
      </w:r>
      <w:proofErr w:type="spellEnd"/>
    </w:p>
  </w:comment>
  <w:comment w:id="190" w:author="Nepomuceno, Marilia" w:date="2023-05-22T15:58:00Z" w:initials="NM">
    <w:p w14:paraId="232FAB8C" w14:textId="50F63836" w:rsidR="00B610B7" w:rsidRDefault="00B610B7">
      <w:pPr>
        <w:pStyle w:val="CommentText"/>
      </w:pPr>
      <w:r>
        <w:rPr>
          <w:rStyle w:val="CommentReference"/>
        </w:rPr>
        <w:annotationRef/>
      </w:r>
      <w:r>
        <w:t>Personal opinion: I am not sure if you should highlight the panel A here. It would be easier for the reader to focus on panel B in this paragraph.</w:t>
      </w:r>
    </w:p>
  </w:comment>
  <w:comment w:id="191" w:author="Author" w:date="2023-06-16T11:43:00Z" w:initials="Author">
    <w:p w14:paraId="5C725953" w14:textId="1B7C5A91" w:rsidR="00B610B7" w:rsidRPr="00994A69" w:rsidRDefault="00B610B7">
      <w:pPr>
        <w:pStyle w:val="CommentText"/>
        <w:rPr>
          <w:lang w:val="pt-BR"/>
        </w:rPr>
      </w:pPr>
      <w:r>
        <w:rPr>
          <w:rStyle w:val="CommentReference"/>
        </w:rPr>
        <w:annotationRef/>
      </w:r>
      <w:r w:rsidRPr="00994A69">
        <w:rPr>
          <w:lang w:val="pt-BR"/>
        </w:rPr>
        <w:t>Concord. Minha dúvida é s</w:t>
      </w:r>
      <w:r>
        <w:rPr>
          <w:lang w:val="pt-BR"/>
        </w:rPr>
        <w:t>ó então porque manter o painel A. Mas posso tirar a ênfase.</w:t>
      </w:r>
    </w:p>
  </w:comment>
  <w:comment w:id="195" w:author="Nepomuceno, Marilia" w:date="2023-05-22T15:59:00Z" w:initials="NM">
    <w:p w14:paraId="7D37B806" w14:textId="3C1439A4" w:rsidR="00B610B7" w:rsidRDefault="00B610B7">
      <w:pPr>
        <w:pStyle w:val="CommentText"/>
      </w:pPr>
      <w:r>
        <w:rPr>
          <w:rStyle w:val="CommentReference"/>
        </w:rPr>
        <w:annotationRef/>
      </w:r>
      <w:r>
        <w:t>Removed because you have already mentioned it.</w:t>
      </w:r>
    </w:p>
  </w:comment>
  <w:comment w:id="196" w:author="Author" w:date="2023-06-16T11:44:00Z" w:initials="Author">
    <w:p w14:paraId="572BB6BB" w14:textId="55A6B4BC" w:rsidR="00B610B7" w:rsidRDefault="00B610B7">
      <w:pPr>
        <w:pStyle w:val="CommentText"/>
      </w:pPr>
      <w:r>
        <w:rPr>
          <w:rStyle w:val="CommentReference"/>
        </w:rPr>
        <w:annotationRef/>
      </w:r>
      <w:r>
        <w:t>thanks</w:t>
      </w:r>
    </w:p>
  </w:comment>
  <w:comment w:id="221" w:author="Nepomuceno, Marilia" w:date="2023-05-22T16:38:00Z" w:initials="NM">
    <w:p w14:paraId="129FB4D6" w14:textId="1ECDEBBB" w:rsidR="00B610B7" w:rsidRPr="00742769" w:rsidRDefault="00B610B7">
      <w:pPr>
        <w:pStyle w:val="CommentText"/>
        <w:rPr>
          <w:lang w:val="pt-BR"/>
        </w:rPr>
      </w:pPr>
      <w:r>
        <w:rPr>
          <w:rStyle w:val="CommentReference"/>
        </w:rPr>
        <w:annotationRef/>
      </w:r>
      <w:r w:rsidRPr="00742769">
        <w:rPr>
          <w:lang w:val="pt-BR"/>
        </w:rPr>
        <w:t xml:space="preserve">Estou </w:t>
      </w:r>
      <w:r w:rsidRPr="00742769">
        <w:rPr>
          <w:lang w:val="pt-BR"/>
        </w:rPr>
        <w:t>pensando nesta figura… Vc nao esta usando o valor absoluto da contribuicao nem do gap. Sera que deveriamos usar? Ex: dinamarca e US tem o mesmo valor absoluto da contribuicao da disability, mas dinamarca eh positivo e US negativo. Sera que seria mais coerente fazer o ranking dos valores absolutos?</w:t>
      </w:r>
    </w:p>
  </w:comment>
  <w:comment w:id="222" w:author="Author" w:date="2023-06-16T11:44:00Z" w:initials="Author">
    <w:p w14:paraId="5C1B9F39" w14:textId="131FBC78" w:rsidR="00B610B7" w:rsidRPr="00994A69" w:rsidRDefault="00B610B7">
      <w:pPr>
        <w:pStyle w:val="CommentText"/>
        <w:rPr>
          <w:lang w:val="pt-BR"/>
        </w:rPr>
      </w:pPr>
      <w:r>
        <w:rPr>
          <w:rStyle w:val="CommentReference"/>
        </w:rPr>
        <w:annotationRef/>
      </w:r>
      <w:r w:rsidRPr="00994A69">
        <w:rPr>
          <w:lang w:val="pt-BR"/>
        </w:rPr>
        <w:t xml:space="preserve">Aqui </w:t>
      </w:r>
      <w:r w:rsidRPr="00994A69">
        <w:rPr>
          <w:lang w:val="pt-BR"/>
        </w:rPr>
        <w:t>sao ambos: números absolutos e</w:t>
      </w:r>
      <w:r>
        <w:rPr>
          <w:lang w:val="pt-BR"/>
        </w:rPr>
        <w:t xml:space="preserve"> a contr. Mas sim, também estou repensando essa figura e acho que está pouco informativa. Vou pensar como fazer isso de forma diferente.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FA7377" w15:done="0"/>
  <w15:commentEx w15:paraId="3CBD2132" w15:paraIdParent="2FFA7377" w15:done="0"/>
  <w15:commentEx w15:paraId="5DB87530" w15:done="0"/>
  <w15:commentEx w15:paraId="78B6346F" w15:done="0"/>
  <w15:commentEx w15:paraId="1140C6C9" w15:paraIdParent="78B6346F" w15:done="0"/>
  <w15:commentEx w15:paraId="08B847EC" w15:done="0"/>
  <w15:commentEx w15:paraId="512C81C5" w15:paraIdParent="08B847EC" w15:done="0"/>
  <w15:commentEx w15:paraId="48DD8B21" w15:done="0"/>
  <w15:commentEx w15:paraId="5F9AEA70" w15:paraIdParent="48DD8B21" w15:done="0"/>
  <w15:commentEx w15:paraId="7845F7DD" w15:done="0"/>
  <w15:commentEx w15:paraId="53C9A845" w15:paraIdParent="7845F7DD" w15:done="0"/>
  <w15:commentEx w15:paraId="232FAB8C" w15:done="0"/>
  <w15:commentEx w15:paraId="5C725953" w15:paraIdParent="232FAB8C" w15:done="0"/>
  <w15:commentEx w15:paraId="7D37B806" w15:done="0"/>
  <w15:commentEx w15:paraId="572BB6BB" w15:paraIdParent="7D37B806" w15:done="0"/>
  <w15:commentEx w15:paraId="129FB4D6" w15:done="0"/>
  <w15:commentEx w15:paraId="5C1B9F39" w15:paraIdParent="129FB4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6C857" w16cex:dateUtc="2023-06-16T09:39:00Z"/>
  <w16cex:commentExtensible w16cex:durableId="2836C882" w16cex:dateUtc="2023-06-16T09:39:00Z"/>
  <w16cex:commentExtensible w16cex:durableId="2836C8CE" w16cex:dateUtc="2023-06-16T09:41:00Z"/>
  <w16cex:commentExtensible w16cex:durableId="2836C8EB" w16cex:dateUtc="2023-06-16T09:41:00Z"/>
  <w16cex:commentExtensible w16cex:durableId="2836C94D" w16cex:dateUtc="2023-06-16T09:43:00Z"/>
  <w16cex:commentExtensible w16cex:durableId="2836C971" w16cex:dateUtc="2023-06-16T09:43:00Z"/>
  <w16cex:commentExtensible w16cex:durableId="2836C97D" w16cex:dateUtc="2023-06-16T09:43:00Z"/>
  <w16cex:commentExtensible w16cex:durableId="2836C998" w16cex:dateUtc="2023-06-16T09:44:00Z"/>
  <w16cex:commentExtensible w16cex:durableId="2836C9A6" w16cex:dateUtc="2023-06-16T0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FA7377" w16cid:durableId="280DCE1A"/>
  <w16cid:commentId w16cid:paraId="3CBD2132" w16cid:durableId="2836C857"/>
  <w16cid:commentId w16cid:paraId="5DB87530" w16cid:durableId="283E8F2A"/>
  <w16cid:commentId w16cid:paraId="78B6346F" w16cid:durableId="28160A94"/>
  <w16cid:commentId w16cid:paraId="1140C6C9" w16cid:durableId="283E930B"/>
  <w16cid:commentId w16cid:paraId="08B847EC" w16cid:durableId="280CE18E"/>
  <w16cid:commentId w16cid:paraId="512C81C5" w16cid:durableId="2836C8EB"/>
  <w16cid:commentId w16cid:paraId="48DD8B21" w16cid:durableId="280CE206"/>
  <w16cid:commentId w16cid:paraId="5F9AEA70" w16cid:durableId="2836C94D"/>
  <w16cid:commentId w16cid:paraId="7845F7DD" w16cid:durableId="28160C9D"/>
  <w16cid:commentId w16cid:paraId="53C9A845" w16cid:durableId="2836C971"/>
  <w16cid:commentId w16cid:paraId="232FAB8C" w16cid:durableId="28160F88"/>
  <w16cid:commentId w16cid:paraId="5C725953" w16cid:durableId="2836C97D"/>
  <w16cid:commentId w16cid:paraId="7D37B806" w16cid:durableId="28160FEB"/>
  <w16cid:commentId w16cid:paraId="572BB6BB" w16cid:durableId="2836C998"/>
  <w16cid:commentId w16cid:paraId="129FB4D6" w16cid:durableId="28161909"/>
  <w16cid:commentId w16cid:paraId="5C1B9F39" w16cid:durableId="2836C9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41A16" w14:textId="77777777" w:rsidR="00B610B7" w:rsidRDefault="00B610B7">
      <w:pPr>
        <w:spacing w:after="0"/>
      </w:pPr>
      <w:r>
        <w:separator/>
      </w:r>
    </w:p>
  </w:endnote>
  <w:endnote w:type="continuationSeparator" w:id="0">
    <w:p w14:paraId="08BBC8DA" w14:textId="77777777" w:rsidR="00B610B7" w:rsidRDefault="00B610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7FC92" w14:textId="77777777" w:rsidR="00B610B7" w:rsidRDefault="00B610B7">
    <w:pPr>
      <w:pStyle w:val="Footer"/>
      <w:jc w:val="right"/>
    </w:pPr>
    <w:r>
      <w:fldChar w:fldCharType="begin"/>
    </w:r>
    <w:r>
      <w:instrText xml:space="preserve"> PAGE   \* MERGEFORMAT </w:instrText>
    </w:r>
    <w:r>
      <w:fldChar w:fldCharType="separate"/>
    </w:r>
    <w:r>
      <w:rPr>
        <w:noProof/>
      </w:rPr>
      <w:t>1</w:t>
    </w:r>
    <w:r>
      <w:fldChar w:fldCharType="end"/>
    </w:r>
  </w:p>
  <w:p w14:paraId="18B1459B" w14:textId="77777777" w:rsidR="00B610B7" w:rsidRDefault="00B610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8" w14:textId="306CBD6D" w:rsidR="00B610B7" w:rsidRDefault="00B610B7">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B610B7" w:rsidRDefault="00B610B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5E03B" w14:textId="77777777" w:rsidR="00B610B7" w:rsidRDefault="00B610B7">
      <w:pPr>
        <w:spacing w:after="0"/>
      </w:pPr>
      <w:r>
        <w:separator/>
      </w:r>
    </w:p>
  </w:footnote>
  <w:footnote w:type="continuationSeparator" w:id="0">
    <w:p w14:paraId="520ADEB0" w14:textId="77777777" w:rsidR="00B610B7" w:rsidRDefault="00B610B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25DD2" w14:textId="77777777" w:rsidR="00B610B7" w:rsidRPr="005001AC" w:rsidRDefault="00B610B7" w:rsidP="00E33190">
    <w:pPr>
      <w:jc w:val="right"/>
      <w:rPr>
        <w:sz w:val="20"/>
      </w:rPr>
    </w:pPr>
  </w:p>
  <w:p w14:paraId="7B4624DE" w14:textId="77777777" w:rsidR="00B610B7" w:rsidRDefault="00B610B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6" w14:textId="77777777" w:rsidR="00B610B7" w:rsidRDefault="00B610B7">
    <w:pPr>
      <w:jc w:val="right"/>
      <w:rPr>
        <w:sz w:val="20"/>
        <w:szCs w:val="20"/>
      </w:rPr>
    </w:pPr>
  </w:p>
  <w:p w14:paraId="000002F7" w14:textId="77777777" w:rsidR="00B610B7" w:rsidRDefault="00B610B7"/>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rson w15:author="Nepomuceno, Marilia">
    <w15:presenceInfo w15:providerId="AD" w15:userId="S-1-5-21-1195586752-1210395121-930774774-16763"/>
  </w15:person>
  <w15:person w15:author="Di Lego Goncalves, Vanessa">
    <w15:presenceInfo w15:providerId="AD" w15:userId="S-1-5-21-1644491937-926492609-1801674531-195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trackRevisions/>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DD"/>
    <w:rsid w:val="000023D0"/>
    <w:rsid w:val="00002D46"/>
    <w:rsid w:val="00013920"/>
    <w:rsid w:val="00015689"/>
    <w:rsid w:val="000167F6"/>
    <w:rsid w:val="00030E32"/>
    <w:rsid w:val="00036D14"/>
    <w:rsid w:val="00037515"/>
    <w:rsid w:val="00037587"/>
    <w:rsid w:val="00041CFD"/>
    <w:rsid w:val="00047B0C"/>
    <w:rsid w:val="00050965"/>
    <w:rsid w:val="00067464"/>
    <w:rsid w:val="0008309F"/>
    <w:rsid w:val="00083FD8"/>
    <w:rsid w:val="000843E0"/>
    <w:rsid w:val="0009777F"/>
    <w:rsid w:val="000A1F57"/>
    <w:rsid w:val="000A2D2A"/>
    <w:rsid w:val="000B2BCF"/>
    <w:rsid w:val="000B3AEE"/>
    <w:rsid w:val="000B47DE"/>
    <w:rsid w:val="000C0847"/>
    <w:rsid w:val="000D2DC7"/>
    <w:rsid w:val="000E7D8E"/>
    <w:rsid w:val="000F1580"/>
    <w:rsid w:val="00101673"/>
    <w:rsid w:val="00105467"/>
    <w:rsid w:val="00106216"/>
    <w:rsid w:val="001218C8"/>
    <w:rsid w:val="00142C2A"/>
    <w:rsid w:val="00152047"/>
    <w:rsid w:val="001524B4"/>
    <w:rsid w:val="00154583"/>
    <w:rsid w:val="001647FF"/>
    <w:rsid w:val="001750AF"/>
    <w:rsid w:val="00175B36"/>
    <w:rsid w:val="00183C30"/>
    <w:rsid w:val="00184CB4"/>
    <w:rsid w:val="00185B61"/>
    <w:rsid w:val="001A1B33"/>
    <w:rsid w:val="001C10B3"/>
    <w:rsid w:val="001C227A"/>
    <w:rsid w:val="001C7682"/>
    <w:rsid w:val="001E0A75"/>
    <w:rsid w:val="001E682F"/>
    <w:rsid w:val="001F7823"/>
    <w:rsid w:val="002042D1"/>
    <w:rsid w:val="002115EB"/>
    <w:rsid w:val="00214911"/>
    <w:rsid w:val="00224207"/>
    <w:rsid w:val="00227F78"/>
    <w:rsid w:val="00231B83"/>
    <w:rsid w:val="00232924"/>
    <w:rsid w:val="002363D7"/>
    <w:rsid w:val="00242915"/>
    <w:rsid w:val="00243C56"/>
    <w:rsid w:val="00252DCE"/>
    <w:rsid w:val="0025608A"/>
    <w:rsid w:val="00263B02"/>
    <w:rsid w:val="00264162"/>
    <w:rsid w:val="00280AD5"/>
    <w:rsid w:val="00293B95"/>
    <w:rsid w:val="002A5F53"/>
    <w:rsid w:val="002A7EE3"/>
    <w:rsid w:val="002B3BF7"/>
    <w:rsid w:val="002C007B"/>
    <w:rsid w:val="002C1082"/>
    <w:rsid w:val="002C55ED"/>
    <w:rsid w:val="002E222B"/>
    <w:rsid w:val="002F3FE1"/>
    <w:rsid w:val="002F5852"/>
    <w:rsid w:val="00313987"/>
    <w:rsid w:val="00322014"/>
    <w:rsid w:val="0032279B"/>
    <w:rsid w:val="00322FE2"/>
    <w:rsid w:val="0032523C"/>
    <w:rsid w:val="0032561D"/>
    <w:rsid w:val="00334713"/>
    <w:rsid w:val="00337D4B"/>
    <w:rsid w:val="0034087B"/>
    <w:rsid w:val="00340B76"/>
    <w:rsid w:val="00344C85"/>
    <w:rsid w:val="003475D8"/>
    <w:rsid w:val="003565B6"/>
    <w:rsid w:val="00357859"/>
    <w:rsid w:val="00377B69"/>
    <w:rsid w:val="00380BA0"/>
    <w:rsid w:val="00381CF7"/>
    <w:rsid w:val="003902A0"/>
    <w:rsid w:val="00391EE5"/>
    <w:rsid w:val="003938F5"/>
    <w:rsid w:val="00396D59"/>
    <w:rsid w:val="003B0C33"/>
    <w:rsid w:val="003B723B"/>
    <w:rsid w:val="003B7A33"/>
    <w:rsid w:val="003C35DA"/>
    <w:rsid w:val="003D1975"/>
    <w:rsid w:val="003D6C1B"/>
    <w:rsid w:val="003E095A"/>
    <w:rsid w:val="003E7433"/>
    <w:rsid w:val="003F06C4"/>
    <w:rsid w:val="003F62F1"/>
    <w:rsid w:val="0043713B"/>
    <w:rsid w:val="00445CE8"/>
    <w:rsid w:val="00451F62"/>
    <w:rsid w:val="00464535"/>
    <w:rsid w:val="0046557A"/>
    <w:rsid w:val="00466830"/>
    <w:rsid w:val="0047289C"/>
    <w:rsid w:val="004814F8"/>
    <w:rsid w:val="004A3CE9"/>
    <w:rsid w:val="004A558D"/>
    <w:rsid w:val="004A78A8"/>
    <w:rsid w:val="004A7ABC"/>
    <w:rsid w:val="004B0C1F"/>
    <w:rsid w:val="004B6F17"/>
    <w:rsid w:val="004B7C1F"/>
    <w:rsid w:val="004C0A67"/>
    <w:rsid w:val="004C54AC"/>
    <w:rsid w:val="004D3975"/>
    <w:rsid w:val="004D5B5E"/>
    <w:rsid w:val="004F2072"/>
    <w:rsid w:val="004F265A"/>
    <w:rsid w:val="004F29A3"/>
    <w:rsid w:val="005104A6"/>
    <w:rsid w:val="00526DD5"/>
    <w:rsid w:val="0054066C"/>
    <w:rsid w:val="00543F29"/>
    <w:rsid w:val="00545D6E"/>
    <w:rsid w:val="005469D0"/>
    <w:rsid w:val="005512D7"/>
    <w:rsid w:val="00552EFD"/>
    <w:rsid w:val="0055444C"/>
    <w:rsid w:val="00554E86"/>
    <w:rsid w:val="00567D6A"/>
    <w:rsid w:val="00582071"/>
    <w:rsid w:val="00585D53"/>
    <w:rsid w:val="005906D3"/>
    <w:rsid w:val="005A0906"/>
    <w:rsid w:val="005A0B32"/>
    <w:rsid w:val="005A1DD2"/>
    <w:rsid w:val="005A255B"/>
    <w:rsid w:val="005B04CB"/>
    <w:rsid w:val="005B22C5"/>
    <w:rsid w:val="005B4F0D"/>
    <w:rsid w:val="005C47C4"/>
    <w:rsid w:val="005C7293"/>
    <w:rsid w:val="005D1361"/>
    <w:rsid w:val="005D198E"/>
    <w:rsid w:val="005D2DB9"/>
    <w:rsid w:val="005D579A"/>
    <w:rsid w:val="005E1A2A"/>
    <w:rsid w:val="005E2CBB"/>
    <w:rsid w:val="005E371A"/>
    <w:rsid w:val="005E71E2"/>
    <w:rsid w:val="005F020D"/>
    <w:rsid w:val="00610D83"/>
    <w:rsid w:val="00630B14"/>
    <w:rsid w:val="00631506"/>
    <w:rsid w:val="006315A5"/>
    <w:rsid w:val="00631E52"/>
    <w:rsid w:val="00635527"/>
    <w:rsid w:val="00640D6C"/>
    <w:rsid w:val="0064509E"/>
    <w:rsid w:val="0065577D"/>
    <w:rsid w:val="00656677"/>
    <w:rsid w:val="0066539A"/>
    <w:rsid w:val="00665A6D"/>
    <w:rsid w:val="00685B27"/>
    <w:rsid w:val="0069074D"/>
    <w:rsid w:val="00694C17"/>
    <w:rsid w:val="006A22B5"/>
    <w:rsid w:val="006A36A5"/>
    <w:rsid w:val="006A528D"/>
    <w:rsid w:val="006B067D"/>
    <w:rsid w:val="006B639E"/>
    <w:rsid w:val="006C51E4"/>
    <w:rsid w:val="006D2668"/>
    <w:rsid w:val="006D327E"/>
    <w:rsid w:val="006D413E"/>
    <w:rsid w:val="006D5366"/>
    <w:rsid w:val="006E0762"/>
    <w:rsid w:val="006E13FD"/>
    <w:rsid w:val="006E3BBD"/>
    <w:rsid w:val="006E58CF"/>
    <w:rsid w:val="006E61A2"/>
    <w:rsid w:val="006E6E89"/>
    <w:rsid w:val="006F5405"/>
    <w:rsid w:val="006F5A22"/>
    <w:rsid w:val="00704DF4"/>
    <w:rsid w:val="007058A1"/>
    <w:rsid w:val="00712FA1"/>
    <w:rsid w:val="00714BEC"/>
    <w:rsid w:val="00725202"/>
    <w:rsid w:val="00742769"/>
    <w:rsid w:val="0074583A"/>
    <w:rsid w:val="00752552"/>
    <w:rsid w:val="007620EB"/>
    <w:rsid w:val="00763E60"/>
    <w:rsid w:val="00766305"/>
    <w:rsid w:val="00781F19"/>
    <w:rsid w:val="00785706"/>
    <w:rsid w:val="0079339A"/>
    <w:rsid w:val="00797456"/>
    <w:rsid w:val="00797720"/>
    <w:rsid w:val="007B2F24"/>
    <w:rsid w:val="007B4FED"/>
    <w:rsid w:val="007B7BBB"/>
    <w:rsid w:val="007C42B5"/>
    <w:rsid w:val="007C6354"/>
    <w:rsid w:val="007C6B99"/>
    <w:rsid w:val="007C6D56"/>
    <w:rsid w:val="007D2716"/>
    <w:rsid w:val="007D59D4"/>
    <w:rsid w:val="007D62F6"/>
    <w:rsid w:val="007E07B6"/>
    <w:rsid w:val="007E0FF4"/>
    <w:rsid w:val="007E1C32"/>
    <w:rsid w:val="007E1D9D"/>
    <w:rsid w:val="00800F99"/>
    <w:rsid w:val="00802F76"/>
    <w:rsid w:val="00807FE1"/>
    <w:rsid w:val="00812D86"/>
    <w:rsid w:val="0081335C"/>
    <w:rsid w:val="00825058"/>
    <w:rsid w:val="0083403D"/>
    <w:rsid w:val="0083595B"/>
    <w:rsid w:val="00835DCE"/>
    <w:rsid w:val="00842EBA"/>
    <w:rsid w:val="00843F09"/>
    <w:rsid w:val="008747FF"/>
    <w:rsid w:val="00874F1E"/>
    <w:rsid w:val="008947CA"/>
    <w:rsid w:val="008B1C35"/>
    <w:rsid w:val="008B6ECA"/>
    <w:rsid w:val="008B7966"/>
    <w:rsid w:val="008C16BC"/>
    <w:rsid w:val="008D789A"/>
    <w:rsid w:val="008F708E"/>
    <w:rsid w:val="009070BA"/>
    <w:rsid w:val="009130DE"/>
    <w:rsid w:val="009207E2"/>
    <w:rsid w:val="00921488"/>
    <w:rsid w:val="00922CA0"/>
    <w:rsid w:val="00930897"/>
    <w:rsid w:val="00934E77"/>
    <w:rsid w:val="009372EB"/>
    <w:rsid w:val="00944CBE"/>
    <w:rsid w:val="009469DB"/>
    <w:rsid w:val="00946DF2"/>
    <w:rsid w:val="00951C16"/>
    <w:rsid w:val="00956255"/>
    <w:rsid w:val="00962880"/>
    <w:rsid w:val="009639A9"/>
    <w:rsid w:val="00970004"/>
    <w:rsid w:val="00972727"/>
    <w:rsid w:val="00976ADA"/>
    <w:rsid w:val="00987CD0"/>
    <w:rsid w:val="00993E33"/>
    <w:rsid w:val="00994A69"/>
    <w:rsid w:val="00997325"/>
    <w:rsid w:val="009A1A97"/>
    <w:rsid w:val="009C620F"/>
    <w:rsid w:val="009D0516"/>
    <w:rsid w:val="009D1D4B"/>
    <w:rsid w:val="009D510E"/>
    <w:rsid w:val="009D54D2"/>
    <w:rsid w:val="009D63DA"/>
    <w:rsid w:val="009E2049"/>
    <w:rsid w:val="009F06CA"/>
    <w:rsid w:val="009F252A"/>
    <w:rsid w:val="00A038E3"/>
    <w:rsid w:val="00A11134"/>
    <w:rsid w:val="00A14635"/>
    <w:rsid w:val="00A17299"/>
    <w:rsid w:val="00A176F6"/>
    <w:rsid w:val="00A32BE0"/>
    <w:rsid w:val="00A33DA6"/>
    <w:rsid w:val="00A42757"/>
    <w:rsid w:val="00A42A07"/>
    <w:rsid w:val="00A50CB3"/>
    <w:rsid w:val="00A52C95"/>
    <w:rsid w:val="00A63E64"/>
    <w:rsid w:val="00A645E5"/>
    <w:rsid w:val="00A75C1D"/>
    <w:rsid w:val="00A76BA4"/>
    <w:rsid w:val="00A80760"/>
    <w:rsid w:val="00A83F76"/>
    <w:rsid w:val="00A87123"/>
    <w:rsid w:val="00A93FE6"/>
    <w:rsid w:val="00A94022"/>
    <w:rsid w:val="00AA546F"/>
    <w:rsid w:val="00AB0ED5"/>
    <w:rsid w:val="00AB4B93"/>
    <w:rsid w:val="00AB64B4"/>
    <w:rsid w:val="00AC3182"/>
    <w:rsid w:val="00AD24DF"/>
    <w:rsid w:val="00AE3669"/>
    <w:rsid w:val="00AF7473"/>
    <w:rsid w:val="00B06277"/>
    <w:rsid w:val="00B133DD"/>
    <w:rsid w:val="00B175C7"/>
    <w:rsid w:val="00B30A51"/>
    <w:rsid w:val="00B45C95"/>
    <w:rsid w:val="00B548BD"/>
    <w:rsid w:val="00B57718"/>
    <w:rsid w:val="00B610B7"/>
    <w:rsid w:val="00B6641D"/>
    <w:rsid w:val="00B6657E"/>
    <w:rsid w:val="00B72F48"/>
    <w:rsid w:val="00B73BDF"/>
    <w:rsid w:val="00B7657D"/>
    <w:rsid w:val="00B835C4"/>
    <w:rsid w:val="00B9091A"/>
    <w:rsid w:val="00B92538"/>
    <w:rsid w:val="00B93E8B"/>
    <w:rsid w:val="00BA4B06"/>
    <w:rsid w:val="00BA6CC5"/>
    <w:rsid w:val="00BB0F2C"/>
    <w:rsid w:val="00BC36AC"/>
    <w:rsid w:val="00BC6B12"/>
    <w:rsid w:val="00BD0C4A"/>
    <w:rsid w:val="00BD1717"/>
    <w:rsid w:val="00BD6BB8"/>
    <w:rsid w:val="00BD724E"/>
    <w:rsid w:val="00BF094D"/>
    <w:rsid w:val="00BF3180"/>
    <w:rsid w:val="00C0188F"/>
    <w:rsid w:val="00C029CB"/>
    <w:rsid w:val="00C035F2"/>
    <w:rsid w:val="00C0493A"/>
    <w:rsid w:val="00C05481"/>
    <w:rsid w:val="00C13944"/>
    <w:rsid w:val="00C21BF9"/>
    <w:rsid w:val="00C27F32"/>
    <w:rsid w:val="00C314D9"/>
    <w:rsid w:val="00C31D80"/>
    <w:rsid w:val="00C3479B"/>
    <w:rsid w:val="00C44C07"/>
    <w:rsid w:val="00C51787"/>
    <w:rsid w:val="00C71E6F"/>
    <w:rsid w:val="00C82623"/>
    <w:rsid w:val="00C90CA5"/>
    <w:rsid w:val="00CA26E2"/>
    <w:rsid w:val="00CA569A"/>
    <w:rsid w:val="00CA5953"/>
    <w:rsid w:val="00CA7252"/>
    <w:rsid w:val="00CA781E"/>
    <w:rsid w:val="00CB15D6"/>
    <w:rsid w:val="00CC2752"/>
    <w:rsid w:val="00CC54E3"/>
    <w:rsid w:val="00CD1220"/>
    <w:rsid w:val="00CD4A9F"/>
    <w:rsid w:val="00CE1A00"/>
    <w:rsid w:val="00CE70DE"/>
    <w:rsid w:val="00CE73E6"/>
    <w:rsid w:val="00CF19A1"/>
    <w:rsid w:val="00CF5DCE"/>
    <w:rsid w:val="00CF609E"/>
    <w:rsid w:val="00CF7FDC"/>
    <w:rsid w:val="00D0380B"/>
    <w:rsid w:val="00D1078E"/>
    <w:rsid w:val="00D1151F"/>
    <w:rsid w:val="00D13E0F"/>
    <w:rsid w:val="00D14912"/>
    <w:rsid w:val="00D23BFB"/>
    <w:rsid w:val="00D24EDC"/>
    <w:rsid w:val="00D2656D"/>
    <w:rsid w:val="00D309C5"/>
    <w:rsid w:val="00D35633"/>
    <w:rsid w:val="00D360A8"/>
    <w:rsid w:val="00D368F2"/>
    <w:rsid w:val="00D462FE"/>
    <w:rsid w:val="00D47D5E"/>
    <w:rsid w:val="00D55CA5"/>
    <w:rsid w:val="00D7472F"/>
    <w:rsid w:val="00D748F9"/>
    <w:rsid w:val="00D8006C"/>
    <w:rsid w:val="00D800F9"/>
    <w:rsid w:val="00D80B6C"/>
    <w:rsid w:val="00D85F41"/>
    <w:rsid w:val="00DA267A"/>
    <w:rsid w:val="00DA586B"/>
    <w:rsid w:val="00DA67AE"/>
    <w:rsid w:val="00DB1726"/>
    <w:rsid w:val="00DC68AD"/>
    <w:rsid w:val="00DE38F0"/>
    <w:rsid w:val="00DF0AFE"/>
    <w:rsid w:val="00DF2CAF"/>
    <w:rsid w:val="00E001C2"/>
    <w:rsid w:val="00E019CD"/>
    <w:rsid w:val="00E02C0A"/>
    <w:rsid w:val="00E1053A"/>
    <w:rsid w:val="00E15D8C"/>
    <w:rsid w:val="00E16693"/>
    <w:rsid w:val="00E171D1"/>
    <w:rsid w:val="00E25A70"/>
    <w:rsid w:val="00E33190"/>
    <w:rsid w:val="00E34B76"/>
    <w:rsid w:val="00E404EF"/>
    <w:rsid w:val="00E459EA"/>
    <w:rsid w:val="00E50E51"/>
    <w:rsid w:val="00E523E1"/>
    <w:rsid w:val="00E616BE"/>
    <w:rsid w:val="00E75E4E"/>
    <w:rsid w:val="00E818D0"/>
    <w:rsid w:val="00E92DCF"/>
    <w:rsid w:val="00E9730C"/>
    <w:rsid w:val="00EA3E03"/>
    <w:rsid w:val="00EB4D4B"/>
    <w:rsid w:val="00EB61E2"/>
    <w:rsid w:val="00EB679E"/>
    <w:rsid w:val="00ED56E3"/>
    <w:rsid w:val="00ED5BF3"/>
    <w:rsid w:val="00ED6B4A"/>
    <w:rsid w:val="00EE17F8"/>
    <w:rsid w:val="00EE2F7D"/>
    <w:rsid w:val="00EE63EC"/>
    <w:rsid w:val="00EE6AAA"/>
    <w:rsid w:val="00EF6630"/>
    <w:rsid w:val="00EF735F"/>
    <w:rsid w:val="00EF7EBE"/>
    <w:rsid w:val="00F00B99"/>
    <w:rsid w:val="00F14BF8"/>
    <w:rsid w:val="00F15D8A"/>
    <w:rsid w:val="00F22B16"/>
    <w:rsid w:val="00F23F19"/>
    <w:rsid w:val="00F2560C"/>
    <w:rsid w:val="00F379EE"/>
    <w:rsid w:val="00F40A3A"/>
    <w:rsid w:val="00F53D12"/>
    <w:rsid w:val="00F62067"/>
    <w:rsid w:val="00F64E04"/>
    <w:rsid w:val="00F650B5"/>
    <w:rsid w:val="00F6596D"/>
    <w:rsid w:val="00F6707B"/>
    <w:rsid w:val="00F71DA5"/>
    <w:rsid w:val="00F76C42"/>
    <w:rsid w:val="00F830E9"/>
    <w:rsid w:val="00F86EF0"/>
    <w:rsid w:val="00F91693"/>
    <w:rsid w:val="00F92781"/>
    <w:rsid w:val="00FA1FD2"/>
    <w:rsid w:val="00FA5180"/>
    <w:rsid w:val="00FA74BB"/>
    <w:rsid w:val="00FB391F"/>
    <w:rsid w:val="00FC01E9"/>
    <w:rsid w:val="00FC3CF0"/>
    <w:rsid w:val="00FD4E9F"/>
    <w:rsid w:val="00FE1364"/>
    <w:rsid w:val="00FE28AF"/>
    <w:rsid w:val="00FE6226"/>
    <w:rsid w:val="00FF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93E2ACD"/>
  <w15:docId w15:val="{DBE041CD-8219-4199-ACED-21F7FDE0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46C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customStyle="1" w:styleId="SMHeading">
    <w:name w:val="SM Heading"/>
    <w:basedOn w:val="Heading1"/>
    <w:qFormat/>
    <w:rsid w:val="005A1DD2"/>
    <w:pPr>
      <w:keepLines w:val="0"/>
      <w:spacing w:before="240" w:after="60"/>
    </w:pPr>
    <w:rPr>
      <w:rFonts w:ascii="Times New Roman" w:eastAsia="Times New Roman" w:hAnsi="Times New Roman" w:cs="Times New Roman"/>
      <w:bCs/>
      <w:kern w:val="32"/>
      <w:sz w:val="24"/>
      <w:szCs w:val="24"/>
    </w:rPr>
  </w:style>
  <w:style w:type="paragraph" w:styleId="Footer">
    <w:name w:val="footer"/>
    <w:basedOn w:val="Normal"/>
    <w:link w:val="FooterChar"/>
    <w:semiHidden/>
    <w:rsid w:val="00FE6226"/>
    <w:pPr>
      <w:tabs>
        <w:tab w:val="center" w:pos="4680"/>
        <w:tab w:val="right" w:pos="9360"/>
      </w:tabs>
      <w:spacing w:after="0"/>
    </w:pPr>
    <w:rPr>
      <w:rFonts w:ascii="Times New Roman" w:eastAsia="Times New Roman" w:hAnsi="Times New Roman" w:cs="Times New Roman"/>
      <w:sz w:val="24"/>
      <w:szCs w:val="20"/>
    </w:rPr>
  </w:style>
  <w:style w:type="character" w:customStyle="1" w:styleId="FooterChar">
    <w:name w:val="Footer Char"/>
    <w:basedOn w:val="DefaultParagraphFont"/>
    <w:link w:val="Footer"/>
    <w:semiHidden/>
    <w:rsid w:val="00FE6226"/>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E6226"/>
    <w:pPr>
      <w:tabs>
        <w:tab w:val="center" w:pos="4680"/>
        <w:tab w:val="right" w:pos="9360"/>
      </w:tabs>
      <w:spacing w:after="0"/>
    </w:pPr>
  </w:style>
  <w:style w:type="character" w:customStyle="1" w:styleId="HeaderChar">
    <w:name w:val="Header Char"/>
    <w:basedOn w:val="DefaultParagraphFont"/>
    <w:link w:val="Header"/>
    <w:uiPriority w:val="99"/>
    <w:rsid w:val="00FE6226"/>
  </w:style>
  <w:style w:type="paragraph" w:styleId="Revision">
    <w:name w:val="Revision"/>
    <w:hidden/>
    <w:uiPriority w:val="99"/>
    <w:semiHidden/>
    <w:rsid w:val="007427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0303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2aging.org/" TargetMode="External"/><Relationship Id="rId26" Type="http://schemas.openxmlformats.org/officeDocument/2006/relationships/package" Target="embeddings/Microsoft_Excel_Worksheet.xlsx"/><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share-project.org/" TargetMode="External"/><Relationship Id="rId25" Type="http://schemas.openxmlformats.org/officeDocument/2006/relationships/image" Target="media/image8.emf"/><Relationship Id="rId33" Type="http://schemas.openxmlformats.org/officeDocument/2006/relationships/header" Target="header2.xml"/><Relationship Id="rId38"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yperlink" Target="http://www.share-project.org/" TargetMode="Externa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image" Target="media/image10.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g2aging.org/"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yperlink" Target="mailto:Vanessa.DiLego@oeaw.ac.a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0CF9F27-40B9-4E31-9E00-C4AA04E03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22107</Words>
  <Characters>126016</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147828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Di Lego Goncalves, Vanessa</cp:lastModifiedBy>
  <cp:revision>26</cp:revision>
  <dcterms:created xsi:type="dcterms:W3CDTF">2023-06-16T09:45:00Z</dcterms:created>
  <dcterms:modified xsi:type="dcterms:W3CDTF">2023-06-22T07:44:00Z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http://www.zotero.org/styles/springer-basic-author-date</vt:lpwstr>
  </property>
</Properties>
</file>