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rPr>
          <w:rFonts w:ascii="Arial" w:eastAsia="Arial" w:hAnsi="Arial" w:cs="Arial"/>
          <w:sz w:val="28"/>
          <w:szCs w:val="28"/>
        </w:rPr>
      </w:pPr>
      <w:bookmarkStart w:id="0" w:name="_Hlk131503646"/>
      <w:bookmarkStart w:id="1" w:name="_Hlk131605437"/>
      <w:r>
        <w:rPr>
          <w:rFonts w:ascii="Arial" w:eastAsia="Arial" w:hAnsi="Arial" w:cs="Arial"/>
          <w:sz w:val="28"/>
          <w:szCs w:val="28"/>
        </w:rPr>
        <w:t>Going beyond the gender gap in healthy lifespans</w:t>
      </w:r>
    </w:p>
    <w:p w14:paraId="00000006" w14:textId="77777777" w:rsidR="00B133DD" w:rsidRDefault="00A50CB3">
      <w:pPr>
        <w:rPr>
          <w:rFonts w:ascii="Arial" w:eastAsia="Arial" w:hAnsi="Arial" w:cs="Arial"/>
          <w:sz w:val="20"/>
          <w:szCs w:val="20"/>
        </w:rPr>
      </w:pPr>
      <w:bookmarkStart w:id="2" w:name="_Hlk131503656"/>
      <w:bookmarkEnd w:id="0"/>
      <w:r>
        <w:rPr>
          <w:rFonts w:ascii="Arial" w:eastAsia="Arial" w:hAnsi="Arial" w:cs="Arial"/>
          <w:sz w:val="20"/>
          <w:szCs w:val="20"/>
        </w:rPr>
        <w:t>Vanessa di Lego</w:t>
      </w:r>
      <w:r>
        <w:rPr>
          <w:rFonts w:ascii="Arial" w:eastAsia="Arial" w:hAnsi="Arial" w:cs="Arial"/>
          <w:sz w:val="20"/>
          <w:szCs w:val="20"/>
          <w:vertAlign w:val="superscript"/>
        </w:rPr>
        <w:t>1</w:t>
      </w:r>
      <w:r>
        <w:rPr>
          <w:rFonts w:ascii="Arial" w:eastAsia="Arial" w:hAnsi="Arial" w:cs="Arial"/>
          <w:sz w:val="20"/>
          <w:szCs w:val="20"/>
        </w:rPr>
        <w:t xml:space="preserve">*, </w:t>
      </w:r>
      <w:proofErr w:type="spellStart"/>
      <w:r>
        <w:rPr>
          <w:rFonts w:ascii="Arial" w:eastAsia="Arial" w:hAnsi="Arial" w:cs="Arial"/>
          <w:sz w:val="20"/>
          <w:szCs w:val="20"/>
        </w:rPr>
        <w:t>Marília</w:t>
      </w:r>
      <w:proofErr w:type="spellEnd"/>
      <w:r>
        <w:rPr>
          <w:rFonts w:ascii="Arial" w:eastAsia="Arial" w:hAnsi="Arial" w:cs="Arial"/>
          <w:sz w:val="20"/>
          <w:szCs w:val="20"/>
        </w:rPr>
        <w:t xml:space="preserve"> R. Nepomuceno</w:t>
      </w:r>
      <w:r>
        <w:rPr>
          <w:rFonts w:ascii="Arial" w:eastAsia="Arial" w:hAnsi="Arial" w:cs="Arial"/>
          <w:sz w:val="20"/>
          <w:szCs w:val="20"/>
          <w:vertAlign w:val="superscript"/>
        </w:rPr>
        <w:t>2</w:t>
      </w:r>
      <w:r>
        <w:rPr>
          <w:rFonts w:ascii="Arial" w:eastAsia="Arial" w:hAnsi="Arial" w:cs="Arial"/>
          <w:sz w:val="20"/>
          <w:szCs w:val="20"/>
        </w:rPr>
        <w:t xml:space="preserve">, </w:t>
      </w:r>
      <w:proofErr w:type="spellStart"/>
      <w:r>
        <w:rPr>
          <w:rFonts w:ascii="Arial" w:eastAsia="Arial" w:hAnsi="Arial" w:cs="Arial"/>
          <w:sz w:val="20"/>
          <w:szCs w:val="20"/>
        </w:rPr>
        <w:t>Cássio</w:t>
      </w:r>
      <w:proofErr w:type="spellEnd"/>
      <w:r>
        <w:rPr>
          <w:rFonts w:ascii="Arial" w:eastAsia="Arial" w:hAnsi="Arial" w:cs="Arial"/>
          <w:sz w:val="20"/>
          <w:szCs w:val="20"/>
        </w:rPr>
        <w:t xml:space="preserve"> M. </w:t>
      </w:r>
      <w:proofErr w:type="spellStart"/>
      <w:r>
        <w:rPr>
          <w:rFonts w:ascii="Arial" w:eastAsia="Arial" w:hAnsi="Arial" w:cs="Arial"/>
          <w:sz w:val="20"/>
          <w:szCs w:val="20"/>
        </w:rPr>
        <w:t>Turra</w:t>
      </w:r>
      <w:proofErr w:type="spellEnd"/>
      <w:r>
        <w:rPr>
          <w:rFonts w:ascii="Arial" w:eastAsia="Arial" w:hAnsi="Arial" w:cs="Arial"/>
          <w:sz w:val="20"/>
          <w:szCs w:val="20"/>
        </w:rPr>
        <w:t xml:space="preserve"> </w:t>
      </w:r>
      <w:r>
        <w:rPr>
          <w:rFonts w:ascii="Arial" w:eastAsia="Arial" w:hAnsi="Arial" w:cs="Arial"/>
          <w:sz w:val="20"/>
          <w:szCs w:val="20"/>
          <w:vertAlign w:val="superscript"/>
        </w:rPr>
        <w:t>3</w:t>
      </w:r>
    </w:p>
    <w:p w14:paraId="00000007" w14:textId="77777777" w:rsidR="00B133DD" w:rsidRDefault="00A50CB3">
      <w:pPr>
        <w:rPr>
          <w:rFonts w:ascii="Arial" w:eastAsia="Arial" w:hAnsi="Arial" w:cs="Arial"/>
          <w:sz w:val="20"/>
          <w:szCs w:val="20"/>
        </w:rPr>
      </w:pPr>
      <w:bookmarkStart w:id="3" w:name="_Hlk131503675"/>
      <w:bookmarkEnd w:id="2"/>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3 </w:t>
      </w:r>
      <w:proofErr w:type="spellStart"/>
      <w:r>
        <w:rPr>
          <w:rFonts w:ascii="Arial" w:eastAsia="Arial" w:hAnsi="Arial" w:cs="Arial"/>
          <w:sz w:val="20"/>
          <w:szCs w:val="20"/>
        </w:rPr>
        <w:t>Universidade</w:t>
      </w:r>
      <w:proofErr w:type="spellEnd"/>
      <w:r>
        <w:rPr>
          <w:rFonts w:ascii="Arial" w:eastAsia="Arial" w:hAnsi="Arial" w:cs="Arial"/>
          <w:sz w:val="20"/>
          <w:szCs w:val="20"/>
        </w:rPr>
        <w:t xml:space="preserve"> Federal de Minas Gerais, </w:t>
      </w:r>
      <w:proofErr w:type="spellStart"/>
      <w:r>
        <w:rPr>
          <w:rFonts w:ascii="Arial" w:eastAsia="Arial" w:hAnsi="Arial" w:cs="Arial"/>
          <w:sz w:val="20"/>
          <w:szCs w:val="20"/>
        </w:rPr>
        <w:t>Cedeplar</w:t>
      </w:r>
      <w:proofErr w:type="spellEnd"/>
      <w:r>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3"/>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4"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3BA7785B" w:rsidR="00B133DD" w:rsidRDefault="00A50CB3" w:rsidP="008B1C35">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licy makers use gaps</w:t>
      </w:r>
      <w:r>
        <w:rPr>
          <w:rFonts w:ascii="Arial" w:eastAsia="Arial" w:hAnsi="Arial" w:cs="Arial"/>
          <w:color w:val="000000"/>
          <w:sz w:val="24"/>
          <w:szCs w:val="24"/>
        </w:rPr>
        <w:t xml:space="preserve"> to benchmark countries, monitor changes over time, and identify the pace at which countries are closing or widening gender gaps 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00000032" w14:textId="77777777"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00000033" w14:textId="28772B25" w:rsidR="00B133DD" w:rsidRDefault="00A50CB3">
      <w:pPr>
        <w:keepNext/>
        <w:spacing w:after="0" w:line="360" w:lineRule="auto"/>
        <w:jc w:val="both"/>
        <w:rPr>
          <w:rFonts w:ascii="Arial" w:eastAsia="Arial" w:hAnsi="Arial" w:cs="Arial"/>
          <w:sz w:val="24"/>
          <w:szCs w:val="24"/>
        </w:rPr>
      </w:pPr>
      <w:r>
        <w:rPr>
          <w:rFonts w:ascii="Arial" w:eastAsia="Arial" w:hAnsi="Arial" w:cs="Arial"/>
          <w:sz w:val="24"/>
          <w:szCs w:val="24"/>
        </w:rPr>
        <w:t>Decomposition analyses help us to disentangle the components of gaps derived from aggregate health measures. For instance, when the gender gap comes from differences in healthy life expectancies, decomposition analyses break down the gap into two components: mortality and health</w:t>
      </w:r>
      <w:r w:rsidR="004A78A8">
        <w:rPr>
          <w:rFonts w:ascii="Arial" w:eastAsia="Arial" w:hAnsi="Arial" w:cs="Arial"/>
          <w:sz w:val="24"/>
          <w:szCs w:val="24"/>
        </w:rPr>
        <w:t xml:space="preserve"> </w:t>
      </w:r>
      <w:r w:rsidR="00951C16">
        <w:rPr>
          <w:rFonts w:ascii="Arial" w:eastAsia="Arial" w:hAnsi="Arial" w:cs="Arial"/>
          <w:sz w:val="24"/>
          <w:szCs w:val="24"/>
        </w:rPr>
        <w:fldChar w:fldCharType="begin" w:fldLock="1"/>
      </w:r>
      <w:r w:rsidR="004A78A8">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951C16">
        <w:rPr>
          <w:rFonts w:ascii="Arial" w:eastAsia="Arial" w:hAnsi="Arial" w:cs="Arial"/>
          <w:sz w:val="24"/>
          <w:szCs w:val="24"/>
        </w:rPr>
        <w:fldChar w:fldCharType="separate"/>
      </w:r>
      <w:r w:rsidR="002E222B" w:rsidRPr="002E222B">
        <w:rPr>
          <w:rFonts w:ascii="Arial" w:eastAsia="Arial" w:hAnsi="Arial" w:cs="Arial"/>
          <w:noProof/>
          <w:sz w:val="24"/>
          <w:szCs w:val="24"/>
        </w:rPr>
        <w:t>(Nusselder and Looman 2004; van Raalte and Nepomuceno 2020; Nepomuceno et al. 2021)</w:t>
      </w:r>
      <w:r w:rsidR="00951C16">
        <w:rPr>
          <w:rFonts w:ascii="Arial" w:eastAsia="Arial" w:hAnsi="Arial" w:cs="Arial"/>
          <w:sz w:val="24"/>
          <w:szCs w:val="24"/>
        </w:rPr>
        <w:fldChar w:fldCharType="end"/>
      </w:r>
      <w:r>
        <w:rPr>
          <w:rFonts w:ascii="Arial" w:eastAsia="Arial" w:hAnsi="Arial" w:cs="Arial"/>
          <w:sz w:val="24"/>
          <w:szCs w:val="24"/>
        </w:rPr>
        <w:t>. The contributions of mortality and disability to the gender gap in health expectancy have shown that gender differences in mortality and disability can be masked when only the total gap is analyzed</w:t>
      </w:r>
      <w:r w:rsidR="007C42B5">
        <w:rPr>
          <w:rFonts w:ascii="Arial" w:eastAsia="Arial" w:hAnsi="Arial" w:cs="Arial"/>
          <w:sz w:val="24"/>
          <w:szCs w:val="24"/>
        </w:rPr>
        <w:t xml:space="preserve"> </w:t>
      </w:r>
      <w:r w:rsidR="007C42B5">
        <w:rPr>
          <w:rFonts w:ascii="Arial" w:eastAsia="Arial" w:hAnsi="Arial" w:cs="Arial"/>
          <w:sz w:val="24"/>
          <w:szCs w:val="24"/>
        </w:rPr>
        <w:fldChar w:fldCharType="begin" w:fldLock="1"/>
      </w:r>
      <w:r w:rsidR="004A78A8">
        <w:rPr>
          <w:rFonts w:ascii="Arial" w:eastAsia="Arial" w:hAnsi="Arial" w:cs="Arial"/>
          <w:sz w:val="24"/>
          <w:szCs w:val="24"/>
        </w:rPr>
        <w:instrText>ADDIN CSL_CITATION {"citationItems":[{"id":"ITEM-1","itemData":{"DOI":"10.1177/1403494814550174","ISBN":"1403-4948","ISSN":"16511905","PMID":"25260639","abstract":"BACKGROUND: The population of Greenland comprises almost 31,000 Inuit Greenlanders aged 20-65. The purpose of this study was to estimate trends in expected life years between age 20 and 65 in good and poor health, and to compare changes between men and women since the mid-1990s.\\n\\nMETHODS: Partial life expectancy was calculated and combined with prevalence data on self-rated health, longstanding illness and musculoskeletal diseases derived from health surveys carried out in 1993-94, 1999-2001 and 2005-10. Trends for men and women were compared and changes were decomposed into contributions from changes in mortality and disability.\\n\\nRESULTS: Partial life expectancy increased by 2.2 years for men and 0.8 years for women during the entire period. However, expected lifetime in self-rated good health decreased by 3.3 years for men and by 4.6 years for women (p&lt;0.01). For men, life expectancy without longstanding illness increased by 4.7 years (p&lt;0.001). The increase for women by 1.4 years was non-significant (p=0.29). Expected lifetime without musculoskeletal diseases increased significantly by 4.5 years for men and by 1.9 years for women.\\n\\nCONCLUSIONS: The development of expected lifetime without longstanding illness supports the theory of compression of morbidity, but as the trend direction differs according to which measure for health is used, a definite conclusion cannot be drawn. The different rate of development of partial life expectancy and expected lifetime in good health between men and women is remarkable, and has reduced the gender gap. The results call for special concern about the women's health in Greenland.","author":[{"dropping-particle":"","family":"Mairey","given":"Isabelle","non-dropping-particle":"","parse-names":false,"suffix":""},{"dropping-particle":"","family":"Bjerregaard","given":"Peter","non-dropping-particle":"","parse-names":false,"suffix":""},{"dropping-particle":"","family":"Brønnum Hansen","given":"Henrik","non-dropping-particle":"","parse-names":false,"suffix":""}],"container-title":"Scandinavian Journal of Public Health","id":"ITEM-1","issue":"8","issued":{"date-parts":[["2014"]]},"page":"751-758","title":"Gender difference in health expectancy trends in Greenland","type":"article-journal","volume":"42"},"uris":["http://www.mendeley.com/documents/?uuid=e15bb4d6-3c23-466b-ad25-6ffc2073f00e"]},{"id":"ITEM-2","itemData":{"DOI":"10.1016/j.jclinepi.2009.11.002","ISBN":"1878-5921; 0895-4356","ISSN":"08954356","PMID":"20171842","abstract":"Objective: This work aims to validate and increase understanding of the Global Activity Limitation Index (GALI), an activity limitation measure from which the new structural indicator Healthy Life Years is generated. Study Design and Setting: Data from the Survey of Health and Retirement in Europe, covering 11 European countries and 27,340 individuals older than 50 years, was used to investigate how the GALI was associated with other existing measures of function and disability and whether the GALI was consistent or reflected different levels of health in different countries. Results: The GALI was significantly associated with the two subjective measures of activities of daily living score and instrumental activities of daily living (IADL) score, and the two objective measures of maximum grip strength and walking speed (P &lt; 0.001 in all cases). The GALI did not differ significantly between countries in terms of how it reflected three of the health measures, with the exception being IADL. Conclusion: The GALI appears to satisfactorily reflect levels of function and disability as assessed by long-standing objective and subjective measures, both across Europe and in a similar way between countries. © 2010 Elsevier Inc. All rights reserved.","author":[{"dropping-particle":"","family":"Jagger","given":"Carol","non-dropping-particle":"","parse-names":false,"suffix":""},{"dropping-particle":"","family":"Gillies","given":"Clare","non-dropping-particle":"","parse-names":false,"suffix":""},{"dropping-particle":"","family":"Cambois","given":"Emmanuelle","non-dropping-particle":"","parse-names":false,"suffix":""},{"dropping-particle":"","family":"Oyen","given":"Herman","non-dropping-particle":"Van","parse-names":false,"suffix":""},{"dropping-particle":"","family":"Nusselder","given":"Wilma","non-dropping-particle":"","parse-names":false,"suffix":""},{"dropping-particle":"","family":"Robine","given":"Jean Marie","non-dropping-particle":"","parse-names":false,"suffix":""}],"container-title":"Journal of Clinical Epidemiology","id":"ITEM-2","issue":"8","issued":{"date-parts":[["2010"]]},"page":"892-899","title":"The Global Activity Limitation Index measured function and disability similarly across European countries","type":"article-journal","volume":"63"},"uris":["http://www.mendeley.com/documents/?uuid=249575ee-2241-4f3f-b915-27200735b0c1"]},{"id":"ITEM-3","itemData":{"ISSN":"0070-3370","PMID":"15209043","abstract":"Health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-3","issue":"2","issued":{"date-parts":[["2004","5"]]},"page":"315-34","title":"Decomposition of differences in health expectancy by cause.","type":"article-journal","volume":"41"},"uris":["http://www.mendeley.com/documents/?uuid=6b97e0db-d1cd-4ff8-ad0a-0309b7783580"]}],"mendeley":{"formattedCitation":"(Nusselder and Looman 2004; Jagger et al. 2010; Mairey et al. 2014)","plainTextFormattedCitation":"(Nusselder and Looman 2004; Jagger et al. 2010; Mairey et al. 2014)","previouslyFormattedCitation":"(Nusselder and Looman 2004; Jagger et al. 2010; Mairey et al. 2014)"},"properties":{"noteIndex":0},"schema":"https://github.com/citation-style-language/schema/raw/master/csl-citation.json"}</w:instrText>
      </w:r>
      <w:r w:rsidR="007C42B5">
        <w:rPr>
          <w:rFonts w:ascii="Arial" w:eastAsia="Arial" w:hAnsi="Arial" w:cs="Arial"/>
          <w:sz w:val="24"/>
          <w:szCs w:val="24"/>
        </w:rPr>
        <w:fldChar w:fldCharType="separate"/>
      </w:r>
      <w:r w:rsidR="002E222B" w:rsidRPr="002E222B">
        <w:rPr>
          <w:rFonts w:ascii="Arial" w:eastAsia="Arial" w:hAnsi="Arial" w:cs="Arial"/>
          <w:noProof/>
          <w:sz w:val="24"/>
          <w:szCs w:val="24"/>
        </w:rPr>
        <w:t>(Nusselder and Looman 2004; Jagger et al. 2010; Mairey et al. 2014)</w:t>
      </w:r>
      <w:r w:rsidR="007C42B5">
        <w:rPr>
          <w:rFonts w:ascii="Arial" w:eastAsia="Arial" w:hAnsi="Arial" w:cs="Arial"/>
          <w:sz w:val="24"/>
          <w:szCs w:val="24"/>
        </w:rPr>
        <w:fldChar w:fldCharType="end"/>
      </w:r>
      <w:r w:rsidR="007C42B5">
        <w:rPr>
          <w:rFonts w:ascii="Arial" w:eastAsia="Arial" w:hAnsi="Arial" w:cs="Arial"/>
          <w:sz w:val="24"/>
          <w:szCs w:val="24"/>
        </w:rPr>
        <w:t xml:space="preserve">. </w:t>
      </w:r>
      <w:r>
        <w:rPr>
          <w:rFonts w:ascii="Arial" w:eastAsia="Arial" w:hAnsi="Arial" w:cs="Arial"/>
          <w:sz w:val="24"/>
          <w:szCs w:val="24"/>
        </w:rPr>
        <w:t>In some contexts, this effect can be substantial</w:t>
      </w:r>
      <w:r w:rsidR="001E682F">
        <w:rPr>
          <w:rFonts w:ascii="Arial" w:eastAsia="Arial" w:hAnsi="Arial" w:cs="Arial"/>
          <w:sz w:val="24"/>
          <w:szCs w:val="24"/>
        </w:rPr>
        <w:t xml:space="preserve"> </w:t>
      </w:r>
      <w:r w:rsidR="001E682F">
        <w:rPr>
          <w:rFonts w:ascii="Arial" w:eastAsia="Arial" w:hAnsi="Arial" w:cs="Arial"/>
          <w:sz w:val="24"/>
          <w:szCs w:val="24"/>
        </w:rPr>
        <w:fldChar w:fldCharType="begin" w:fldLock="1"/>
      </w:r>
      <w:r w:rsidR="00E33190">
        <w:rPr>
          <w:rFonts w:ascii="Arial" w:eastAsia="Arial" w:hAnsi="Arial" w:cs="Arial"/>
          <w:sz w:val="24"/>
          <w:szCs w:val="24"/>
        </w:rPr>
        <w:instrText>ADDIN CSL_CITATION {"citationItems":[{"id":"ITEM-1","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Health","id":"ITEM-1","issue":"1","issued":{"date-parts":[["2013","2","22"]]},"page":"143-155","title":"Gender differences in healthy life years within the EU: an exploration of the “health–survival” paradox","type":"article-journal","volume":"58"},"uris":["http://www.mendeley.com/documents/?uuid=598e4721-915d-4cb2-a376-34883f41c01f"]},{"id":"ITEM-2","itemData":{"DOI":"10.1093/eurpub/cky105","ISSN":"1464-360X","PMID":"29917065","abstract":"Background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health","id":"ITEM-2","issue":"1","issued":{"date-parts":[["2019","2","1"]]},"page":"82-87","title":"Contribution of chronic conditions to gender disparities in health expectancies in Belgium, 2001, 2004 and 2008.","type":"article-journal","volume":"29"},"uris":["http://www.mendeley.com/documents/?uuid=e14c2d5a-22c7-456c-a7b4-678d36dafe3e"]}],"mendeley":{"formattedCitation":"(Van Oyen et al. 2013; Yokota et al. 2019)","plainTextFormattedCitation":"(Van Oyen et al. 2013; Yokota et al. 2019)","previouslyFormattedCitation":"(Van Oyen et al. 2013; Yokota et al. 2019)"},"properties":{"noteIndex":0},"schema":"https://github.com/citation-style-language/schema/raw/master/csl-citation.json"}</w:instrText>
      </w:r>
      <w:r w:rsidR="001E682F">
        <w:rPr>
          <w:rFonts w:ascii="Arial" w:eastAsia="Arial" w:hAnsi="Arial" w:cs="Arial"/>
          <w:sz w:val="24"/>
          <w:szCs w:val="24"/>
        </w:rPr>
        <w:fldChar w:fldCharType="separate"/>
      </w:r>
      <w:r w:rsidR="001E682F" w:rsidRPr="001E682F">
        <w:rPr>
          <w:rFonts w:ascii="Arial" w:eastAsia="Arial" w:hAnsi="Arial" w:cs="Arial"/>
          <w:noProof/>
          <w:sz w:val="24"/>
          <w:szCs w:val="24"/>
        </w:rPr>
        <w:t>(Van Oyen et al. 2013; Yokota et al. 2019)</w:t>
      </w:r>
      <w:r w:rsidR="001E682F">
        <w:rPr>
          <w:rFonts w:ascii="Arial" w:eastAsia="Arial" w:hAnsi="Arial" w:cs="Arial"/>
          <w:sz w:val="24"/>
          <w:szCs w:val="24"/>
        </w:rPr>
        <w:fldChar w:fldCharType="end"/>
      </w:r>
      <w:r>
        <w:rPr>
          <w:rFonts w:ascii="Arial" w:eastAsia="Arial" w:hAnsi="Arial" w:cs="Arial"/>
          <w:sz w:val="24"/>
          <w:szCs w:val="24"/>
        </w:rPr>
        <w:t xml:space="preserve">. </w:t>
      </w:r>
    </w:p>
    <w:p w14:paraId="0E522574" w14:textId="77777777" w:rsidR="0043713B" w:rsidRDefault="0043713B">
      <w:pPr>
        <w:keepNext/>
        <w:spacing w:after="0" w:line="360" w:lineRule="auto"/>
        <w:jc w:val="both"/>
        <w:rPr>
          <w:rFonts w:ascii="Arial" w:eastAsia="Arial" w:hAnsi="Arial" w:cs="Arial"/>
          <w:sz w:val="24"/>
          <w:szCs w:val="24"/>
        </w:rPr>
      </w:pPr>
    </w:p>
    <w:p w14:paraId="1C3434E0" w14:textId="44EC78F2" w:rsidR="000B2BCF" w:rsidRDefault="0043713B">
      <w:pPr>
        <w:keepNext/>
        <w:spacing w:after="0" w:line="360" w:lineRule="auto"/>
        <w:jc w:val="both"/>
        <w:rPr>
          <w:rFonts w:ascii="Arial" w:eastAsia="Arial" w:hAnsi="Arial" w:cs="Arial"/>
          <w:sz w:val="24"/>
          <w:szCs w:val="24"/>
        </w:rPr>
      </w:pPr>
      <w:r w:rsidRPr="0043713B">
        <w:rPr>
          <w:rFonts w:ascii="Arial" w:eastAsia="Arial" w:hAnsi="Arial" w:cs="Arial"/>
          <w:sz w:val="24"/>
          <w:szCs w:val="24"/>
        </w:rPr>
        <w:t>For some countries, where the gender gap in health expectancies was virtually zero, decomposition</w:t>
      </w:r>
      <w:r>
        <w:rPr>
          <w:rFonts w:ascii="Arial" w:eastAsia="Arial" w:hAnsi="Arial" w:cs="Arial"/>
          <w:sz w:val="24"/>
          <w:szCs w:val="24"/>
        </w:rPr>
        <w:t xml:space="preserve"> </w:t>
      </w:r>
      <w:r w:rsidRPr="0043713B">
        <w:rPr>
          <w:rFonts w:ascii="Arial" w:eastAsia="Arial" w:hAnsi="Arial" w:cs="Arial"/>
          <w:sz w:val="24"/>
          <w:szCs w:val="24"/>
        </w:rPr>
        <w:t>analyses revealed considerable</w:t>
      </w:r>
      <w:r>
        <w:rPr>
          <w:rFonts w:ascii="Arial" w:eastAsia="Arial" w:hAnsi="Arial" w:cs="Arial"/>
          <w:sz w:val="24"/>
          <w:szCs w:val="24"/>
        </w:rPr>
        <w:t xml:space="preserve"> </w:t>
      </w:r>
      <w:r w:rsidRPr="0043713B">
        <w:rPr>
          <w:rFonts w:ascii="Arial" w:eastAsia="Arial" w:hAnsi="Arial" w:cs="Arial"/>
          <w:sz w:val="24"/>
          <w:szCs w:val="24"/>
        </w:rPr>
        <w:t>differences in both mortality and health, but</w:t>
      </w:r>
      <w:r>
        <w:rPr>
          <w:rFonts w:ascii="Arial" w:eastAsia="Arial" w:hAnsi="Arial" w:cs="Arial"/>
          <w:sz w:val="24"/>
          <w:szCs w:val="24"/>
        </w:rPr>
        <w:t xml:space="preserve"> </w:t>
      </w:r>
      <w:r w:rsidRPr="0043713B">
        <w:rPr>
          <w:rFonts w:ascii="Arial" w:eastAsia="Arial" w:hAnsi="Arial" w:cs="Arial"/>
          <w:sz w:val="24"/>
          <w:szCs w:val="24"/>
        </w:rPr>
        <w:t>in different directions</w:t>
      </w:r>
      <w:r w:rsidR="00E33190">
        <w:rPr>
          <w:rFonts w:ascii="Arial" w:eastAsia="Arial" w:hAnsi="Arial" w:cs="Arial"/>
          <w:sz w:val="24"/>
          <w:szCs w:val="24"/>
        </w:rPr>
        <w:t xml:space="preserve"> </w:t>
      </w:r>
      <w:r w:rsidR="00E33190">
        <w:rPr>
          <w:rFonts w:ascii="Arial" w:eastAsia="Arial" w:hAnsi="Arial" w:cs="Arial"/>
          <w:sz w:val="24"/>
          <w:szCs w:val="24"/>
        </w:rPr>
        <w:fldChar w:fldCharType="begin" w:fldLock="1"/>
      </w:r>
      <w:r w:rsidR="00CA781E">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E33190">
        <w:rPr>
          <w:rFonts w:ascii="Arial" w:eastAsia="Arial" w:hAnsi="Arial" w:cs="Arial"/>
          <w:sz w:val="24"/>
          <w:szCs w:val="24"/>
        </w:rPr>
        <w:fldChar w:fldCharType="separate"/>
      </w:r>
      <w:r w:rsidR="004A78A8" w:rsidRPr="004A78A8">
        <w:rPr>
          <w:rFonts w:ascii="Arial" w:eastAsia="Arial" w:hAnsi="Arial" w:cs="Arial"/>
          <w:noProof/>
          <w:sz w:val="24"/>
          <w:szCs w:val="24"/>
        </w:rPr>
        <w:t>(Nusselder et al. 2010; Van Oyen et al. 2013)</w:t>
      </w:r>
      <w:r w:rsidR="00E33190">
        <w:rPr>
          <w:rFonts w:ascii="Arial" w:eastAsia="Arial" w:hAnsi="Arial" w:cs="Arial"/>
          <w:sz w:val="24"/>
          <w:szCs w:val="24"/>
        </w:rPr>
        <w:fldChar w:fldCharType="end"/>
      </w:r>
      <w:r w:rsidRPr="002E222B">
        <w:rPr>
          <w:rFonts w:ascii="Arial" w:eastAsia="Arial" w:hAnsi="Arial" w:cs="Arial"/>
          <w:sz w:val="24"/>
          <w:szCs w:val="24"/>
        </w:rPr>
        <w:t xml:space="preserve">. </w:t>
      </w:r>
      <w:r w:rsidRPr="0043713B">
        <w:rPr>
          <w:rFonts w:ascii="Arial" w:eastAsia="Arial" w:hAnsi="Arial" w:cs="Arial"/>
          <w:sz w:val="24"/>
          <w:szCs w:val="24"/>
        </w:rPr>
        <w:t xml:space="preserve">As a consequence, the </w:t>
      </w:r>
      <w:r w:rsidRPr="0043713B">
        <w:rPr>
          <w:rFonts w:ascii="Arial" w:eastAsia="Arial" w:hAnsi="Arial" w:cs="Arial"/>
          <w:sz w:val="24"/>
          <w:szCs w:val="24"/>
        </w:rPr>
        <w:lastRenderedPageBreak/>
        <w:t>combination of a high prevalence of disability coupled with a high mortality advantage among women resulted in a small gender gap</w:t>
      </w:r>
      <w:r w:rsidR="0032279B">
        <w:rPr>
          <w:rFonts w:ascii="Arial" w:eastAsia="Arial" w:hAnsi="Arial" w:cs="Arial"/>
          <w:sz w:val="24"/>
          <w:szCs w:val="24"/>
        </w:rPr>
        <w:t xml:space="preserve"> </w:t>
      </w:r>
      <w:r w:rsidR="0032279B">
        <w:rPr>
          <w:rFonts w:ascii="Arial" w:eastAsia="Arial" w:hAnsi="Arial" w:cs="Arial"/>
          <w:sz w:val="24"/>
          <w:szCs w:val="24"/>
        </w:rPr>
        <w:fldChar w:fldCharType="begin" w:fldLock="1"/>
      </w:r>
      <w:r w:rsidR="004A78A8">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32279B">
        <w:rPr>
          <w:rFonts w:ascii="Arial" w:eastAsia="Arial" w:hAnsi="Arial" w:cs="Arial"/>
          <w:sz w:val="24"/>
          <w:szCs w:val="24"/>
        </w:rPr>
        <w:fldChar w:fldCharType="separate"/>
      </w:r>
      <w:r w:rsidR="002E222B" w:rsidRPr="002E222B">
        <w:rPr>
          <w:rFonts w:ascii="Arial" w:eastAsia="Arial" w:hAnsi="Arial" w:cs="Arial"/>
          <w:noProof/>
          <w:sz w:val="24"/>
          <w:szCs w:val="24"/>
        </w:rPr>
        <w:t>(Nepomuceno et al. 2021)</w:t>
      </w:r>
      <w:r w:rsidR="0032279B">
        <w:rPr>
          <w:rFonts w:ascii="Arial" w:eastAsia="Arial" w:hAnsi="Arial" w:cs="Arial"/>
          <w:sz w:val="24"/>
          <w:szCs w:val="24"/>
        </w:rPr>
        <w:fldChar w:fldCharType="end"/>
      </w:r>
      <w:r w:rsidRPr="0043713B">
        <w:rPr>
          <w:rFonts w:ascii="Arial" w:eastAsia="Arial" w:hAnsi="Arial" w:cs="Arial"/>
          <w:sz w:val="24"/>
          <w:szCs w:val="24"/>
        </w:rPr>
        <w:t xml:space="preserve">. In such cases, </w:t>
      </w:r>
      <w:r>
        <w:rPr>
          <w:rFonts w:ascii="Arial" w:eastAsia="Arial" w:hAnsi="Arial" w:cs="Arial"/>
          <w:sz w:val="24"/>
          <w:szCs w:val="24"/>
        </w:rPr>
        <w:t>i</w:t>
      </w:r>
      <w:r w:rsidRPr="0043713B">
        <w:rPr>
          <w:rFonts w:ascii="Arial" w:eastAsia="Arial" w:hAnsi="Arial" w:cs="Arial"/>
          <w:sz w:val="24"/>
          <w:szCs w:val="24"/>
        </w:rPr>
        <w:t>nterpreting a small gender gap in health expectancy as a metric for low gender inequality</w:t>
      </w:r>
      <w:r>
        <w:rPr>
          <w:rFonts w:ascii="Arial" w:eastAsia="Arial" w:hAnsi="Arial" w:cs="Arial"/>
          <w:sz w:val="24"/>
          <w:szCs w:val="24"/>
        </w:rPr>
        <w:t xml:space="preserve"> </w:t>
      </w:r>
      <w:r w:rsidRPr="0043713B">
        <w:rPr>
          <w:rFonts w:ascii="Arial" w:eastAsia="Arial" w:hAnsi="Arial" w:cs="Arial"/>
          <w:sz w:val="24"/>
          <w:szCs w:val="24"/>
        </w:rPr>
        <w:t>ignores the higher burden of disability among women and disregards the intricate relationship between health and mortality</w:t>
      </w:r>
      <w:r w:rsidR="006D327E">
        <w:rPr>
          <w:rFonts w:ascii="Arial" w:eastAsia="Arial" w:hAnsi="Arial" w:cs="Arial"/>
          <w:sz w:val="24"/>
          <w:szCs w:val="24"/>
        </w:rPr>
        <w:t xml:space="preserve">. </w:t>
      </w:r>
    </w:p>
    <w:p w14:paraId="57212616" w14:textId="77777777" w:rsidR="000B2BCF" w:rsidRDefault="000B2BCF">
      <w:pPr>
        <w:keepNext/>
        <w:spacing w:after="0" w:line="360" w:lineRule="auto"/>
        <w:jc w:val="both"/>
        <w:rPr>
          <w:rFonts w:ascii="Arial" w:eastAsia="Arial" w:hAnsi="Arial" w:cs="Arial"/>
          <w:sz w:val="24"/>
          <w:szCs w:val="24"/>
        </w:rPr>
      </w:pPr>
    </w:p>
    <w:p w14:paraId="679F0D8A" w14:textId="187A5CEE"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To date, studies that have performed decomposition analysis on healthy lifespans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that usually share the same societal values and gender roles, mostly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In this paper, we take advantage of the harmonized surveys 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in order to estimate the gender gap in health expectancy and quantify the contribution of health and mortality to gender gaps in healthy lifespans</w:t>
      </w:r>
      <w:r>
        <w:rPr>
          <w:rFonts w:ascii="Arial" w:eastAsia="Arial" w:hAnsi="Arial" w:cs="Arial"/>
          <w:sz w:val="24"/>
          <w:szCs w:val="24"/>
        </w:rPr>
        <w:t xml:space="preserve"> </w:t>
      </w:r>
      <w:r w:rsidRPr="006D327E">
        <w:rPr>
          <w:rFonts w:ascii="Arial" w:eastAsia="Arial" w:hAnsi="Arial" w:cs="Arial"/>
          <w:sz w:val="24"/>
          <w:szCs w:val="24"/>
        </w:rPr>
        <w:t>across different countries. This data resource allows for a unique opportunity to perform comparisons among identically defined health variables across several countries. We focus on the U.S., England, South Korea, China, India, Mexico and EU Countries. These countries have specific gender roles, healthcare policies and welfare state systems, which enable us to investigate the impact of interpreting the gender gap in health and mortality as a measure of inequality in different settings.</w:t>
      </w:r>
    </w:p>
    <w:p w14:paraId="7263B921" w14:textId="77777777" w:rsidR="006D327E" w:rsidRDefault="006D327E">
      <w:pPr>
        <w:keepNext/>
        <w:spacing w:after="0" w:line="360" w:lineRule="auto"/>
        <w:jc w:val="both"/>
        <w:rPr>
          <w:rFonts w:ascii="Arial" w:eastAsia="Arial" w:hAnsi="Arial" w:cs="Arial"/>
          <w:sz w:val="24"/>
          <w:szCs w:val="24"/>
        </w:rPr>
      </w:pPr>
    </w:p>
    <w:p w14:paraId="72F6D26C" w14:textId="77777777" w:rsidR="00D2656D" w:rsidRDefault="006D327E" w:rsidP="00EB61E2">
      <w:pPr>
        <w:keepNext/>
        <w:spacing w:after="0" w:line="360" w:lineRule="auto"/>
        <w:jc w:val="both"/>
        <w:rPr>
          <w:rFonts w:ascii="Arial" w:eastAsia="Arial" w:hAnsi="Arial" w:cs="Arial"/>
          <w:sz w:val="24"/>
          <w:szCs w:val="24"/>
        </w:rPr>
      </w:pPr>
      <w:r>
        <w:rPr>
          <w:rFonts w:ascii="Arial" w:eastAsia="Arial" w:hAnsi="Arial" w:cs="Arial"/>
          <w:sz w:val="24"/>
          <w:szCs w:val="24"/>
        </w:rPr>
        <w:t>We show how the gender gap in health expectancy for disability and chronic conditions varies greatly across countries and that despite being a straightforward way to perform cross-country comparisons and monitor health progress, gender gaps may not reflect actual inequalities when it comes to health. Hence, it is important to take a more cautionary approach when using and interpreting gender gaps in healthy lifespans and go beyond such oversimplified metrics</w:t>
      </w:r>
      <w:r w:rsidR="00D2656D">
        <w:rPr>
          <w:rFonts w:ascii="Arial" w:eastAsia="Arial" w:hAnsi="Arial" w:cs="Arial"/>
          <w:sz w:val="24"/>
          <w:szCs w:val="24"/>
        </w:rPr>
        <w:t>.</w:t>
      </w:r>
    </w:p>
    <w:bookmarkEnd w:id="4"/>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77777777"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w:t>
      </w:r>
      <w:r>
        <w:rPr>
          <w:rFonts w:ascii="Arial" w:eastAsia="Arial" w:hAnsi="Arial" w:cs="Arial"/>
          <w:color w:val="000000"/>
          <w:sz w:val="24"/>
          <w:szCs w:val="24"/>
        </w:rPr>
        <w:lastRenderedPageBreak/>
        <w:t xml:space="preserve">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In order to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Wave 5; CHARLS: Wave 2; and LASI Wave 1). The only exception is India, since the first wave of LASI was carried on between 2017-2019. We focus on this specific set of countries as our aim is to have the most diverse group of countries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welfare state models and gender roles, which enable us to investigate whether specific gender patterns in inequality in health and mortality emerge in those settings. We focus on age 60 and above to be coherent towards the definition of old age across countries. While most developed countries define old age as 65, for China and Mexico it is age 60. For more details on the data characteristics, refer to the Supplementary Material.</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67E927E8"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we use life tables from the 2022 Revision of World Population Prospects (United Nations 2022) for all countries with the exceptions of England, where the life tables from the ONS estimates,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4D6F1E5D" w14:textId="7F645A8D"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To examine gender disparities 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a methodological approach that has been used before in similar analyses</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r>
        <w:rPr>
          <w:rFonts w:ascii="Arial" w:eastAsia="Arial" w:hAnsi="Arial" w:cs="Arial"/>
          <w:color w:val="000000"/>
          <w:sz w:val="24"/>
          <w:szCs w:val="24"/>
        </w:rPr>
        <w:t xml:space="preserve">We estimate disability- and chronic disease-free life expectancies (DFLE and CFLE) for ages 60 and over. For disability, we use the harmonized </w:t>
      </w:r>
      <w:r>
        <w:rPr>
          <w:rFonts w:ascii="Arial" w:eastAsia="Arial" w:hAnsi="Arial" w:cs="Arial"/>
          <w:color w:val="000000"/>
          <w:sz w:val="24"/>
          <w:szCs w:val="24"/>
        </w:rPr>
        <w:lastRenderedPageBreak/>
        <w:t>dummy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harmonized 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Using the respective weighted proportions of women and men who report a limitation in activities of daily living (ADL) and of at least one chronic doctor diagnosed disease (Chronic) in the population for each survey, we computed the prevalence of unhealthy individuals for each condition and by 5-year age groups</w:t>
      </w:r>
      <w:r>
        <w:rPr>
          <w:rFonts w:ascii="Arial" w:eastAsia="Arial" w:hAnsi="Arial" w:cs="Arial"/>
          <w:color w:val="000000"/>
          <w:sz w:val="24"/>
          <w:szCs w:val="24"/>
        </w:rPr>
        <w:t xml:space="preserve">.  </w:t>
      </w:r>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77777777" w:rsidR="00152047" w:rsidRDefault="009372EB" w:rsidP="009372E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For each age group, we estimate the prevalence of disability and at least one chronic doctor diagnosed condition from the survey data for each country and combine it with the total number of person-years lived obtained from the life tables. </w:t>
      </w:r>
    </w:p>
    <w:p w14:paraId="00220F4D" w14:textId="77777777" w:rsidR="00152047" w:rsidRDefault="00152047" w:rsidP="009372EB">
      <w:pPr>
        <w:pBdr>
          <w:top w:val="nil"/>
          <w:left w:val="nil"/>
          <w:bottom w:val="nil"/>
          <w:right w:val="nil"/>
          <w:between w:val="nil"/>
        </w:pBdr>
        <w:spacing w:after="0" w:line="360" w:lineRule="auto"/>
        <w:jc w:val="both"/>
        <w:rPr>
          <w:rFonts w:ascii="Arial" w:eastAsia="Arial" w:hAnsi="Arial" w:cs="Arial"/>
          <w:sz w:val="24"/>
          <w:szCs w:val="24"/>
        </w:rPr>
      </w:pPr>
    </w:p>
    <w:p w14:paraId="24AA43D8" w14:textId="5109CD9E" w:rsidR="009372EB" w:rsidRPr="004B6F17"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The number of person-years lived free of disability (</w:t>
      </w: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32F96FC4" w14:textId="77777777" w:rsidR="009372EB" w:rsidRDefault="009372EB" w:rsidP="009372EB">
      <w:pPr>
        <w:spacing w:after="0"/>
        <w:rPr>
          <w:rFonts w:ascii="Arial" w:eastAsia="Arial" w:hAnsi="Arial" w:cs="Arial"/>
          <w:sz w:val="24"/>
          <w:szCs w:val="24"/>
        </w:rPr>
      </w:pPr>
    </w:p>
    <w:p w14:paraId="329FDAC8" w14:textId="048C5046" w:rsidR="009372EB" w:rsidRPr="00152047" w:rsidRDefault="009372EB" w:rsidP="00152047">
      <w:pPr>
        <w:jc w:val="center"/>
      </w:pP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1-n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π</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dtPr>
        <w:sdtContent/>
      </w:sdt>
    </w:p>
    <w:p w14:paraId="3998E8D9" w14:textId="77777777" w:rsidR="009372EB" w:rsidRDefault="009372EB" w:rsidP="009372EB">
      <w:pPr>
        <w:spacing w:after="0"/>
        <w:jc w:val="center"/>
        <w:rPr>
          <w:rFonts w:ascii="Arial" w:eastAsia="Arial" w:hAnsi="Arial" w:cs="Arial"/>
          <w:sz w:val="24"/>
          <w:szCs w:val="24"/>
        </w:rPr>
      </w:pPr>
    </w:p>
    <w:p w14:paraId="3A299D88" w14:textId="7144A426"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p w14:paraId="695AEF42" w14:textId="77777777" w:rsidR="009372EB" w:rsidRDefault="00E33190"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E33190"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E33190"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E33190"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39E5D6C3"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r w:rsidR="00842EBA">
        <w:rPr>
          <w:rFonts w:ascii="Arial" w:eastAsia="Arial" w:hAnsi="Arial" w:cs="Arial"/>
          <w:color w:val="000000"/>
          <w:sz w:val="24"/>
          <w:szCs w:val="24"/>
        </w:rPr>
        <w:fldChar w:fldCharType="end"/>
      </w:r>
      <w:r>
        <w:rPr>
          <w:rFonts w:ascii="Arial" w:eastAsia="Arial" w:hAnsi="Arial" w:cs="Arial"/>
          <w:color w:val="000000"/>
          <w:sz w:val="24"/>
          <w:szCs w:val="24"/>
        </w:rPr>
        <w:t xml:space="preserve">, so we can split gender differences in healthy life expectancy into mortality and disability/chronic disease effects by age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(van Raalte and Nepomuceno 2020)</w:t>
      </w:r>
      <w:r w:rsidR="00842EBA">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 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1C75C85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doctor diagnosed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The US age pattern falls between Korea and England.</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w:t>
      </w:r>
      <w:r w:rsidR="00E404EF" w:rsidRPr="00E404EF">
        <w:rPr>
          <w:rFonts w:ascii="Arial" w:eastAsia="Arial" w:hAnsi="Arial" w:cs="Arial"/>
          <w:sz w:val="24"/>
          <w:szCs w:val="24"/>
        </w:rPr>
        <w:lastRenderedPageBreak/>
        <w:t>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77777777"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First, the prevalence of having at least one chronic condition is higher than experiencing limitation in daily activities already at age 50 and increases at all ages for both women and men at all countries. The US has the highest prevalence for women and men at all ages compared to all countries. China is right after the US with the highest prevalence at relatively younger ages (50-60), but then levels off, while other countries still experience and increase in prevalence with age. After age 60, the country with the lowest prevalence of at least one chronic condition is India. Among the countries in the European region, Portugal and Poland are the ones with the highest prevalence of at least one chronic condition at ages above 60</w:t>
      </w:r>
      <w:r w:rsidR="00451F62">
        <w:rPr>
          <w:rFonts w:ascii="Arial" w:eastAsia="Arial" w:hAnsi="Arial" w:cs="Arial"/>
          <w:sz w:val="24"/>
          <w:szCs w:val="24"/>
        </w:rPr>
        <w:t xml:space="preserve">, </w:t>
      </w:r>
      <w:r w:rsidR="00451F62" w:rsidRPr="00D360A8">
        <w:rPr>
          <w:rFonts w:ascii="Arial" w:eastAsia="Arial" w:hAnsi="Arial" w:cs="Arial"/>
          <w:sz w:val="24"/>
          <w:szCs w:val="24"/>
        </w:rPr>
        <w:t xml:space="preserve">as shown in the heat map in </w:t>
      </w:r>
      <w:r w:rsidR="00451F62">
        <w:rPr>
          <w:rFonts w:ascii="Arial" w:eastAsia="Arial" w:hAnsi="Arial" w:cs="Arial"/>
          <w:sz w:val="24"/>
          <w:szCs w:val="24"/>
        </w:rPr>
        <w:t>Panel A</w:t>
      </w:r>
      <w:r w:rsidR="00A80760">
        <w:rPr>
          <w:rFonts w:ascii="Arial" w:eastAsia="Arial" w:hAnsi="Arial" w:cs="Arial"/>
          <w:sz w:val="24"/>
          <w:szCs w:val="24"/>
        </w:rPr>
        <w:t xml:space="preserve"> of Figure 1</w:t>
      </w:r>
      <w:r w:rsidR="00451F62">
        <w:rPr>
          <w:rFonts w:ascii="Arial" w:eastAsia="Arial" w:hAnsi="Arial" w:cs="Arial"/>
          <w:sz w:val="24"/>
          <w:szCs w:val="24"/>
        </w:rPr>
        <w:t xml:space="preserve">. </w:t>
      </w:r>
      <w:r w:rsidR="00CC54E3">
        <w:rPr>
          <w:rFonts w:ascii="Arial" w:eastAsia="Arial" w:hAnsi="Arial" w:cs="Arial"/>
          <w:sz w:val="24"/>
          <w:szCs w:val="24"/>
        </w:rPr>
        <w:t xml:space="preserve">India </w:t>
      </w:r>
      <w:r w:rsidR="00A80760">
        <w:rPr>
          <w:rFonts w:ascii="Arial" w:eastAsia="Arial" w:hAnsi="Arial" w:cs="Arial"/>
          <w:sz w:val="24"/>
          <w:szCs w:val="24"/>
        </w:rPr>
        <w:t>is the country with</w:t>
      </w:r>
      <w:r w:rsidR="00CC54E3">
        <w:rPr>
          <w:rFonts w:ascii="Arial" w:eastAsia="Arial" w:hAnsi="Arial" w:cs="Arial"/>
          <w:sz w:val="24"/>
          <w:szCs w:val="24"/>
        </w:rPr>
        <w:t xml:space="preserve"> the lowest </w:t>
      </w:r>
      <w:r w:rsidR="00A80760">
        <w:rPr>
          <w:rFonts w:ascii="Arial" w:eastAsia="Arial" w:hAnsi="Arial" w:cs="Arial"/>
          <w:sz w:val="24"/>
          <w:szCs w:val="24"/>
        </w:rPr>
        <w:t>levels of chronic condition by age, while</w:t>
      </w:r>
      <w:r w:rsidR="00CC54E3">
        <w:rPr>
          <w:rFonts w:ascii="Arial" w:eastAsia="Arial" w:hAnsi="Arial" w:cs="Arial"/>
          <w:sz w:val="24"/>
          <w:szCs w:val="24"/>
        </w:rPr>
        <w:t xml:space="preserve"> US, Europe and China the highest, followed closely by Korea.</w:t>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C5C330E" w14:textId="1AED0612" w:rsidR="00CB15D6"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322FE2">
        <w:rPr>
          <w:rFonts w:ascii="Arial" w:eastAsia="Arial" w:hAnsi="Arial" w:cs="Arial"/>
          <w:sz w:val="24"/>
          <w:szCs w:val="24"/>
        </w:rPr>
        <w:t xml:space="preserve">above 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In Panel A, </w:t>
      </w:r>
      <w:r w:rsidR="00F14BF8">
        <w:rPr>
          <w:rFonts w:ascii="Arial" w:eastAsia="Arial" w:hAnsi="Arial" w:cs="Arial"/>
          <w:sz w:val="24"/>
          <w:szCs w:val="24"/>
        </w:rPr>
        <w:t>all</w:t>
      </w:r>
      <w:r w:rsidR="00BF094D">
        <w:rPr>
          <w:rFonts w:ascii="Arial" w:eastAsia="Arial" w:hAnsi="Arial" w:cs="Arial"/>
          <w:sz w:val="24"/>
          <w:szCs w:val="24"/>
        </w:rPr>
        <w:t xml:space="preserve"> countries and the mortality and disability effects at ages 60+</w:t>
      </w:r>
      <w:r w:rsidR="00F14BF8">
        <w:rPr>
          <w:rFonts w:ascii="Arial" w:eastAsia="Arial" w:hAnsi="Arial" w:cs="Arial"/>
          <w:sz w:val="24"/>
          <w:szCs w:val="24"/>
        </w:rPr>
        <w:t xml:space="preserve"> are shown</w:t>
      </w:r>
      <w:r w:rsidR="00BF094D">
        <w:rPr>
          <w:rFonts w:ascii="Arial" w:eastAsia="Arial" w:hAnsi="Arial" w:cs="Arial"/>
          <w:sz w:val="24"/>
          <w:szCs w:val="24"/>
        </w:rPr>
        <w:t>. 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xml:space="preserve">, </w:t>
      </w:r>
      <w:r w:rsidR="00FA5180" w:rsidRPr="00A80760">
        <w:rPr>
          <w:rFonts w:ascii="Arial" w:eastAsia="Arial" w:hAnsi="Arial" w:cs="Arial"/>
          <w:sz w:val="24"/>
          <w:szCs w:val="24"/>
        </w:rPr>
        <w:lastRenderedPageBreak/>
        <w:t>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1740BA7E"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w:t>
      </w:r>
      <w:r w:rsidR="00036D14">
        <w:rPr>
          <w:rFonts w:ascii="Arial" w:eastAsia="Arial" w:hAnsi="Arial" w:cs="Arial"/>
          <w:sz w:val="24"/>
          <w:szCs w:val="24"/>
        </w:rPr>
        <w:lastRenderedPageBreak/>
        <w:t xml:space="preserve">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04BE1B12"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chronic disease </w:t>
      </w:r>
      <w:r>
        <w:rPr>
          <w:rFonts w:ascii="Arial" w:eastAsia="Arial" w:hAnsi="Arial" w:cs="Arial"/>
          <w:sz w:val="18"/>
          <w:szCs w:val="18"/>
          <w:highlight w:val="white"/>
        </w:rPr>
        <w:lastRenderedPageBreak/>
        <w:t>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15BC7FE0"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a"/>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348BBA24"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 in chronic disease-free life expectancy (CFLE) at ages 60+ into mortality and disability effects by country, with 95% confidence intervals.</w:t>
      </w:r>
    </w:p>
    <w:tbl>
      <w:tblPr>
        <w:tblStyle w:val="a0"/>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79F87C9B" w:rsidR="00B133DD" w:rsidRPr="005A0B32" w:rsidRDefault="005A0B32">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As seen in Figure 4, countries can have very different rankings if the criteria adopted are gaps in DFLE and CFLE versus the contribution of disability and mortality effects. Low gender gaps </w:t>
      </w:r>
      <w:r>
        <w:rPr>
          <w:rFonts w:ascii="Arial" w:eastAsia="Arial" w:hAnsi="Arial" w:cs="Arial"/>
          <w:sz w:val="24"/>
          <w:szCs w:val="24"/>
          <w:highlight w:val="white"/>
        </w:rPr>
        <w:lastRenderedPageBreak/>
        <w:t>are first places in the ranks while the last ranks are high gender gaps</w:t>
      </w:r>
      <w:r w:rsidR="00F22B16">
        <w:rPr>
          <w:rFonts w:ascii="Arial" w:eastAsia="Arial" w:hAnsi="Arial" w:cs="Arial"/>
          <w:sz w:val="24"/>
          <w:szCs w:val="24"/>
          <w:highlight w:val="white"/>
        </w:rPr>
        <w:t xml:space="preserve"> or high contribution of health component</w:t>
      </w:r>
      <w:r>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2"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and the contribution of 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lastRenderedPageBreak/>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t>
      </w:r>
      <w:r w:rsidR="00FA1FD2">
        <w:rPr>
          <w:rFonts w:ascii="Arial" w:eastAsia="Arial" w:hAnsi="Arial" w:cs="Arial"/>
          <w:color w:val="000000"/>
          <w:sz w:val="24"/>
          <w:szCs w:val="24"/>
        </w:rPr>
        <w:lastRenderedPageBreak/>
        <w:t xml:space="preserve">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w:t>
      </w:r>
      <w:r w:rsidR="00FF2C8B">
        <w:rPr>
          <w:rFonts w:ascii="Arial" w:hAnsi="Arial" w:cs="Arial"/>
          <w:bCs/>
          <w:color w:val="000000"/>
          <w:sz w:val="24"/>
          <w:szCs w:val="24"/>
        </w:rPr>
        <w:t>Korea is also a remarkable case, where in our sample it has the highest female advantage in survival</w:t>
      </w:r>
      <w:r w:rsidR="00FF2C8B">
        <w:rPr>
          <w:rFonts w:ascii="Arial" w:hAnsi="Arial" w:cs="Arial"/>
          <w:bCs/>
          <w:color w:val="000000"/>
          <w:sz w:val="24"/>
          <w:szCs w:val="24"/>
        </w:rPr>
        <w:t xml:space="preserve">,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most of all which have been attributed to smoking</w:t>
      </w:r>
      <w:r w:rsidR="00FF2C8B">
        <w:rPr>
          <w:rFonts w:ascii="Arial" w:hAnsi="Arial" w:cs="Arial"/>
          <w:bCs/>
          <w:color w:val="000000"/>
          <w:sz w:val="24"/>
          <w:szCs w:val="24"/>
        </w:rPr>
        <w:t xml:space="preserve">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w:t>
      </w:r>
      <w:r w:rsidR="00A645E5">
        <w:rPr>
          <w:rFonts w:ascii="Arial" w:hAnsi="Arial" w:cs="Arial"/>
          <w:bCs/>
          <w:color w:val="000000"/>
          <w:sz w:val="24"/>
          <w:szCs w:val="24"/>
        </w:rPr>
        <w:lastRenderedPageBreak/>
        <w:t xml:space="preserve">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w:t>
      </w:r>
      <w:r w:rsidR="004D5B5E">
        <w:rPr>
          <w:rFonts w:ascii="Arial" w:eastAsia="Arial" w:hAnsi="Arial" w:cs="Arial"/>
          <w:sz w:val="24"/>
          <w:szCs w:val="24"/>
        </w:rPr>
        <w:lastRenderedPageBreak/>
        <w:t xml:space="preserve">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3">
        <w:r>
          <w:rPr>
            <w:rFonts w:ascii="Arial" w:eastAsia="Arial" w:hAnsi="Arial" w:cs="Arial"/>
            <w:sz w:val="24"/>
            <w:szCs w:val="24"/>
            <w:highlight w:val="white"/>
          </w:rPr>
          <w:t xml:space="preserve"> </w:t>
        </w:r>
      </w:hyperlink>
      <w:hyperlink r:id="rId14">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w:t>
      </w:r>
      <w:r>
        <w:rPr>
          <w:rFonts w:ascii="Arial" w:eastAsia="Arial" w:hAnsi="Arial" w:cs="Arial"/>
          <w:sz w:val="23"/>
          <w:szCs w:val="23"/>
        </w:rPr>
        <w:lastRenderedPageBreak/>
        <w:t xml:space="preserve">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5">
        <w:r>
          <w:rPr>
            <w:rFonts w:ascii="Arial" w:eastAsia="Arial" w:hAnsi="Arial" w:cs="Arial"/>
            <w:sz w:val="24"/>
            <w:szCs w:val="24"/>
            <w:highlight w:val="white"/>
          </w:rPr>
          <w:t xml:space="preserve"> </w:t>
        </w:r>
      </w:hyperlink>
      <w:hyperlink r:id="rId16">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1"/>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lastRenderedPageBreak/>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w:t>
      </w:r>
      <w:proofErr w:type="spellStart"/>
      <w:r w:rsidRPr="00B30A51">
        <w:rPr>
          <w:rFonts w:ascii="Arial" w:eastAsia="Arial" w:hAnsi="Arial" w:cs="Arial"/>
          <w:sz w:val="24"/>
          <w:szCs w:val="24"/>
        </w:rPr>
        <w:t>RwDIABE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RwCANCRE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RwLUNGE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RwHEARTE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RwSTROKE</w:t>
      </w:r>
      <w:proofErr w:type="spellEnd"/>
      <w:r w:rsidRPr="00B30A51">
        <w:rPr>
          <w:rFonts w:ascii="Arial" w:eastAsia="Arial" w:hAnsi="Arial" w:cs="Arial"/>
          <w:sz w:val="24"/>
          <w:szCs w:val="24"/>
        </w:rPr>
        <w:t xml:space="preserve">, and </w:t>
      </w:r>
      <w:proofErr w:type="spellStart"/>
      <w:r w:rsidRPr="00B30A51">
        <w:rPr>
          <w:rFonts w:ascii="Arial" w:eastAsia="Arial" w:hAnsi="Arial" w:cs="Arial"/>
          <w:sz w:val="24"/>
          <w:szCs w:val="24"/>
        </w:rPr>
        <w:t>RwARTHRE</w:t>
      </w:r>
      <w:proofErr w:type="spellEnd"/>
      <w:r w:rsidRPr="00B30A51">
        <w:rPr>
          <w:rFonts w:ascii="Arial" w:eastAsia="Arial" w:hAnsi="Arial" w:cs="Arial"/>
          <w:sz w:val="24"/>
          <w:szCs w:val="24"/>
        </w:rPr>
        <w:t xml:space="preserv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 w:val="24"/>
          <w:szCs w:val="24"/>
        </w:rPr>
        <w:t>chronic_sum</w:t>
      </w:r>
      <w:proofErr w:type="spellEnd"/>
      <w:r w:rsidRPr="00B30A51">
        <w:rPr>
          <w:rFonts w:ascii="Arial" w:eastAsia="Arial" w:hAnsi="Arial" w:cs="Arial"/>
          <w:sz w:val="24"/>
          <w:szCs w:val="24"/>
        </w:rPr>
        <w:t>” refers to the total number of conditions ever diagnosed. “</w:t>
      </w:r>
      <w:proofErr w:type="spellStart"/>
      <w:r w:rsidRPr="00B30A51">
        <w:rPr>
          <w:rFonts w:ascii="Arial" w:eastAsia="Arial" w:hAnsi="Arial" w:cs="Arial"/>
          <w:sz w:val="24"/>
          <w:szCs w:val="24"/>
        </w:rPr>
        <w:t>chronic_severe</w:t>
      </w:r>
      <w:proofErr w:type="spellEnd"/>
      <w:r w:rsidRPr="00B30A51">
        <w:rPr>
          <w:rFonts w:ascii="Arial" w:eastAsia="Arial" w:hAnsi="Arial" w:cs="Arial"/>
          <w:sz w:val="24"/>
          <w:szCs w:val="24"/>
        </w:rPr>
        <w:t xml:space="preserv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w:t>
      </w:r>
      <w:proofErr w:type="spellStart"/>
      <w:r w:rsidRPr="00B30A51">
        <w:rPr>
          <w:rFonts w:ascii="Arial" w:eastAsia="Arial" w:hAnsi="Arial" w:cs="Arial"/>
          <w:sz w:val="24"/>
          <w:szCs w:val="24"/>
        </w:rPr>
        <w:t>RwRECCANCR</w:t>
      </w:r>
      <w:proofErr w:type="spellEnd"/>
      <w:r w:rsidRPr="00B30A51">
        <w:rPr>
          <w:rFonts w:ascii="Arial" w:eastAsia="Arial" w:hAnsi="Arial" w:cs="Arial"/>
          <w:sz w:val="24"/>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w:t>
      </w:r>
      <w:r w:rsidRPr="00B30A51">
        <w:rPr>
          <w:rFonts w:ascii="Arial" w:eastAsia="Arial" w:hAnsi="Arial" w:cs="Arial"/>
          <w:sz w:val="24"/>
          <w:szCs w:val="24"/>
        </w:rPr>
        <w:lastRenderedPageBreak/>
        <w:t xml:space="preserve">does not report a new cancer diagnosis. </w:t>
      </w:r>
      <w:proofErr w:type="spellStart"/>
      <w:r w:rsidRPr="00B30A51">
        <w:rPr>
          <w:rFonts w:ascii="Arial" w:eastAsia="Arial" w:hAnsi="Arial" w:cs="Arial"/>
          <w:sz w:val="24"/>
          <w:szCs w:val="24"/>
        </w:rPr>
        <w:t>RwRECHRTATT</w:t>
      </w:r>
      <w:proofErr w:type="spellEnd"/>
      <w:r w:rsidRPr="00B30A51">
        <w:rPr>
          <w:rFonts w:ascii="Arial" w:eastAsia="Arial" w:hAnsi="Arial" w:cs="Arial"/>
          <w:sz w:val="24"/>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US (HRS)</w:t>
      </w:r>
      <w:r w:rsidRPr="009070BA">
        <w:rPr>
          <w:rFonts w:ascii="Arial" w:eastAsia="Arial" w:hAnsi="Arial" w:cs="Arial"/>
          <w:b/>
          <w:sz w:val="24"/>
          <w:szCs w:val="24"/>
        </w:rPr>
        <w:t>.</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sidRPr="009070BA">
        <w:rPr>
          <w:rFonts w:ascii="Arial" w:eastAsia="Arial" w:hAnsi="Arial" w:cs="Arial"/>
          <w:b/>
          <w:sz w:val="24"/>
          <w:szCs w:val="24"/>
        </w:rPr>
        <w:t>).</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sidRPr="009070BA">
        <w:rPr>
          <w:rFonts w:ascii="Arial" w:eastAsia="Arial" w:hAnsi="Arial" w:cs="Arial"/>
          <w:b/>
          <w:sz w:val="24"/>
          <w:szCs w:val="24"/>
        </w:rPr>
        <w:t>.</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India (LASI</w:t>
      </w:r>
      <w:r w:rsidRPr="009070BA">
        <w:rPr>
          <w:rFonts w:ascii="Arial" w:eastAsia="Arial" w:hAnsi="Arial" w:cs="Arial"/>
          <w:b/>
          <w:sz w:val="24"/>
          <w:szCs w:val="24"/>
        </w:rPr>
        <w:t>).</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sidRPr="009070BA">
        <w:rPr>
          <w:rFonts w:ascii="Arial" w:eastAsia="Arial" w:hAnsi="Arial" w:cs="Arial"/>
          <w:b/>
          <w:sz w:val="24"/>
          <w:szCs w:val="24"/>
        </w:rPr>
        <w:t>.</w:t>
      </w:r>
      <w:r>
        <w:rPr>
          <w:rFonts w:ascii="Arial" w:eastAsia="Arial" w:hAnsi="Arial" w:cs="Arial"/>
          <w:sz w:val="24"/>
          <w:szCs w:val="24"/>
        </w:rPr>
        <w:t xml:space="preserve"> </w:t>
      </w:r>
      <w:r w:rsidRPr="009070BA">
        <w:rPr>
          <w:rFonts w:ascii="Arial" w:eastAsia="Arial" w:hAnsi="Arial" w:cs="Arial"/>
          <w:sz w:val="24"/>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 xml:space="preserve">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w:t>
      </w:r>
      <w:r w:rsidRPr="009070BA">
        <w:rPr>
          <w:rFonts w:ascii="Arial" w:eastAsia="Arial" w:hAnsi="Arial" w:cs="Arial"/>
          <w:sz w:val="24"/>
          <w:szCs w:val="24"/>
        </w:rPr>
        <w:lastRenderedPageBreak/>
        <w:t>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The Korean Longitudinal Study of Ageing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t>
      </w:r>
      <w:proofErr w:type="spellStart"/>
      <w:r w:rsidRPr="009070BA">
        <w:rPr>
          <w:rFonts w:ascii="Arial" w:eastAsia="Arial" w:hAnsi="Arial" w:cs="Arial"/>
          <w:sz w:val="24"/>
          <w:szCs w:val="24"/>
        </w:rPr>
        <w:t>surveys</w:t>
      </w:r>
      <w:proofErr w:type="spellEnd"/>
      <w:r w:rsidRPr="009070BA">
        <w:rPr>
          <w:rFonts w:ascii="Arial" w:eastAsia="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with the first wave of the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 w:val="24"/>
          <w:szCs w:val="24"/>
        </w:rPr>
        <w:t>hamornized</w:t>
      </w:r>
      <w:proofErr w:type="spellEnd"/>
      <w:r w:rsidRPr="009070BA">
        <w:rPr>
          <w:rFonts w:ascii="Arial" w:eastAsia="Arial" w:hAnsi="Arial" w:cs="Arial"/>
          <w:sz w:val="24"/>
          <w:szCs w:val="24"/>
        </w:rPr>
        <w:t xml:space="preserve">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lastRenderedPageBreak/>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w:t>
      </w:r>
      <w:r w:rsidR="00CC2752">
        <w:rPr>
          <w:rFonts w:ascii="Arial" w:eastAsia="Arial" w:hAnsi="Arial" w:cs="Arial"/>
          <w:sz w:val="24"/>
          <w:szCs w:val="24"/>
        </w:rPr>
        <w:t xml:space="preserve">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lastRenderedPageBreak/>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19">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0"/>
          <w:footerReference w:type="default" r:id="rId21"/>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w:t>
      </w:r>
      <w:proofErr w:type="gramStart"/>
      <w:r w:rsidR="00242915">
        <w:rPr>
          <w:rFonts w:ascii="Arial" w:hAnsi="Arial" w:cs="Arial"/>
          <w:sz w:val="20"/>
        </w:rPr>
        <w:t>of  each</w:t>
      </w:r>
      <w:proofErr w:type="gramEnd"/>
      <w:r w:rsidR="00242915">
        <w:rPr>
          <w:rFonts w:ascii="Arial" w:hAnsi="Arial" w:cs="Arial"/>
          <w:sz w:val="20"/>
        </w:rPr>
        <w:t xml:space="preserve">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9.95pt;height:394.9pt" o:ole="">
            <v:imagedata r:id="rId22" o:title=""/>
          </v:shape>
          <o:OLEObject Type="Embed" ProgID="Excel.Sheet.12" ShapeID="_x0000_i1025" DrawAspect="Content" ObjectID="_1742231256" r:id="rId23"/>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bookmarkStart w:id="5" w:name="_GoBack"/>
      <w:bookmarkEnd w:id="5"/>
    </w:p>
    <w:sectPr w:rsidR="0009777F" w:rsidRPr="00B30A51" w:rsidSect="00B7657D">
      <w:headerReference w:type="default" r:id="rId30"/>
      <w:footerReference w:type="default" r:id="rId31"/>
      <w:pgSz w:w="11909" w:h="16834" w:code="9"/>
      <w:pgMar w:top="1440" w:right="1080" w:bottom="1440" w:left="1080" w:header="720" w:footer="720" w:gutter="0"/>
      <w:paperSrc w:first="15" w:other="1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75CD6" w14:textId="77777777" w:rsidR="00C0188F" w:rsidRDefault="00C0188F">
      <w:pPr>
        <w:spacing w:after="0"/>
      </w:pPr>
      <w:r>
        <w:separator/>
      </w:r>
    </w:p>
  </w:endnote>
  <w:endnote w:type="continuationSeparator" w:id="0">
    <w:p w14:paraId="286D7A39" w14:textId="77777777" w:rsidR="00C0188F" w:rsidRDefault="00C018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E33190" w:rsidRDefault="00E33190">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E33190" w:rsidRDefault="00E33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E33190" w:rsidRDefault="00E3319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E33190" w:rsidRDefault="00E3319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49A20" w14:textId="77777777" w:rsidR="00C0188F" w:rsidRDefault="00C0188F">
      <w:pPr>
        <w:spacing w:after="0"/>
      </w:pPr>
      <w:r>
        <w:separator/>
      </w:r>
    </w:p>
  </w:footnote>
  <w:footnote w:type="continuationSeparator" w:id="0">
    <w:p w14:paraId="4BB460CB" w14:textId="77777777" w:rsidR="00C0188F" w:rsidRDefault="00C0188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E33190" w:rsidRPr="005001AC" w:rsidRDefault="00E33190" w:rsidP="00E33190">
    <w:pPr>
      <w:jc w:val="right"/>
      <w:rPr>
        <w:sz w:val="20"/>
      </w:rPr>
    </w:pPr>
  </w:p>
  <w:p w14:paraId="7B4624DE" w14:textId="77777777" w:rsidR="00E33190" w:rsidRDefault="00E331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E33190" w:rsidRDefault="00E33190">
    <w:pPr>
      <w:jc w:val="right"/>
      <w:rPr>
        <w:sz w:val="20"/>
        <w:szCs w:val="20"/>
      </w:rPr>
    </w:pPr>
  </w:p>
  <w:p w14:paraId="000002F7" w14:textId="77777777" w:rsidR="00E33190" w:rsidRDefault="00E3319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DD"/>
    <w:rsid w:val="00002D46"/>
    <w:rsid w:val="00013920"/>
    <w:rsid w:val="000167F6"/>
    <w:rsid w:val="00036D14"/>
    <w:rsid w:val="00067464"/>
    <w:rsid w:val="00083FD8"/>
    <w:rsid w:val="000843E0"/>
    <w:rsid w:val="0009777F"/>
    <w:rsid w:val="000A2D2A"/>
    <w:rsid w:val="000B2BCF"/>
    <w:rsid w:val="000B3AEE"/>
    <w:rsid w:val="000B47DE"/>
    <w:rsid w:val="000E7D8E"/>
    <w:rsid w:val="000F1580"/>
    <w:rsid w:val="00105467"/>
    <w:rsid w:val="00106216"/>
    <w:rsid w:val="001218C8"/>
    <w:rsid w:val="00142C2A"/>
    <w:rsid w:val="00152047"/>
    <w:rsid w:val="001524B4"/>
    <w:rsid w:val="00154583"/>
    <w:rsid w:val="001647FF"/>
    <w:rsid w:val="00175B36"/>
    <w:rsid w:val="00183C30"/>
    <w:rsid w:val="00184CB4"/>
    <w:rsid w:val="001A1B33"/>
    <w:rsid w:val="001C7682"/>
    <w:rsid w:val="001E682F"/>
    <w:rsid w:val="002042D1"/>
    <w:rsid w:val="002115EB"/>
    <w:rsid w:val="00214911"/>
    <w:rsid w:val="00224207"/>
    <w:rsid w:val="00227F78"/>
    <w:rsid w:val="00231B83"/>
    <w:rsid w:val="002363D7"/>
    <w:rsid w:val="00242915"/>
    <w:rsid w:val="00243C56"/>
    <w:rsid w:val="00252DCE"/>
    <w:rsid w:val="0025608A"/>
    <w:rsid w:val="00263B02"/>
    <w:rsid w:val="00264162"/>
    <w:rsid w:val="002A5F53"/>
    <w:rsid w:val="002A7EE3"/>
    <w:rsid w:val="002C007B"/>
    <w:rsid w:val="002E222B"/>
    <w:rsid w:val="002F3FE1"/>
    <w:rsid w:val="002F5852"/>
    <w:rsid w:val="00313987"/>
    <w:rsid w:val="0032279B"/>
    <w:rsid w:val="00322FE2"/>
    <w:rsid w:val="0032523C"/>
    <w:rsid w:val="0032561D"/>
    <w:rsid w:val="00334713"/>
    <w:rsid w:val="00337D4B"/>
    <w:rsid w:val="0034087B"/>
    <w:rsid w:val="00340B76"/>
    <w:rsid w:val="00344C85"/>
    <w:rsid w:val="003475D8"/>
    <w:rsid w:val="00357859"/>
    <w:rsid w:val="00377B69"/>
    <w:rsid w:val="00380BA0"/>
    <w:rsid w:val="00396D59"/>
    <w:rsid w:val="003B0C33"/>
    <w:rsid w:val="003B723B"/>
    <w:rsid w:val="003C35DA"/>
    <w:rsid w:val="003D1975"/>
    <w:rsid w:val="003D6C1B"/>
    <w:rsid w:val="003E095A"/>
    <w:rsid w:val="003E7433"/>
    <w:rsid w:val="003F62F1"/>
    <w:rsid w:val="0043713B"/>
    <w:rsid w:val="00445CE8"/>
    <w:rsid w:val="00451F62"/>
    <w:rsid w:val="00464535"/>
    <w:rsid w:val="0046557A"/>
    <w:rsid w:val="0047289C"/>
    <w:rsid w:val="004A558D"/>
    <w:rsid w:val="004A78A8"/>
    <w:rsid w:val="004A7ABC"/>
    <w:rsid w:val="004B6F17"/>
    <w:rsid w:val="004B7C1F"/>
    <w:rsid w:val="004C54AC"/>
    <w:rsid w:val="004D3975"/>
    <w:rsid w:val="004D5B5E"/>
    <w:rsid w:val="004F2072"/>
    <w:rsid w:val="004F29A3"/>
    <w:rsid w:val="005104A6"/>
    <w:rsid w:val="00526DD5"/>
    <w:rsid w:val="0054066C"/>
    <w:rsid w:val="00543F29"/>
    <w:rsid w:val="00567D6A"/>
    <w:rsid w:val="00582071"/>
    <w:rsid w:val="00585D53"/>
    <w:rsid w:val="005906D3"/>
    <w:rsid w:val="005A0906"/>
    <w:rsid w:val="005A0B32"/>
    <w:rsid w:val="005A1DD2"/>
    <w:rsid w:val="005A255B"/>
    <w:rsid w:val="005B04CB"/>
    <w:rsid w:val="005B4F0D"/>
    <w:rsid w:val="005C7293"/>
    <w:rsid w:val="005D2DB9"/>
    <w:rsid w:val="005D579A"/>
    <w:rsid w:val="005E2CBB"/>
    <w:rsid w:val="005E371A"/>
    <w:rsid w:val="00630B14"/>
    <w:rsid w:val="00631E52"/>
    <w:rsid w:val="0064509E"/>
    <w:rsid w:val="0066539A"/>
    <w:rsid w:val="00665A6D"/>
    <w:rsid w:val="00685B27"/>
    <w:rsid w:val="00694C17"/>
    <w:rsid w:val="006A22B5"/>
    <w:rsid w:val="006B639E"/>
    <w:rsid w:val="006C51E4"/>
    <w:rsid w:val="006D2668"/>
    <w:rsid w:val="006D327E"/>
    <w:rsid w:val="006E3BBD"/>
    <w:rsid w:val="006E58CF"/>
    <w:rsid w:val="006F5405"/>
    <w:rsid w:val="006F5A22"/>
    <w:rsid w:val="007058A1"/>
    <w:rsid w:val="00712FA1"/>
    <w:rsid w:val="00714BEC"/>
    <w:rsid w:val="00725202"/>
    <w:rsid w:val="0074583A"/>
    <w:rsid w:val="007620EB"/>
    <w:rsid w:val="00766305"/>
    <w:rsid w:val="00785706"/>
    <w:rsid w:val="0079339A"/>
    <w:rsid w:val="00797456"/>
    <w:rsid w:val="00797720"/>
    <w:rsid w:val="007B2F24"/>
    <w:rsid w:val="007C42B5"/>
    <w:rsid w:val="007C6354"/>
    <w:rsid w:val="007C6B99"/>
    <w:rsid w:val="007C6D56"/>
    <w:rsid w:val="007D2716"/>
    <w:rsid w:val="007D59D4"/>
    <w:rsid w:val="007D62F6"/>
    <w:rsid w:val="007E0FF4"/>
    <w:rsid w:val="007E1C32"/>
    <w:rsid w:val="00800F99"/>
    <w:rsid w:val="00802F76"/>
    <w:rsid w:val="00807FE1"/>
    <w:rsid w:val="00812D86"/>
    <w:rsid w:val="0081335C"/>
    <w:rsid w:val="00825058"/>
    <w:rsid w:val="0083403D"/>
    <w:rsid w:val="0083595B"/>
    <w:rsid w:val="00842EBA"/>
    <w:rsid w:val="00843F09"/>
    <w:rsid w:val="008747FF"/>
    <w:rsid w:val="00874F1E"/>
    <w:rsid w:val="008B1C35"/>
    <w:rsid w:val="008B6ECA"/>
    <w:rsid w:val="008B7966"/>
    <w:rsid w:val="008C16BC"/>
    <w:rsid w:val="008D789A"/>
    <w:rsid w:val="009070BA"/>
    <w:rsid w:val="009130DE"/>
    <w:rsid w:val="009207E2"/>
    <w:rsid w:val="00934E77"/>
    <w:rsid w:val="009372EB"/>
    <w:rsid w:val="009469DB"/>
    <w:rsid w:val="00946DF2"/>
    <w:rsid w:val="00951C16"/>
    <w:rsid w:val="00962880"/>
    <w:rsid w:val="009639A9"/>
    <w:rsid w:val="00970004"/>
    <w:rsid w:val="00972727"/>
    <w:rsid w:val="00993E33"/>
    <w:rsid w:val="009A1A97"/>
    <w:rsid w:val="009C620F"/>
    <w:rsid w:val="009D54D2"/>
    <w:rsid w:val="009E2049"/>
    <w:rsid w:val="009F06CA"/>
    <w:rsid w:val="009F252A"/>
    <w:rsid w:val="00A14635"/>
    <w:rsid w:val="00A17299"/>
    <w:rsid w:val="00A176F6"/>
    <w:rsid w:val="00A32BE0"/>
    <w:rsid w:val="00A42A07"/>
    <w:rsid w:val="00A50CB3"/>
    <w:rsid w:val="00A52C95"/>
    <w:rsid w:val="00A645E5"/>
    <w:rsid w:val="00A75C1D"/>
    <w:rsid w:val="00A80760"/>
    <w:rsid w:val="00A83F76"/>
    <w:rsid w:val="00A93FE6"/>
    <w:rsid w:val="00A94022"/>
    <w:rsid w:val="00AB0ED5"/>
    <w:rsid w:val="00AB4B93"/>
    <w:rsid w:val="00AB64B4"/>
    <w:rsid w:val="00AC3182"/>
    <w:rsid w:val="00AD24DF"/>
    <w:rsid w:val="00AF7473"/>
    <w:rsid w:val="00B06277"/>
    <w:rsid w:val="00B133DD"/>
    <w:rsid w:val="00B175C7"/>
    <w:rsid w:val="00B30A51"/>
    <w:rsid w:val="00B45C95"/>
    <w:rsid w:val="00B548BD"/>
    <w:rsid w:val="00B6657E"/>
    <w:rsid w:val="00B72F48"/>
    <w:rsid w:val="00B73BDF"/>
    <w:rsid w:val="00B7657D"/>
    <w:rsid w:val="00B835C4"/>
    <w:rsid w:val="00B92538"/>
    <w:rsid w:val="00BA4B06"/>
    <w:rsid w:val="00BA6CC5"/>
    <w:rsid w:val="00BB0F2C"/>
    <w:rsid w:val="00BC36AC"/>
    <w:rsid w:val="00BC6B12"/>
    <w:rsid w:val="00BD0C4A"/>
    <w:rsid w:val="00BD1717"/>
    <w:rsid w:val="00BD6BB8"/>
    <w:rsid w:val="00BF094D"/>
    <w:rsid w:val="00C0188F"/>
    <w:rsid w:val="00C05481"/>
    <w:rsid w:val="00C13944"/>
    <w:rsid w:val="00C27F32"/>
    <w:rsid w:val="00C314D9"/>
    <w:rsid w:val="00C31D80"/>
    <w:rsid w:val="00C3479B"/>
    <w:rsid w:val="00C44C07"/>
    <w:rsid w:val="00C71E6F"/>
    <w:rsid w:val="00C90CA5"/>
    <w:rsid w:val="00CA26E2"/>
    <w:rsid w:val="00CA569A"/>
    <w:rsid w:val="00CA5953"/>
    <w:rsid w:val="00CA781E"/>
    <w:rsid w:val="00CB15D6"/>
    <w:rsid w:val="00CC2752"/>
    <w:rsid w:val="00CC54E3"/>
    <w:rsid w:val="00CD1220"/>
    <w:rsid w:val="00CE1A00"/>
    <w:rsid w:val="00CE70DE"/>
    <w:rsid w:val="00CE73E6"/>
    <w:rsid w:val="00CF19A1"/>
    <w:rsid w:val="00CF5DCE"/>
    <w:rsid w:val="00CF609E"/>
    <w:rsid w:val="00D0380B"/>
    <w:rsid w:val="00D1078E"/>
    <w:rsid w:val="00D14912"/>
    <w:rsid w:val="00D24EDC"/>
    <w:rsid w:val="00D2656D"/>
    <w:rsid w:val="00D309C5"/>
    <w:rsid w:val="00D360A8"/>
    <w:rsid w:val="00D7472F"/>
    <w:rsid w:val="00D8006C"/>
    <w:rsid w:val="00D800F9"/>
    <w:rsid w:val="00D85F41"/>
    <w:rsid w:val="00DA67AE"/>
    <w:rsid w:val="00DB1726"/>
    <w:rsid w:val="00DF0AFE"/>
    <w:rsid w:val="00DF2CAF"/>
    <w:rsid w:val="00E001C2"/>
    <w:rsid w:val="00E019CD"/>
    <w:rsid w:val="00E02C0A"/>
    <w:rsid w:val="00E15D8C"/>
    <w:rsid w:val="00E16693"/>
    <w:rsid w:val="00E171D1"/>
    <w:rsid w:val="00E33190"/>
    <w:rsid w:val="00E404EF"/>
    <w:rsid w:val="00E50E51"/>
    <w:rsid w:val="00E523E1"/>
    <w:rsid w:val="00E616BE"/>
    <w:rsid w:val="00EA3E03"/>
    <w:rsid w:val="00EB4D4B"/>
    <w:rsid w:val="00EB61E2"/>
    <w:rsid w:val="00EB679E"/>
    <w:rsid w:val="00ED6B4A"/>
    <w:rsid w:val="00EE17F8"/>
    <w:rsid w:val="00EE2F7D"/>
    <w:rsid w:val="00EE63EC"/>
    <w:rsid w:val="00EF735F"/>
    <w:rsid w:val="00EF7EBE"/>
    <w:rsid w:val="00F00B99"/>
    <w:rsid w:val="00F14BF8"/>
    <w:rsid w:val="00F22B16"/>
    <w:rsid w:val="00F23F19"/>
    <w:rsid w:val="00F2560C"/>
    <w:rsid w:val="00F379EE"/>
    <w:rsid w:val="00F40A3A"/>
    <w:rsid w:val="00F62067"/>
    <w:rsid w:val="00F64E04"/>
    <w:rsid w:val="00F6596D"/>
    <w:rsid w:val="00F6707B"/>
    <w:rsid w:val="00F71DA5"/>
    <w:rsid w:val="00F86EF0"/>
    <w:rsid w:val="00F92781"/>
    <w:rsid w:val="00FA1FD2"/>
    <w:rsid w:val="00FA5180"/>
    <w:rsid w:val="00FB391F"/>
    <w:rsid w:val="00FC01E9"/>
    <w:rsid w:val="00FC3CF0"/>
    <w:rsid w:val="00FD4E9F"/>
    <w:rsid w:val="00FE1364"/>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E2ACD"/>
  <w15:docId w15:val="{411FB47A-B9FB-45DB-A98D-B2E6A9FD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share-project.org/"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2aging.org/" TargetMode="External"/><Relationship Id="rId20"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2aging.org/" TargetMode="External"/><Relationship Id="rId23" Type="http://schemas.openxmlformats.org/officeDocument/2006/relationships/package" Target="embeddings/Microsoft_Excel_Worksheet.xlsx"/><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hare-project.org/" TargetMode="Externa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hyperlink" Target="mailto:Vanessa.DiLego@oeaw.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1B5B16-2A1F-4523-97B2-BD4E749C0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23943</Words>
  <Characters>136476</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160099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Shuler, Megan</dc:creator>
  <cp:lastModifiedBy>Di Lego Goncalves, Vanessa</cp:lastModifiedBy>
  <cp:revision>160</cp:revision>
  <dcterms:created xsi:type="dcterms:W3CDTF">2023-04-05T14:52:00Z</dcterms:created>
  <dcterms:modified xsi:type="dcterms:W3CDTF">2023-04-05T18:20:00Z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