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FDE50" w14:textId="1EC6BDA3" w:rsidR="00E6133D" w:rsidRDefault="00E6133D" w:rsidP="00E6133D">
      <w:pPr>
        <w:widowControl w:val="0"/>
        <w:pBdr>
          <w:top w:val="nil"/>
          <w:left w:val="nil"/>
          <w:bottom w:val="nil"/>
          <w:right w:val="nil"/>
          <w:between w:val="nil"/>
        </w:pBdr>
        <w:spacing w:line="276" w:lineRule="auto"/>
        <w:rPr>
          <w:sz w:val="36"/>
          <w:szCs w:val="36"/>
        </w:rPr>
        <w:sectPr w:rsidR="00E6133D">
          <w:headerReference w:type="default" r:id="rId8"/>
          <w:footerReference w:type="default" r:id="rId9"/>
          <w:pgSz w:w="12240" w:h="15840"/>
          <w:pgMar w:top="1440" w:right="1800" w:bottom="1440" w:left="1800" w:header="720" w:footer="720" w:gutter="0"/>
          <w:pgNumType w:start="1"/>
          <w:cols w:space="720"/>
        </w:sectPr>
      </w:pPr>
    </w:p>
    <w:p w14:paraId="1570751D" w14:textId="418A4989" w:rsidR="00E6133D" w:rsidRDefault="007527BE" w:rsidP="007527BE">
      <w:pPr>
        <w:rPr>
          <w:sz w:val="36"/>
          <w:szCs w:val="36"/>
        </w:rPr>
      </w:pPr>
      <w:r>
        <w:rPr>
          <w:rFonts w:ascii="Arial" w:hAnsi="Arial" w:cs="Arial"/>
          <w:noProof/>
          <w:sz w:val="20"/>
        </w:rPr>
        <w:drawing>
          <wp:inline distT="0" distB="0" distL="0" distR="0" wp14:anchorId="1D71516D" wp14:editId="1F4D7194">
            <wp:extent cx="1200150" cy="4225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NAS 2022 logo.t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29120" cy="432789"/>
                    </a:xfrm>
                    <a:prstGeom prst="rect">
                      <a:avLst/>
                    </a:prstGeom>
                  </pic:spPr>
                </pic:pic>
              </a:graphicData>
            </a:graphic>
          </wp:inline>
        </w:drawing>
      </w:r>
    </w:p>
    <w:p w14:paraId="2A67E2A4" w14:textId="77777777" w:rsidR="00DF48AE" w:rsidRDefault="00DF48AE" w:rsidP="00E6133D">
      <w:pPr>
        <w:jc w:val="center"/>
        <w:rPr>
          <w:sz w:val="36"/>
          <w:szCs w:val="36"/>
        </w:rPr>
      </w:pPr>
    </w:p>
    <w:p w14:paraId="1649890B" w14:textId="77777777" w:rsidR="00E6133D" w:rsidRPr="00F649EE" w:rsidRDefault="00E6133D" w:rsidP="00E6133D">
      <w:pPr>
        <w:rPr>
          <w:rFonts w:ascii="Arial" w:hAnsi="Arial" w:cs="Arial"/>
          <w:b/>
          <w:sz w:val="28"/>
          <w:szCs w:val="28"/>
        </w:rPr>
      </w:pPr>
      <w:r w:rsidRPr="00F649EE">
        <w:rPr>
          <w:rFonts w:ascii="Arial" w:hAnsi="Arial" w:cs="Arial"/>
          <w:b/>
          <w:sz w:val="28"/>
          <w:szCs w:val="28"/>
        </w:rPr>
        <w:t>Main Manuscript for</w:t>
      </w:r>
    </w:p>
    <w:p w14:paraId="193FD153" w14:textId="404E19EB" w:rsidR="00626DE9" w:rsidRPr="00626DE9" w:rsidRDefault="00046C04" w:rsidP="00E6133D">
      <w:pPr>
        <w:rPr>
          <w:rFonts w:ascii="Arial" w:hAnsi="Arial" w:cs="Arial"/>
          <w:sz w:val="28"/>
          <w:szCs w:val="28"/>
        </w:rPr>
      </w:pPr>
      <w:r w:rsidRPr="00046C04">
        <w:rPr>
          <w:rFonts w:ascii="Arial" w:hAnsi="Arial" w:cs="Arial"/>
          <w:sz w:val="28"/>
          <w:szCs w:val="28"/>
        </w:rPr>
        <w:t>Going beyond the</w:t>
      </w:r>
      <w:r w:rsidR="001D6E63">
        <w:rPr>
          <w:rFonts w:ascii="Arial" w:hAnsi="Arial" w:cs="Arial"/>
          <w:sz w:val="28"/>
          <w:szCs w:val="28"/>
        </w:rPr>
        <w:t xml:space="preserve"> gender</w:t>
      </w:r>
      <w:r w:rsidRPr="00046C04">
        <w:rPr>
          <w:rFonts w:ascii="Arial" w:hAnsi="Arial" w:cs="Arial"/>
          <w:sz w:val="28"/>
          <w:szCs w:val="28"/>
        </w:rPr>
        <w:t xml:space="preserve"> gap in health and mortality</w:t>
      </w:r>
    </w:p>
    <w:p w14:paraId="67C7ADEC" w14:textId="77777777" w:rsidR="00046C04" w:rsidRPr="00046C04" w:rsidRDefault="00046C04" w:rsidP="00046C04">
      <w:pPr>
        <w:rPr>
          <w:rFonts w:ascii="Arial" w:hAnsi="Arial" w:cs="Arial"/>
          <w:sz w:val="20"/>
          <w:szCs w:val="20"/>
          <w:lang w:val="pt-BR"/>
        </w:rPr>
      </w:pPr>
      <w:r w:rsidRPr="00046C04">
        <w:rPr>
          <w:rFonts w:ascii="Arial" w:hAnsi="Arial" w:cs="Arial"/>
          <w:sz w:val="20"/>
          <w:szCs w:val="20"/>
          <w:lang w:val="pt-BR"/>
        </w:rPr>
        <w:t>Vanessa di Lego</w:t>
      </w:r>
      <w:r w:rsidRPr="00D46042">
        <w:rPr>
          <w:rFonts w:ascii="Arial" w:hAnsi="Arial" w:cs="Arial"/>
          <w:sz w:val="20"/>
          <w:szCs w:val="20"/>
          <w:vertAlign w:val="superscript"/>
          <w:lang w:val="pt-BR"/>
        </w:rPr>
        <w:t>1</w:t>
      </w:r>
      <w:r w:rsidRPr="00046C04">
        <w:rPr>
          <w:rFonts w:ascii="Arial" w:hAnsi="Arial" w:cs="Arial"/>
          <w:sz w:val="20"/>
          <w:szCs w:val="20"/>
          <w:lang w:val="pt-BR"/>
        </w:rPr>
        <w:t>*, Marília R. Nepomuceno</w:t>
      </w:r>
      <w:r w:rsidRPr="00D46042">
        <w:rPr>
          <w:rFonts w:ascii="Arial" w:hAnsi="Arial" w:cs="Arial"/>
          <w:sz w:val="20"/>
          <w:szCs w:val="20"/>
          <w:vertAlign w:val="superscript"/>
          <w:lang w:val="pt-BR"/>
        </w:rPr>
        <w:t>2</w:t>
      </w:r>
      <w:r w:rsidRPr="00046C04">
        <w:rPr>
          <w:rFonts w:ascii="Arial" w:hAnsi="Arial" w:cs="Arial"/>
          <w:sz w:val="20"/>
          <w:szCs w:val="20"/>
          <w:lang w:val="pt-BR"/>
        </w:rPr>
        <w:t xml:space="preserve">, Cássio M. Turra </w:t>
      </w:r>
      <w:r w:rsidRPr="00D46042">
        <w:rPr>
          <w:rFonts w:ascii="Arial" w:hAnsi="Arial" w:cs="Arial"/>
          <w:sz w:val="20"/>
          <w:szCs w:val="20"/>
          <w:vertAlign w:val="superscript"/>
          <w:lang w:val="pt-BR"/>
        </w:rPr>
        <w:t>3</w:t>
      </w:r>
    </w:p>
    <w:p w14:paraId="726818F6" w14:textId="77777777" w:rsidR="00046C04" w:rsidRPr="00046C04" w:rsidRDefault="00046C04" w:rsidP="00046C04">
      <w:pPr>
        <w:rPr>
          <w:rFonts w:ascii="Arial" w:hAnsi="Arial" w:cs="Arial"/>
          <w:sz w:val="20"/>
          <w:szCs w:val="20"/>
        </w:rPr>
      </w:pPr>
      <w:r w:rsidRPr="00E925B6">
        <w:rPr>
          <w:rFonts w:ascii="Arial" w:hAnsi="Arial" w:cs="Arial"/>
          <w:sz w:val="20"/>
          <w:szCs w:val="20"/>
          <w:vertAlign w:val="superscript"/>
        </w:rPr>
        <w:t>1</w:t>
      </w:r>
      <w:r w:rsidRPr="00046C04">
        <w:rPr>
          <w:rFonts w:ascii="Arial" w:hAnsi="Arial" w:cs="Arial"/>
          <w:sz w:val="20"/>
          <w:szCs w:val="20"/>
        </w:rPr>
        <w:t xml:space="preserve"> Wittgenstein Centre for Demography and Global Human Capital (IIASA, </w:t>
      </w:r>
      <w:proofErr w:type="spellStart"/>
      <w:r w:rsidRPr="00046C04">
        <w:rPr>
          <w:rFonts w:ascii="Arial" w:hAnsi="Arial" w:cs="Arial"/>
          <w:sz w:val="20"/>
          <w:szCs w:val="20"/>
        </w:rPr>
        <w:t>OeAW</w:t>
      </w:r>
      <w:proofErr w:type="spellEnd"/>
      <w:r w:rsidRPr="00046C04">
        <w:rPr>
          <w:rFonts w:ascii="Arial" w:hAnsi="Arial" w:cs="Arial"/>
          <w:sz w:val="20"/>
          <w:szCs w:val="20"/>
        </w:rPr>
        <w:t>, Univ. Vienna), Vienna Institute of Demography at the Austrian Academy of Sciences</w:t>
      </w:r>
    </w:p>
    <w:p w14:paraId="1E929A98" w14:textId="6D26815B" w:rsidR="00046C04" w:rsidRPr="00046C04" w:rsidRDefault="00046C04" w:rsidP="00046C04">
      <w:pPr>
        <w:rPr>
          <w:rFonts w:ascii="Arial" w:hAnsi="Arial" w:cs="Arial"/>
          <w:sz w:val="20"/>
          <w:szCs w:val="20"/>
        </w:rPr>
      </w:pPr>
      <w:r w:rsidRPr="00E925B6">
        <w:rPr>
          <w:rFonts w:ascii="Arial" w:hAnsi="Arial" w:cs="Arial"/>
          <w:sz w:val="20"/>
          <w:szCs w:val="20"/>
          <w:vertAlign w:val="superscript"/>
        </w:rPr>
        <w:t>2</w:t>
      </w:r>
      <w:r w:rsidR="00E16A79">
        <w:rPr>
          <w:rFonts w:ascii="Arial" w:hAnsi="Arial" w:cs="Arial"/>
          <w:sz w:val="20"/>
          <w:szCs w:val="20"/>
          <w:vertAlign w:val="superscript"/>
        </w:rPr>
        <w:t xml:space="preserve"> </w:t>
      </w:r>
      <w:r w:rsidRPr="00046C04">
        <w:rPr>
          <w:rFonts w:ascii="Arial" w:hAnsi="Arial" w:cs="Arial"/>
          <w:sz w:val="20"/>
          <w:szCs w:val="20"/>
        </w:rPr>
        <w:t>Max Planck Institute for Demographic Research, Rostock, Germany.</w:t>
      </w:r>
    </w:p>
    <w:p w14:paraId="74B00C96" w14:textId="793D68BB" w:rsidR="00E6133D" w:rsidRPr="00E16A79" w:rsidRDefault="00046C04" w:rsidP="00046C04">
      <w:pPr>
        <w:rPr>
          <w:rFonts w:ascii="Arial" w:hAnsi="Arial" w:cs="Arial"/>
          <w:sz w:val="20"/>
          <w:szCs w:val="20"/>
          <w:lang w:val="pt-BR"/>
        </w:rPr>
      </w:pPr>
      <w:r w:rsidRPr="00E16A79">
        <w:rPr>
          <w:rFonts w:ascii="Arial" w:hAnsi="Arial" w:cs="Arial"/>
          <w:sz w:val="20"/>
          <w:szCs w:val="20"/>
          <w:vertAlign w:val="superscript"/>
          <w:lang w:val="pt-BR"/>
        </w:rPr>
        <w:t>3</w:t>
      </w:r>
      <w:r w:rsidR="00E16A79" w:rsidRPr="00E16A79">
        <w:rPr>
          <w:rFonts w:ascii="Arial" w:hAnsi="Arial" w:cs="Arial"/>
          <w:sz w:val="20"/>
          <w:szCs w:val="20"/>
          <w:vertAlign w:val="superscript"/>
          <w:lang w:val="pt-BR"/>
        </w:rPr>
        <w:t xml:space="preserve"> </w:t>
      </w:r>
      <w:r w:rsidRPr="00E16A79">
        <w:rPr>
          <w:rFonts w:ascii="Arial" w:hAnsi="Arial" w:cs="Arial"/>
          <w:sz w:val="20"/>
          <w:szCs w:val="20"/>
          <w:lang w:val="pt-BR"/>
        </w:rPr>
        <w:t xml:space="preserve">Universidade Federal de Minas Gerais, </w:t>
      </w:r>
      <w:proofErr w:type="spellStart"/>
      <w:r w:rsidRPr="00E16A79">
        <w:rPr>
          <w:rFonts w:ascii="Arial" w:hAnsi="Arial" w:cs="Arial"/>
          <w:sz w:val="20"/>
          <w:szCs w:val="20"/>
          <w:lang w:val="pt-BR"/>
        </w:rPr>
        <w:t>Cedeplar</w:t>
      </w:r>
      <w:proofErr w:type="spellEnd"/>
      <w:r w:rsidRPr="00E16A79">
        <w:rPr>
          <w:rFonts w:ascii="Arial" w:hAnsi="Arial" w:cs="Arial"/>
          <w:sz w:val="20"/>
          <w:szCs w:val="20"/>
          <w:lang w:val="pt-BR"/>
        </w:rPr>
        <w:t xml:space="preserve">, </w:t>
      </w:r>
      <w:proofErr w:type="spellStart"/>
      <w:r w:rsidRPr="00E16A79">
        <w:rPr>
          <w:rFonts w:ascii="Arial" w:hAnsi="Arial" w:cs="Arial"/>
          <w:sz w:val="20"/>
          <w:szCs w:val="20"/>
          <w:lang w:val="pt-BR"/>
        </w:rPr>
        <w:t>Brazil</w:t>
      </w:r>
      <w:proofErr w:type="spellEnd"/>
      <w:r w:rsidRPr="00E16A79">
        <w:rPr>
          <w:rFonts w:ascii="Arial" w:hAnsi="Arial" w:cs="Arial"/>
          <w:sz w:val="20"/>
          <w:szCs w:val="20"/>
          <w:lang w:val="pt-BR"/>
        </w:rPr>
        <w:t>.</w:t>
      </w:r>
    </w:p>
    <w:p w14:paraId="20DFDABE" w14:textId="6DBEE842" w:rsidR="00E6133D" w:rsidRPr="00450305" w:rsidRDefault="00E6133D" w:rsidP="00E6133D">
      <w:pPr>
        <w:rPr>
          <w:rFonts w:ascii="Arial" w:hAnsi="Arial" w:cs="Arial"/>
          <w:sz w:val="20"/>
          <w:szCs w:val="20"/>
          <w:lang w:val="pt-BR"/>
        </w:rPr>
      </w:pPr>
      <w:r w:rsidRPr="00450305">
        <w:rPr>
          <w:rFonts w:ascii="Arial" w:hAnsi="Arial" w:cs="Arial"/>
          <w:sz w:val="20"/>
          <w:szCs w:val="20"/>
          <w:lang w:val="pt-BR"/>
        </w:rPr>
        <w:t>*</w:t>
      </w:r>
      <w:r w:rsidR="00046C04" w:rsidRPr="00450305">
        <w:rPr>
          <w:rFonts w:ascii="Arial" w:hAnsi="Arial" w:cs="Arial"/>
          <w:sz w:val="20"/>
          <w:szCs w:val="20"/>
          <w:lang w:val="pt-BR"/>
        </w:rPr>
        <w:t>Vanessa di Lego</w:t>
      </w:r>
    </w:p>
    <w:p w14:paraId="46D7756D" w14:textId="4DBABF25" w:rsidR="00E6133D" w:rsidRPr="00450305" w:rsidRDefault="00E6133D" w:rsidP="00E6133D">
      <w:pPr>
        <w:rPr>
          <w:rFonts w:ascii="Arial" w:hAnsi="Arial" w:cs="Arial"/>
          <w:sz w:val="20"/>
          <w:szCs w:val="20"/>
          <w:lang w:val="pt-BR"/>
        </w:rPr>
      </w:pPr>
      <w:r w:rsidRPr="00450305">
        <w:rPr>
          <w:rFonts w:ascii="Arial" w:hAnsi="Arial" w:cs="Arial"/>
          <w:b/>
          <w:sz w:val="20"/>
          <w:szCs w:val="20"/>
          <w:lang w:val="pt-BR"/>
        </w:rPr>
        <w:t xml:space="preserve">Email: </w:t>
      </w:r>
      <w:r w:rsidRPr="00450305">
        <w:rPr>
          <w:rFonts w:ascii="Arial" w:hAnsi="Arial" w:cs="Arial"/>
          <w:sz w:val="20"/>
          <w:szCs w:val="20"/>
          <w:lang w:val="pt-BR"/>
        </w:rPr>
        <w:t xml:space="preserve"> </w:t>
      </w:r>
      <w:hyperlink r:id="rId11" w:history="1">
        <w:r w:rsidR="00046C04" w:rsidRPr="00450305">
          <w:rPr>
            <w:rStyle w:val="Hyperlink"/>
            <w:rFonts w:ascii="Arial" w:hAnsi="Arial" w:cs="Arial"/>
            <w:sz w:val="20"/>
            <w:szCs w:val="20"/>
            <w:lang w:val="pt-BR"/>
          </w:rPr>
          <w:t>Vanessa.DiLego@oeaw.ac.at</w:t>
        </w:r>
      </w:hyperlink>
    </w:p>
    <w:p w14:paraId="1A4002EE" w14:textId="392A024C" w:rsidR="00623869" w:rsidRDefault="00623869" w:rsidP="00623869">
      <w:pPr>
        <w:rPr>
          <w:rFonts w:ascii="Arial" w:hAnsi="Arial" w:cs="Arial"/>
          <w:sz w:val="20"/>
          <w:szCs w:val="20"/>
        </w:rPr>
      </w:pPr>
      <w:r w:rsidRPr="00E6133D">
        <w:rPr>
          <w:rFonts w:ascii="Arial" w:hAnsi="Arial" w:cs="Arial"/>
          <w:b/>
          <w:sz w:val="20"/>
          <w:szCs w:val="20"/>
        </w:rPr>
        <w:t>Author Contributions</w:t>
      </w:r>
      <w:r>
        <w:rPr>
          <w:rFonts w:ascii="Arial" w:hAnsi="Arial" w:cs="Arial"/>
          <w:b/>
          <w:sz w:val="20"/>
          <w:szCs w:val="20"/>
        </w:rPr>
        <w:t xml:space="preserve">: </w:t>
      </w:r>
      <w:r w:rsidRPr="00F649EE">
        <w:rPr>
          <w:rFonts w:ascii="Arial" w:hAnsi="Arial" w:cs="Arial"/>
          <w:sz w:val="20"/>
          <w:szCs w:val="20"/>
        </w:rPr>
        <w:t>Paste the author contributions here</w:t>
      </w:r>
      <w:r w:rsidRPr="00E6133D">
        <w:rPr>
          <w:rFonts w:ascii="Arial" w:hAnsi="Arial" w:cs="Arial"/>
          <w:sz w:val="20"/>
          <w:szCs w:val="20"/>
        </w:rPr>
        <w:t>.</w:t>
      </w:r>
    </w:p>
    <w:p w14:paraId="7A5DDA98" w14:textId="642F08F7" w:rsidR="00623869" w:rsidRPr="00BB6B27" w:rsidRDefault="00623869" w:rsidP="00623869">
      <w:pPr>
        <w:rPr>
          <w:rFonts w:ascii="Arial" w:hAnsi="Arial" w:cs="Arial"/>
          <w:sz w:val="20"/>
          <w:szCs w:val="20"/>
        </w:rPr>
      </w:pPr>
      <w:r>
        <w:rPr>
          <w:rFonts w:ascii="Arial" w:hAnsi="Arial" w:cs="Arial"/>
          <w:b/>
          <w:sz w:val="20"/>
          <w:szCs w:val="20"/>
        </w:rPr>
        <w:t xml:space="preserve">Competing Interest Statement: </w:t>
      </w:r>
      <w:r w:rsidR="00243591">
        <w:rPr>
          <w:rFonts w:ascii="Arial" w:hAnsi="Arial" w:cs="Arial"/>
          <w:sz w:val="20"/>
          <w:szCs w:val="20"/>
        </w:rPr>
        <w:t>The authors have no competing interest to declare.</w:t>
      </w:r>
      <w:r>
        <w:rPr>
          <w:rFonts w:ascii="Arial" w:hAnsi="Arial" w:cs="Arial"/>
          <w:sz w:val="20"/>
          <w:szCs w:val="20"/>
        </w:rPr>
        <w:t xml:space="preserve"> </w:t>
      </w:r>
    </w:p>
    <w:p w14:paraId="61606AE0" w14:textId="1880D21E" w:rsidR="00E6133D" w:rsidRPr="00E6133D" w:rsidRDefault="00E6133D" w:rsidP="00E6133D">
      <w:pPr>
        <w:rPr>
          <w:rFonts w:ascii="Arial" w:hAnsi="Arial" w:cs="Arial"/>
          <w:sz w:val="20"/>
          <w:szCs w:val="20"/>
        </w:rPr>
      </w:pPr>
      <w:r w:rsidRPr="00E6133D">
        <w:rPr>
          <w:rFonts w:ascii="Arial" w:hAnsi="Arial" w:cs="Arial"/>
          <w:b/>
          <w:sz w:val="20"/>
          <w:szCs w:val="20"/>
        </w:rPr>
        <w:t>Classification</w:t>
      </w:r>
      <w:r w:rsidR="00623869">
        <w:rPr>
          <w:rFonts w:ascii="Arial" w:hAnsi="Arial" w:cs="Arial"/>
          <w:b/>
          <w:sz w:val="20"/>
          <w:szCs w:val="20"/>
        </w:rPr>
        <w:t xml:space="preserve">: </w:t>
      </w:r>
      <w:r w:rsidR="00A370CE">
        <w:rPr>
          <w:rFonts w:ascii="Arial" w:hAnsi="Arial" w:cs="Arial"/>
          <w:sz w:val="20"/>
          <w:szCs w:val="20"/>
        </w:rPr>
        <w:t>Social Sciences</w:t>
      </w:r>
      <w:r w:rsidRPr="00E6133D">
        <w:rPr>
          <w:rFonts w:ascii="Arial" w:hAnsi="Arial" w:cs="Arial"/>
          <w:sz w:val="20"/>
          <w:szCs w:val="20"/>
        </w:rPr>
        <w:t xml:space="preserve">. </w:t>
      </w:r>
      <w:r w:rsidR="00A370CE" w:rsidRPr="00A370CE">
        <w:rPr>
          <w:rFonts w:ascii="Arial" w:hAnsi="Arial" w:cs="Arial"/>
          <w:sz w:val="20"/>
          <w:szCs w:val="20"/>
        </w:rPr>
        <w:t>Social Sciences</w:t>
      </w:r>
      <w:r w:rsidR="00A370CE">
        <w:rPr>
          <w:rFonts w:ascii="Arial" w:hAnsi="Arial" w:cs="Arial"/>
          <w:sz w:val="20"/>
          <w:szCs w:val="20"/>
        </w:rPr>
        <w:t>.</w:t>
      </w:r>
    </w:p>
    <w:p w14:paraId="18812061" w14:textId="4AC97E99" w:rsidR="00E6133D" w:rsidRPr="00E6133D" w:rsidRDefault="00E6133D" w:rsidP="00E6133D">
      <w:pPr>
        <w:rPr>
          <w:rFonts w:ascii="Arial" w:hAnsi="Arial" w:cs="Arial"/>
          <w:sz w:val="20"/>
          <w:szCs w:val="20"/>
        </w:rPr>
      </w:pPr>
      <w:r w:rsidRPr="00E6133D">
        <w:rPr>
          <w:rFonts w:ascii="Arial" w:hAnsi="Arial" w:cs="Arial"/>
          <w:b/>
          <w:sz w:val="20"/>
          <w:szCs w:val="20"/>
        </w:rPr>
        <w:t>Keywords</w:t>
      </w:r>
      <w:r w:rsidR="00623869">
        <w:rPr>
          <w:rFonts w:ascii="Arial" w:hAnsi="Arial" w:cs="Arial"/>
          <w:b/>
          <w:sz w:val="20"/>
          <w:szCs w:val="20"/>
        </w:rPr>
        <w:t xml:space="preserve">: </w:t>
      </w:r>
      <w:r w:rsidRPr="00F649EE">
        <w:rPr>
          <w:rFonts w:ascii="Arial" w:hAnsi="Arial" w:cs="Arial"/>
          <w:sz w:val="20"/>
          <w:szCs w:val="20"/>
        </w:rPr>
        <w:t>Paste the keywords here</w:t>
      </w:r>
      <w:r w:rsidRPr="00E6133D">
        <w:rPr>
          <w:rFonts w:ascii="Arial" w:hAnsi="Arial" w:cs="Arial"/>
          <w:sz w:val="20"/>
          <w:szCs w:val="20"/>
        </w:rPr>
        <w:t>. There should be at least three and no more than five.</w:t>
      </w:r>
    </w:p>
    <w:p w14:paraId="1265A261" w14:textId="77777777" w:rsidR="00623869" w:rsidRDefault="00623869" w:rsidP="00E6133D">
      <w:pPr>
        <w:rPr>
          <w:rFonts w:ascii="Arial" w:hAnsi="Arial" w:cs="Arial"/>
          <w:b/>
          <w:sz w:val="20"/>
          <w:szCs w:val="20"/>
        </w:rPr>
      </w:pPr>
    </w:p>
    <w:p w14:paraId="788EAF02" w14:textId="21CEB795" w:rsidR="00E6133D" w:rsidRPr="00E6133D" w:rsidRDefault="00E6133D" w:rsidP="00E6133D">
      <w:pPr>
        <w:rPr>
          <w:rFonts w:ascii="Arial" w:hAnsi="Arial" w:cs="Arial"/>
          <w:b/>
          <w:sz w:val="20"/>
          <w:szCs w:val="20"/>
        </w:rPr>
      </w:pPr>
      <w:r w:rsidRPr="00E6133D">
        <w:rPr>
          <w:rFonts w:ascii="Arial" w:hAnsi="Arial" w:cs="Arial"/>
          <w:b/>
          <w:sz w:val="20"/>
          <w:szCs w:val="20"/>
        </w:rPr>
        <w:t>This PDF file includes:</w:t>
      </w:r>
    </w:p>
    <w:p w14:paraId="14DCCC60" w14:textId="77777777" w:rsidR="00E6133D" w:rsidRPr="00E6133D" w:rsidRDefault="00E6133D" w:rsidP="00E6133D">
      <w:pPr>
        <w:ind w:left="720"/>
        <w:contextualSpacing/>
        <w:rPr>
          <w:rFonts w:ascii="Arial" w:hAnsi="Arial" w:cs="Arial"/>
          <w:sz w:val="20"/>
          <w:szCs w:val="20"/>
        </w:rPr>
      </w:pPr>
      <w:r w:rsidRPr="00E6133D">
        <w:rPr>
          <w:rFonts w:ascii="Arial" w:hAnsi="Arial" w:cs="Arial"/>
          <w:sz w:val="20"/>
          <w:szCs w:val="20"/>
        </w:rPr>
        <w:t>Main Text</w:t>
      </w:r>
    </w:p>
    <w:p w14:paraId="4EEAF45F" w14:textId="68E3A6CB" w:rsidR="00474D11" w:rsidRDefault="00E6133D" w:rsidP="00474D11">
      <w:pPr>
        <w:ind w:left="720"/>
        <w:contextualSpacing/>
        <w:rPr>
          <w:rFonts w:ascii="Arial" w:hAnsi="Arial" w:cs="Arial"/>
          <w:sz w:val="20"/>
          <w:szCs w:val="20"/>
        </w:rPr>
      </w:pPr>
      <w:r w:rsidRPr="00E6133D">
        <w:rPr>
          <w:rFonts w:ascii="Arial" w:hAnsi="Arial" w:cs="Arial"/>
          <w:sz w:val="20"/>
          <w:szCs w:val="20"/>
        </w:rPr>
        <w:t xml:space="preserve">Figures 1 to </w:t>
      </w:r>
      <w:r w:rsidR="0020329D">
        <w:rPr>
          <w:rFonts w:ascii="Arial" w:hAnsi="Arial" w:cs="Arial"/>
          <w:sz w:val="20"/>
          <w:szCs w:val="20"/>
        </w:rPr>
        <w:t>4</w:t>
      </w:r>
    </w:p>
    <w:p w14:paraId="3CDB431C" w14:textId="77777777" w:rsidR="00913C29" w:rsidRDefault="00E6133D" w:rsidP="00913C29">
      <w:pPr>
        <w:ind w:left="720"/>
        <w:contextualSpacing/>
        <w:rPr>
          <w:rFonts w:ascii="Arial" w:hAnsi="Arial" w:cs="Arial"/>
          <w:sz w:val="20"/>
          <w:szCs w:val="20"/>
        </w:rPr>
      </w:pPr>
      <w:r w:rsidRPr="00E6133D">
        <w:rPr>
          <w:rFonts w:ascii="Arial" w:hAnsi="Arial" w:cs="Arial"/>
          <w:sz w:val="20"/>
          <w:szCs w:val="20"/>
        </w:rPr>
        <w:t xml:space="preserve">Tables 1 to </w:t>
      </w:r>
      <w:bookmarkStart w:id="0" w:name="30j0zll" w:colFirst="0" w:colLast="0"/>
      <w:bookmarkStart w:id="1" w:name="1fob9te" w:colFirst="0" w:colLast="0"/>
      <w:bookmarkEnd w:id="0"/>
      <w:bookmarkEnd w:id="1"/>
    </w:p>
    <w:p w14:paraId="1A2FE399" w14:textId="77777777" w:rsidR="00913C29" w:rsidRDefault="00913C29" w:rsidP="00913C29">
      <w:pPr>
        <w:ind w:left="720"/>
        <w:contextualSpacing/>
        <w:rPr>
          <w:rFonts w:ascii="Arial" w:hAnsi="Arial" w:cs="Arial"/>
          <w:sz w:val="20"/>
          <w:szCs w:val="20"/>
        </w:rPr>
      </w:pPr>
    </w:p>
    <w:p w14:paraId="08840436" w14:textId="77777777" w:rsidR="00913C29" w:rsidRDefault="00913C29" w:rsidP="00913C29">
      <w:pPr>
        <w:ind w:left="720"/>
        <w:contextualSpacing/>
        <w:rPr>
          <w:rFonts w:ascii="Arial" w:hAnsi="Arial" w:cs="Arial"/>
          <w:sz w:val="20"/>
          <w:szCs w:val="20"/>
        </w:rPr>
      </w:pPr>
    </w:p>
    <w:p w14:paraId="29D1539A" w14:textId="77777777" w:rsidR="00913C29" w:rsidRDefault="00913C29" w:rsidP="00913C29">
      <w:pPr>
        <w:ind w:left="720"/>
        <w:contextualSpacing/>
        <w:rPr>
          <w:rFonts w:ascii="Arial" w:hAnsi="Arial" w:cs="Arial"/>
          <w:sz w:val="20"/>
          <w:szCs w:val="20"/>
        </w:rPr>
      </w:pPr>
    </w:p>
    <w:p w14:paraId="141C2D57" w14:textId="77777777" w:rsidR="00913C29" w:rsidRDefault="00913C29" w:rsidP="00913C29">
      <w:pPr>
        <w:ind w:left="720"/>
        <w:contextualSpacing/>
        <w:rPr>
          <w:rFonts w:ascii="Arial" w:hAnsi="Arial" w:cs="Arial"/>
          <w:sz w:val="20"/>
          <w:szCs w:val="20"/>
        </w:rPr>
      </w:pPr>
    </w:p>
    <w:p w14:paraId="169A8388" w14:textId="5102F0D6" w:rsidR="00913C29" w:rsidRDefault="00913C29" w:rsidP="00003CA5">
      <w:pPr>
        <w:contextualSpacing/>
        <w:rPr>
          <w:rFonts w:ascii="Arial" w:hAnsi="Arial" w:cs="Arial"/>
          <w:sz w:val="20"/>
          <w:szCs w:val="20"/>
        </w:rPr>
      </w:pPr>
    </w:p>
    <w:p w14:paraId="78DE2E03" w14:textId="7E9814FC" w:rsidR="00003CA5" w:rsidRDefault="00003CA5" w:rsidP="00003CA5">
      <w:pPr>
        <w:contextualSpacing/>
        <w:rPr>
          <w:rFonts w:ascii="Arial" w:hAnsi="Arial" w:cs="Arial"/>
          <w:sz w:val="20"/>
          <w:szCs w:val="20"/>
        </w:rPr>
      </w:pPr>
    </w:p>
    <w:p w14:paraId="2B69F6F8" w14:textId="1B343F78" w:rsidR="00003CA5" w:rsidRDefault="00003CA5" w:rsidP="00003CA5">
      <w:pPr>
        <w:contextualSpacing/>
        <w:rPr>
          <w:rFonts w:ascii="Arial" w:hAnsi="Arial" w:cs="Arial"/>
          <w:sz w:val="20"/>
          <w:szCs w:val="20"/>
        </w:rPr>
      </w:pPr>
    </w:p>
    <w:p w14:paraId="3E739AFD" w14:textId="740D9ED1" w:rsidR="00003CA5" w:rsidRDefault="00003CA5" w:rsidP="00003CA5">
      <w:pPr>
        <w:contextualSpacing/>
        <w:rPr>
          <w:rFonts w:ascii="Arial" w:hAnsi="Arial" w:cs="Arial"/>
          <w:sz w:val="20"/>
          <w:szCs w:val="20"/>
        </w:rPr>
      </w:pPr>
    </w:p>
    <w:p w14:paraId="4992BFFF" w14:textId="1DDC6E15" w:rsidR="00003CA5" w:rsidRDefault="00003CA5" w:rsidP="00003CA5">
      <w:pPr>
        <w:contextualSpacing/>
        <w:rPr>
          <w:rFonts w:ascii="Arial" w:hAnsi="Arial" w:cs="Arial"/>
          <w:sz w:val="20"/>
          <w:szCs w:val="20"/>
        </w:rPr>
      </w:pPr>
    </w:p>
    <w:p w14:paraId="2C77EA4E" w14:textId="0F64818A" w:rsidR="00003CA5" w:rsidRDefault="00003CA5" w:rsidP="00003CA5">
      <w:pPr>
        <w:contextualSpacing/>
        <w:rPr>
          <w:rFonts w:ascii="Arial" w:hAnsi="Arial" w:cs="Arial"/>
          <w:sz w:val="20"/>
          <w:szCs w:val="20"/>
        </w:rPr>
      </w:pPr>
    </w:p>
    <w:p w14:paraId="1DCA3E63" w14:textId="77777777" w:rsidR="00003CA5" w:rsidRDefault="00003CA5" w:rsidP="00003CA5">
      <w:pPr>
        <w:contextualSpacing/>
        <w:rPr>
          <w:rFonts w:ascii="Arial" w:hAnsi="Arial" w:cs="Arial"/>
          <w:sz w:val="20"/>
          <w:szCs w:val="20"/>
        </w:rPr>
      </w:pPr>
    </w:p>
    <w:p w14:paraId="70AE1231" w14:textId="77777777" w:rsidR="00913C29" w:rsidRDefault="00913C29" w:rsidP="00913C29">
      <w:pPr>
        <w:ind w:left="720"/>
        <w:contextualSpacing/>
        <w:rPr>
          <w:rFonts w:ascii="Arial" w:hAnsi="Arial" w:cs="Arial"/>
          <w:sz w:val="20"/>
          <w:szCs w:val="20"/>
        </w:rPr>
      </w:pPr>
    </w:p>
    <w:p w14:paraId="5C2463F9" w14:textId="77777777" w:rsidR="00913C29" w:rsidRDefault="00913C29" w:rsidP="00913C29">
      <w:pPr>
        <w:ind w:left="720"/>
        <w:contextualSpacing/>
        <w:rPr>
          <w:rFonts w:ascii="Arial" w:hAnsi="Arial" w:cs="Arial"/>
          <w:sz w:val="20"/>
          <w:szCs w:val="20"/>
        </w:rPr>
      </w:pPr>
    </w:p>
    <w:p w14:paraId="1022AED8" w14:textId="60FCC527" w:rsidR="00E6133D" w:rsidRPr="00913C29" w:rsidRDefault="00E6133D" w:rsidP="00913C29">
      <w:pPr>
        <w:ind w:left="720"/>
        <w:contextualSpacing/>
        <w:rPr>
          <w:rFonts w:ascii="Arial" w:hAnsi="Arial" w:cs="Arial"/>
          <w:sz w:val="20"/>
          <w:szCs w:val="20"/>
        </w:rPr>
      </w:pPr>
      <w:r w:rsidRPr="00775489">
        <w:rPr>
          <w:rFonts w:ascii="Arial" w:hAnsi="Arial" w:cs="Arial"/>
          <w:b/>
          <w:color w:val="000000"/>
          <w:sz w:val="24"/>
          <w:szCs w:val="24"/>
        </w:rPr>
        <w:lastRenderedPageBreak/>
        <w:t>Abstract</w:t>
      </w:r>
    </w:p>
    <w:p w14:paraId="1D9A5848" w14:textId="77777777" w:rsidR="00E6133D" w:rsidRPr="00775489" w:rsidRDefault="00E6133D" w:rsidP="00E6133D">
      <w:pPr>
        <w:keepNext/>
        <w:pBdr>
          <w:top w:val="nil"/>
          <w:left w:val="nil"/>
          <w:bottom w:val="nil"/>
          <w:right w:val="nil"/>
          <w:between w:val="nil"/>
        </w:pBdr>
        <w:spacing w:before="240" w:after="60"/>
        <w:rPr>
          <w:rFonts w:ascii="Arial" w:hAnsi="Arial" w:cs="Arial"/>
          <w:color w:val="000000"/>
          <w:sz w:val="24"/>
          <w:szCs w:val="24"/>
        </w:rPr>
      </w:pPr>
      <w:r w:rsidRPr="00775489">
        <w:rPr>
          <w:rFonts w:ascii="Arial" w:hAnsi="Arial" w:cs="Arial"/>
          <w:color w:val="000000"/>
          <w:sz w:val="24"/>
          <w:szCs w:val="24"/>
        </w:rPr>
        <w:t>Paste your abstract here. Please note it may not exceed 250 words. It may include up to three cited (non-numerical) references.</w:t>
      </w:r>
    </w:p>
    <w:p w14:paraId="45398465" w14:textId="77777777" w:rsidR="00E6133D" w:rsidRPr="00775489" w:rsidRDefault="00E6133D" w:rsidP="00E6133D">
      <w:pPr>
        <w:keepNext/>
        <w:pBdr>
          <w:top w:val="nil"/>
          <w:left w:val="nil"/>
          <w:bottom w:val="nil"/>
          <w:right w:val="nil"/>
          <w:between w:val="nil"/>
        </w:pBdr>
        <w:spacing w:before="240" w:after="60"/>
        <w:rPr>
          <w:rFonts w:ascii="Arial" w:hAnsi="Arial" w:cs="Arial"/>
          <w:b/>
          <w:color w:val="000000"/>
          <w:sz w:val="24"/>
          <w:szCs w:val="24"/>
        </w:rPr>
      </w:pPr>
      <w:r w:rsidRPr="00775489">
        <w:rPr>
          <w:rFonts w:ascii="Arial" w:hAnsi="Arial" w:cs="Arial"/>
          <w:b/>
          <w:color w:val="000000"/>
          <w:sz w:val="24"/>
          <w:szCs w:val="24"/>
        </w:rPr>
        <w:t>Significance Statement</w:t>
      </w:r>
    </w:p>
    <w:p w14:paraId="4A98E00C" w14:textId="77777777" w:rsidR="00E6133D" w:rsidRPr="00775489" w:rsidRDefault="00E6133D" w:rsidP="00E6133D">
      <w:pPr>
        <w:keepNext/>
        <w:pBdr>
          <w:top w:val="nil"/>
          <w:left w:val="nil"/>
          <w:bottom w:val="nil"/>
          <w:right w:val="nil"/>
          <w:between w:val="nil"/>
        </w:pBdr>
        <w:spacing w:before="240" w:after="60"/>
        <w:rPr>
          <w:rFonts w:ascii="Arial" w:hAnsi="Arial" w:cs="Arial"/>
          <w:color w:val="000000"/>
          <w:sz w:val="24"/>
          <w:szCs w:val="24"/>
        </w:rPr>
      </w:pPr>
      <w:r w:rsidRPr="00775489">
        <w:rPr>
          <w:rFonts w:ascii="Arial" w:hAnsi="Arial" w:cs="Arial"/>
          <w:color w:val="000000"/>
          <w:sz w:val="24"/>
          <w:szCs w:val="24"/>
        </w:rPr>
        <w:t>Paste your significance statement here. Please note that it should not exceed 120 words, but should be at least 50 words in length. It should not include any references.</w:t>
      </w:r>
    </w:p>
    <w:p w14:paraId="65D7FF87" w14:textId="77777777" w:rsidR="00E6133D" w:rsidRPr="00775489" w:rsidRDefault="00E6133D" w:rsidP="00E6133D">
      <w:pPr>
        <w:keepNext/>
        <w:pBdr>
          <w:top w:val="nil"/>
          <w:left w:val="nil"/>
          <w:bottom w:val="nil"/>
          <w:right w:val="nil"/>
          <w:between w:val="nil"/>
        </w:pBdr>
        <w:spacing w:before="240" w:after="60"/>
        <w:contextualSpacing/>
        <w:rPr>
          <w:rFonts w:ascii="Arial" w:hAnsi="Arial" w:cs="Arial"/>
          <w:color w:val="000000"/>
          <w:sz w:val="24"/>
          <w:szCs w:val="24"/>
        </w:rPr>
      </w:pPr>
    </w:p>
    <w:p w14:paraId="29044E82" w14:textId="77777777" w:rsidR="000E6209" w:rsidRDefault="000E6209" w:rsidP="000E6209">
      <w:r w:rsidRPr="00613D89">
        <w:rPr>
          <w:highlight w:val="yellow"/>
        </w:rPr>
        <w:t>4,000 words, 50 references, and 4 medium-size graphical elements</w:t>
      </w:r>
    </w:p>
    <w:p w14:paraId="2A72CFB6" w14:textId="68252B17" w:rsidR="00980C22" w:rsidRDefault="00980C22" w:rsidP="00E6133D">
      <w:pPr>
        <w:keepNext/>
        <w:pBdr>
          <w:top w:val="nil"/>
          <w:left w:val="nil"/>
          <w:bottom w:val="nil"/>
          <w:right w:val="nil"/>
          <w:between w:val="nil"/>
        </w:pBdr>
        <w:spacing w:before="240" w:after="60"/>
        <w:contextualSpacing/>
        <w:rPr>
          <w:rFonts w:ascii="Arial" w:hAnsi="Arial" w:cs="Arial"/>
          <w:color w:val="000000"/>
          <w:sz w:val="24"/>
          <w:szCs w:val="24"/>
        </w:rPr>
      </w:pPr>
    </w:p>
    <w:p w14:paraId="74F2FDEC" w14:textId="2BDA49DC" w:rsidR="000E6209" w:rsidRDefault="000E6209" w:rsidP="00E6133D">
      <w:pPr>
        <w:keepNext/>
        <w:pBdr>
          <w:top w:val="nil"/>
          <w:left w:val="nil"/>
          <w:bottom w:val="nil"/>
          <w:right w:val="nil"/>
          <w:between w:val="nil"/>
        </w:pBdr>
        <w:spacing w:before="240" w:after="60"/>
        <w:contextualSpacing/>
        <w:rPr>
          <w:rFonts w:ascii="Arial" w:hAnsi="Arial" w:cs="Arial"/>
          <w:color w:val="000000"/>
          <w:sz w:val="24"/>
          <w:szCs w:val="24"/>
        </w:rPr>
      </w:pPr>
    </w:p>
    <w:p w14:paraId="705056AF" w14:textId="551A68A4" w:rsidR="00913C29" w:rsidRDefault="00913C29" w:rsidP="00E6133D">
      <w:pPr>
        <w:keepNext/>
        <w:pBdr>
          <w:top w:val="nil"/>
          <w:left w:val="nil"/>
          <w:bottom w:val="nil"/>
          <w:right w:val="nil"/>
          <w:between w:val="nil"/>
        </w:pBdr>
        <w:spacing w:before="240" w:after="60"/>
        <w:contextualSpacing/>
        <w:rPr>
          <w:rFonts w:ascii="Arial" w:hAnsi="Arial" w:cs="Arial"/>
          <w:color w:val="000000"/>
          <w:sz w:val="24"/>
          <w:szCs w:val="24"/>
        </w:rPr>
      </w:pPr>
    </w:p>
    <w:p w14:paraId="79A4521F" w14:textId="2FEF6B92" w:rsidR="00913C29" w:rsidRDefault="00913C29" w:rsidP="00E6133D">
      <w:pPr>
        <w:keepNext/>
        <w:pBdr>
          <w:top w:val="nil"/>
          <w:left w:val="nil"/>
          <w:bottom w:val="nil"/>
          <w:right w:val="nil"/>
          <w:between w:val="nil"/>
        </w:pBdr>
        <w:spacing w:before="240" w:after="60"/>
        <w:contextualSpacing/>
        <w:rPr>
          <w:rFonts w:ascii="Arial" w:hAnsi="Arial" w:cs="Arial"/>
          <w:color w:val="000000"/>
          <w:sz w:val="24"/>
          <w:szCs w:val="24"/>
        </w:rPr>
      </w:pPr>
    </w:p>
    <w:p w14:paraId="0EFE8C3F" w14:textId="5656F5F2" w:rsidR="00913C29" w:rsidRDefault="00913C29" w:rsidP="00E6133D">
      <w:pPr>
        <w:keepNext/>
        <w:pBdr>
          <w:top w:val="nil"/>
          <w:left w:val="nil"/>
          <w:bottom w:val="nil"/>
          <w:right w:val="nil"/>
          <w:between w:val="nil"/>
        </w:pBdr>
        <w:spacing w:before="240" w:after="60"/>
        <w:contextualSpacing/>
        <w:rPr>
          <w:rFonts w:ascii="Arial" w:hAnsi="Arial" w:cs="Arial"/>
          <w:color w:val="000000"/>
          <w:sz w:val="24"/>
          <w:szCs w:val="24"/>
        </w:rPr>
      </w:pPr>
    </w:p>
    <w:p w14:paraId="119741A7" w14:textId="77777777" w:rsidR="00E6133D" w:rsidRPr="00775489" w:rsidRDefault="00E6133D" w:rsidP="00E6133D">
      <w:pPr>
        <w:keepNext/>
        <w:pBdr>
          <w:top w:val="nil"/>
          <w:left w:val="nil"/>
          <w:bottom w:val="nil"/>
          <w:right w:val="nil"/>
          <w:between w:val="nil"/>
        </w:pBdr>
        <w:spacing w:before="240" w:after="60"/>
        <w:contextualSpacing/>
        <w:rPr>
          <w:rFonts w:ascii="Arial" w:hAnsi="Arial" w:cs="Arial"/>
          <w:b/>
          <w:color w:val="000000"/>
          <w:sz w:val="24"/>
          <w:szCs w:val="24"/>
        </w:rPr>
      </w:pPr>
      <w:r w:rsidRPr="00775489">
        <w:rPr>
          <w:rFonts w:ascii="Arial" w:hAnsi="Arial" w:cs="Arial"/>
          <w:b/>
          <w:color w:val="000000"/>
          <w:sz w:val="24"/>
          <w:szCs w:val="24"/>
        </w:rPr>
        <w:t>Main Text</w:t>
      </w:r>
    </w:p>
    <w:p w14:paraId="0DE7A4AA" w14:textId="77777777" w:rsidR="000445DC" w:rsidRPr="00775489" w:rsidRDefault="000445DC" w:rsidP="00E6133D">
      <w:pPr>
        <w:keepNext/>
        <w:pBdr>
          <w:top w:val="nil"/>
          <w:left w:val="nil"/>
          <w:bottom w:val="nil"/>
          <w:right w:val="nil"/>
          <w:between w:val="nil"/>
        </w:pBdr>
        <w:spacing w:before="240" w:after="60"/>
        <w:contextualSpacing/>
        <w:rPr>
          <w:rFonts w:ascii="Arial" w:hAnsi="Arial" w:cs="Arial"/>
          <w:b/>
          <w:color w:val="000000"/>
          <w:sz w:val="24"/>
          <w:szCs w:val="24"/>
        </w:rPr>
      </w:pPr>
    </w:p>
    <w:p w14:paraId="0A25037F" w14:textId="77777777" w:rsidR="00E6133D" w:rsidRPr="00775489" w:rsidRDefault="00E6133D" w:rsidP="00E6133D">
      <w:pPr>
        <w:keepNext/>
        <w:pBdr>
          <w:top w:val="nil"/>
          <w:left w:val="nil"/>
          <w:bottom w:val="nil"/>
          <w:right w:val="nil"/>
          <w:between w:val="nil"/>
        </w:pBdr>
        <w:spacing w:before="240" w:after="60"/>
        <w:contextualSpacing/>
        <w:rPr>
          <w:rFonts w:ascii="Arial" w:hAnsi="Arial" w:cs="Arial"/>
          <w:b/>
          <w:color w:val="000000"/>
          <w:sz w:val="24"/>
          <w:szCs w:val="24"/>
        </w:rPr>
      </w:pPr>
      <w:r w:rsidRPr="00775489">
        <w:rPr>
          <w:rFonts w:ascii="Arial" w:hAnsi="Arial" w:cs="Arial"/>
          <w:b/>
          <w:color w:val="000000"/>
          <w:sz w:val="24"/>
          <w:szCs w:val="24"/>
        </w:rPr>
        <w:t>Introduction</w:t>
      </w:r>
    </w:p>
    <w:p w14:paraId="4903E3B2" w14:textId="0AA4C3C9" w:rsidR="00980C22" w:rsidRPr="00775489" w:rsidRDefault="00980C22" w:rsidP="00E6133D">
      <w:pPr>
        <w:keepNext/>
        <w:pBdr>
          <w:top w:val="nil"/>
          <w:left w:val="nil"/>
          <w:bottom w:val="nil"/>
          <w:right w:val="nil"/>
          <w:between w:val="nil"/>
        </w:pBdr>
        <w:spacing w:before="240" w:after="60"/>
        <w:contextualSpacing/>
        <w:rPr>
          <w:rFonts w:ascii="Arial" w:hAnsi="Arial" w:cs="Arial"/>
          <w:b/>
          <w:color w:val="000000"/>
          <w:sz w:val="24"/>
          <w:szCs w:val="24"/>
        </w:rPr>
      </w:pPr>
    </w:p>
    <w:p w14:paraId="74A00D3E" w14:textId="16243E89" w:rsidR="00305EC9" w:rsidRDefault="00AF1C52" w:rsidP="00546C4A">
      <w:pPr>
        <w:keepNext/>
        <w:pBdr>
          <w:top w:val="nil"/>
          <w:left w:val="nil"/>
          <w:bottom w:val="nil"/>
          <w:right w:val="nil"/>
          <w:between w:val="nil"/>
        </w:pBdr>
        <w:spacing w:before="240" w:after="60" w:line="360" w:lineRule="auto"/>
        <w:contextualSpacing/>
        <w:jc w:val="both"/>
        <w:rPr>
          <w:rFonts w:ascii="Arial" w:hAnsi="Arial" w:cs="Arial"/>
          <w:bCs/>
          <w:color w:val="000000"/>
          <w:sz w:val="24"/>
          <w:szCs w:val="24"/>
        </w:rPr>
      </w:pPr>
      <w:r>
        <w:rPr>
          <w:rFonts w:ascii="Arial" w:hAnsi="Arial" w:cs="Arial"/>
          <w:bCs/>
          <w:color w:val="000000"/>
          <w:sz w:val="24"/>
          <w:szCs w:val="24"/>
        </w:rPr>
        <w:t>Gender gap</w:t>
      </w:r>
      <w:r w:rsidR="001229EA">
        <w:rPr>
          <w:rFonts w:ascii="Arial" w:hAnsi="Arial" w:cs="Arial"/>
          <w:bCs/>
          <w:color w:val="000000"/>
          <w:sz w:val="24"/>
          <w:szCs w:val="24"/>
        </w:rPr>
        <w:t xml:space="preserve"> indices</w:t>
      </w:r>
      <w:r>
        <w:rPr>
          <w:rFonts w:ascii="Arial" w:hAnsi="Arial" w:cs="Arial"/>
          <w:bCs/>
          <w:color w:val="000000"/>
          <w:sz w:val="24"/>
          <w:szCs w:val="24"/>
        </w:rPr>
        <w:t xml:space="preserve"> in health and mortality </w:t>
      </w:r>
      <w:r w:rsidR="00BC4E15">
        <w:rPr>
          <w:rFonts w:ascii="Arial" w:hAnsi="Arial" w:cs="Arial"/>
          <w:bCs/>
          <w:color w:val="000000"/>
          <w:sz w:val="24"/>
          <w:szCs w:val="24"/>
        </w:rPr>
        <w:t>are</w:t>
      </w:r>
      <w:r>
        <w:rPr>
          <w:rFonts w:ascii="Arial" w:hAnsi="Arial" w:cs="Arial"/>
          <w:bCs/>
          <w:color w:val="000000"/>
          <w:sz w:val="24"/>
          <w:szCs w:val="24"/>
        </w:rPr>
        <w:t xml:space="preserve"> </w:t>
      </w:r>
      <w:r w:rsidR="00A21C5B">
        <w:rPr>
          <w:rFonts w:ascii="Arial" w:hAnsi="Arial" w:cs="Arial"/>
          <w:bCs/>
          <w:color w:val="000000"/>
          <w:sz w:val="24"/>
          <w:szCs w:val="24"/>
        </w:rPr>
        <w:t>routinely</w:t>
      </w:r>
      <w:r>
        <w:rPr>
          <w:rFonts w:ascii="Arial" w:hAnsi="Arial" w:cs="Arial"/>
          <w:bCs/>
          <w:color w:val="000000"/>
          <w:sz w:val="24"/>
          <w:szCs w:val="24"/>
        </w:rPr>
        <w:t xml:space="preserve"> used as</w:t>
      </w:r>
      <w:r w:rsidR="001229EA">
        <w:rPr>
          <w:rFonts w:ascii="Arial" w:hAnsi="Arial" w:cs="Arial"/>
          <w:bCs/>
          <w:color w:val="000000"/>
          <w:sz w:val="24"/>
          <w:szCs w:val="24"/>
        </w:rPr>
        <w:t xml:space="preserve"> </w:t>
      </w:r>
      <w:r w:rsidR="00A21C5B">
        <w:rPr>
          <w:rFonts w:ascii="Arial" w:hAnsi="Arial" w:cs="Arial"/>
          <w:bCs/>
          <w:color w:val="000000"/>
          <w:sz w:val="24"/>
          <w:szCs w:val="24"/>
        </w:rPr>
        <w:t xml:space="preserve">indicators of </w:t>
      </w:r>
      <w:r>
        <w:rPr>
          <w:rFonts w:ascii="Arial" w:hAnsi="Arial" w:cs="Arial"/>
          <w:bCs/>
          <w:color w:val="000000"/>
          <w:sz w:val="24"/>
          <w:szCs w:val="24"/>
        </w:rPr>
        <w:t xml:space="preserve">inequality. </w:t>
      </w:r>
      <w:r w:rsidR="00767F01">
        <w:rPr>
          <w:rFonts w:ascii="Arial" w:hAnsi="Arial" w:cs="Arial"/>
          <w:bCs/>
          <w:color w:val="000000"/>
          <w:sz w:val="24"/>
          <w:szCs w:val="24"/>
        </w:rPr>
        <w:t>Policy</w:t>
      </w:r>
      <w:r w:rsidR="003A3A31">
        <w:rPr>
          <w:rFonts w:ascii="Arial" w:hAnsi="Arial" w:cs="Arial"/>
          <w:bCs/>
          <w:color w:val="000000"/>
          <w:sz w:val="24"/>
          <w:szCs w:val="24"/>
        </w:rPr>
        <w:t>-</w:t>
      </w:r>
      <w:r w:rsidR="00767F01">
        <w:rPr>
          <w:rFonts w:ascii="Arial" w:hAnsi="Arial" w:cs="Arial"/>
          <w:bCs/>
          <w:color w:val="000000"/>
          <w:sz w:val="24"/>
          <w:szCs w:val="24"/>
        </w:rPr>
        <w:t xml:space="preserve">wise, gaps </w:t>
      </w:r>
      <w:r w:rsidR="001229EA" w:rsidRPr="00432722">
        <w:rPr>
          <w:rFonts w:ascii="Arial" w:hAnsi="Arial" w:cs="Arial"/>
          <w:bCs/>
          <w:color w:val="000000"/>
          <w:sz w:val="24"/>
          <w:szCs w:val="24"/>
        </w:rPr>
        <w:t>are used to benchmark countries</w:t>
      </w:r>
      <w:r w:rsidR="000F1784">
        <w:rPr>
          <w:rFonts w:ascii="Arial" w:hAnsi="Arial" w:cs="Arial"/>
          <w:bCs/>
          <w:color w:val="000000"/>
          <w:sz w:val="24"/>
          <w:szCs w:val="24"/>
        </w:rPr>
        <w:t xml:space="preserve">, </w:t>
      </w:r>
      <w:r w:rsidR="000F1784">
        <w:rPr>
          <w:rFonts w:ascii="Arial" w:hAnsi="Arial" w:cs="Arial"/>
          <w:bCs/>
          <w:color w:val="000000"/>
          <w:sz w:val="24"/>
          <w:szCs w:val="24"/>
        </w:rPr>
        <w:t>monitor changes over time</w:t>
      </w:r>
      <w:r w:rsidR="000F1784">
        <w:rPr>
          <w:rFonts w:ascii="Arial" w:hAnsi="Arial" w:cs="Arial"/>
          <w:bCs/>
          <w:color w:val="000000"/>
          <w:sz w:val="24"/>
          <w:szCs w:val="24"/>
        </w:rPr>
        <w:t>,</w:t>
      </w:r>
      <w:r w:rsidR="000F1784">
        <w:rPr>
          <w:rFonts w:ascii="Arial" w:hAnsi="Arial" w:cs="Arial"/>
          <w:bCs/>
          <w:color w:val="000000"/>
          <w:sz w:val="24"/>
          <w:szCs w:val="24"/>
        </w:rPr>
        <w:t xml:space="preserve"> and </w:t>
      </w:r>
      <w:r w:rsidR="000F1784">
        <w:rPr>
          <w:rFonts w:ascii="Arial" w:hAnsi="Arial" w:cs="Arial"/>
          <w:bCs/>
          <w:color w:val="000000"/>
          <w:sz w:val="24"/>
          <w:szCs w:val="24"/>
        </w:rPr>
        <w:t xml:space="preserve">identify </w:t>
      </w:r>
      <w:r w:rsidR="000F1784">
        <w:rPr>
          <w:rFonts w:ascii="Arial" w:hAnsi="Arial" w:cs="Arial"/>
          <w:bCs/>
          <w:color w:val="000000"/>
          <w:sz w:val="24"/>
          <w:szCs w:val="24"/>
        </w:rPr>
        <w:t xml:space="preserve">the pace at </w:t>
      </w:r>
      <w:r w:rsidR="000F1784" w:rsidRPr="00432722">
        <w:rPr>
          <w:rFonts w:ascii="Arial" w:hAnsi="Arial" w:cs="Arial"/>
          <w:bCs/>
          <w:color w:val="000000"/>
          <w:sz w:val="24"/>
          <w:szCs w:val="24"/>
        </w:rPr>
        <w:t>which countr</w:t>
      </w:r>
      <w:r w:rsidR="000F1784">
        <w:rPr>
          <w:rFonts w:ascii="Arial" w:hAnsi="Arial" w:cs="Arial"/>
          <w:bCs/>
          <w:color w:val="000000"/>
          <w:sz w:val="24"/>
          <w:szCs w:val="24"/>
        </w:rPr>
        <w:t>ies</w:t>
      </w:r>
      <w:r w:rsidR="000F1784" w:rsidRPr="00432722">
        <w:rPr>
          <w:rFonts w:ascii="Arial" w:hAnsi="Arial" w:cs="Arial"/>
          <w:bCs/>
          <w:color w:val="000000"/>
          <w:sz w:val="24"/>
          <w:szCs w:val="24"/>
        </w:rPr>
        <w:t xml:space="preserve"> </w:t>
      </w:r>
      <w:r w:rsidR="000F1784">
        <w:rPr>
          <w:rFonts w:ascii="Arial" w:hAnsi="Arial" w:cs="Arial"/>
          <w:bCs/>
          <w:color w:val="000000"/>
          <w:sz w:val="24"/>
          <w:szCs w:val="24"/>
        </w:rPr>
        <w:t>are</w:t>
      </w:r>
      <w:r w:rsidR="000F1784" w:rsidRPr="00432722">
        <w:rPr>
          <w:rFonts w:ascii="Arial" w:hAnsi="Arial" w:cs="Arial"/>
          <w:bCs/>
          <w:color w:val="000000"/>
          <w:sz w:val="24"/>
          <w:szCs w:val="24"/>
        </w:rPr>
        <w:t xml:space="preserve"> closing </w:t>
      </w:r>
      <w:r w:rsidR="000F1784">
        <w:rPr>
          <w:rFonts w:ascii="Arial" w:hAnsi="Arial" w:cs="Arial"/>
          <w:bCs/>
          <w:color w:val="000000"/>
          <w:sz w:val="24"/>
          <w:szCs w:val="24"/>
        </w:rPr>
        <w:t>gender</w:t>
      </w:r>
      <w:r w:rsidR="000F1784" w:rsidRPr="00432722">
        <w:rPr>
          <w:rFonts w:ascii="Arial" w:hAnsi="Arial" w:cs="Arial"/>
          <w:bCs/>
          <w:color w:val="000000"/>
          <w:sz w:val="24"/>
          <w:szCs w:val="24"/>
        </w:rPr>
        <w:t xml:space="preserve"> gap</w:t>
      </w:r>
      <w:r w:rsidR="000F1784">
        <w:rPr>
          <w:rFonts w:ascii="Arial" w:hAnsi="Arial" w:cs="Arial"/>
          <w:bCs/>
          <w:color w:val="000000"/>
          <w:sz w:val="24"/>
          <w:szCs w:val="24"/>
        </w:rPr>
        <w:t xml:space="preserve">s </w:t>
      </w:r>
      <w:r w:rsidR="000F1784">
        <w:rPr>
          <w:rFonts w:ascii="Arial" w:hAnsi="Arial" w:cs="Arial"/>
          <w:bCs/>
          <w:color w:val="000000"/>
          <w:sz w:val="24"/>
          <w:szCs w:val="24"/>
        </w:rPr>
        <w:t>in health</w:t>
      </w:r>
      <w:r w:rsidR="0075347B">
        <w:rPr>
          <w:rFonts w:ascii="Arial" w:hAnsi="Arial" w:cs="Arial"/>
          <w:bCs/>
          <w:color w:val="000000"/>
          <w:sz w:val="24"/>
          <w:szCs w:val="24"/>
        </w:rPr>
        <w:t xml:space="preserve"> </w:t>
      </w:r>
      <w:r w:rsidR="0075347B">
        <w:rPr>
          <w:rFonts w:ascii="Arial" w:hAnsi="Arial" w:cs="Arial"/>
          <w:bCs/>
          <w:color w:val="000000"/>
          <w:sz w:val="24"/>
          <w:szCs w:val="24"/>
        </w:rPr>
        <w:fldChar w:fldCharType="begin" w:fldLock="1"/>
      </w:r>
      <w:r w:rsidR="007C55AA">
        <w:rPr>
          <w:rFonts w:ascii="Arial" w:hAnsi="Arial" w:cs="Arial"/>
          <w:bCs/>
          <w:color w:val="000000"/>
          <w:sz w:val="24"/>
          <w:szCs w:val="24"/>
        </w:rPr>
        <w:instrText>ADDIN CSL_CITATION {"citationItems":[{"id":"ITEM-1","itemData":{"author":[{"dropping-particle":"","family":"World Economic Forum","given":"","non-dropping-particle":"","parse-names":false,"suffix":""}],"id":"ITEM-1","issued":{"date-parts":[["2021"]]},"number-of-pages":"405","title":"The Global Gender Gap Report 2021","type":"report"},"uris":["http://www.mendeley.com/documents/?uuid=36b51512-b237-476b-bf3b-8906667a7f90"]},{"id":"ITEM-2","itemData":{"author":[{"dropping-particle":"","family":"WHO (World Health Organization)","given":"","non-dropping-particle":"","parse-names":false,"suffix":""}],"id":"ITEM-2","issued":{"date-parts":[["2020"]]},"number-of-pages":"28","publisher-place":"Copenhagen","title":"Understanding the drivers of health equity: the power of political participation","type":"report"},"uris":["http://www.mendeley.com/documents/?uuid=5848c6c6-8b1c-4ff3-8bad-41118c54e5d6"]},{"id":"ITEM-3","itemData":{"DOI":"10.2839/633501","author":[{"dropping-particle":"","family":"European Institute for Gender Equality","given":"","non-dropping-particle":"","parse-names":false,"suffix":""}],"id":"ITEM-3","issued":{"date-parts":[["2021"]]},"number-of-pages":"196","publisher-place":"Luxembourg","title":"Gender Equality Index 2021: Health","type":"report"},"uris":["http://www.mendeley.com/documents/?uuid=fd6fbcb5-2fe4-42ff-af5f-181da538f995"]}],"mendeley":{"formattedCitation":"(1–3)","plainTextFormattedCitation":"(1–3)","previouslyFormattedCitation":"(1–3)"},"properties":{"noteIndex":0},"schema":"https://github.com/citation-style-language/schema/raw/master/csl-citation.json"}</w:instrText>
      </w:r>
      <w:r w:rsidR="0075347B">
        <w:rPr>
          <w:rFonts w:ascii="Arial" w:hAnsi="Arial" w:cs="Arial"/>
          <w:bCs/>
          <w:color w:val="000000"/>
          <w:sz w:val="24"/>
          <w:szCs w:val="24"/>
        </w:rPr>
        <w:fldChar w:fldCharType="separate"/>
      </w:r>
      <w:r w:rsidR="006E3374" w:rsidRPr="006E3374">
        <w:rPr>
          <w:rFonts w:ascii="Arial" w:hAnsi="Arial" w:cs="Arial"/>
          <w:bCs/>
          <w:noProof/>
          <w:color w:val="000000"/>
          <w:sz w:val="24"/>
          <w:szCs w:val="24"/>
        </w:rPr>
        <w:t>(1–3)</w:t>
      </w:r>
      <w:r w:rsidR="0075347B">
        <w:rPr>
          <w:rFonts w:ascii="Arial" w:hAnsi="Arial" w:cs="Arial"/>
          <w:bCs/>
          <w:color w:val="000000"/>
          <w:sz w:val="24"/>
          <w:szCs w:val="24"/>
        </w:rPr>
        <w:fldChar w:fldCharType="end"/>
      </w:r>
      <w:r w:rsidR="009D02DD" w:rsidRPr="00432722">
        <w:rPr>
          <w:rFonts w:ascii="Arial" w:hAnsi="Arial" w:cs="Arial"/>
          <w:bCs/>
          <w:color w:val="000000"/>
          <w:sz w:val="24"/>
          <w:szCs w:val="24"/>
        </w:rPr>
        <w:t>.</w:t>
      </w:r>
      <w:r w:rsidR="009D02DD">
        <w:rPr>
          <w:rFonts w:ascii="Arial" w:hAnsi="Arial" w:cs="Arial"/>
          <w:bCs/>
          <w:color w:val="000000"/>
          <w:sz w:val="24"/>
          <w:szCs w:val="24"/>
        </w:rPr>
        <w:t xml:space="preserve"> </w:t>
      </w:r>
      <w:r w:rsidR="001F231A">
        <w:rPr>
          <w:rFonts w:ascii="Arial" w:hAnsi="Arial" w:cs="Arial"/>
          <w:bCs/>
          <w:color w:val="000000"/>
          <w:sz w:val="24"/>
          <w:szCs w:val="24"/>
        </w:rPr>
        <w:t>The</w:t>
      </w:r>
      <w:r w:rsidR="00546C4A" w:rsidRPr="00432722">
        <w:rPr>
          <w:rFonts w:ascii="Arial" w:hAnsi="Arial" w:cs="Arial"/>
          <w:bCs/>
          <w:color w:val="000000"/>
          <w:sz w:val="24"/>
          <w:szCs w:val="24"/>
        </w:rPr>
        <w:t xml:space="preserve"> World Bank Global Gender Gap Index</w:t>
      </w:r>
      <w:r w:rsidR="001F231A">
        <w:rPr>
          <w:rFonts w:ascii="Arial" w:hAnsi="Arial" w:cs="Arial"/>
          <w:bCs/>
          <w:color w:val="000000"/>
          <w:sz w:val="24"/>
          <w:szCs w:val="24"/>
        </w:rPr>
        <w:t xml:space="preserve">, for example, </w:t>
      </w:r>
      <w:r w:rsidR="001F231A" w:rsidRPr="00432722">
        <w:rPr>
          <w:rFonts w:ascii="Arial" w:hAnsi="Arial" w:cs="Arial"/>
          <w:bCs/>
          <w:color w:val="000000"/>
          <w:sz w:val="24"/>
          <w:szCs w:val="24"/>
        </w:rPr>
        <w:t>measures gender equality based on gaps between women and men across health, education, economy</w:t>
      </w:r>
      <w:r w:rsidR="00CB4276">
        <w:rPr>
          <w:rFonts w:ascii="Arial" w:hAnsi="Arial" w:cs="Arial"/>
          <w:bCs/>
          <w:color w:val="000000"/>
          <w:sz w:val="24"/>
          <w:szCs w:val="24"/>
        </w:rPr>
        <w:t>,</w:t>
      </w:r>
      <w:r w:rsidR="001F231A" w:rsidRPr="00432722">
        <w:rPr>
          <w:rFonts w:ascii="Arial" w:hAnsi="Arial" w:cs="Arial"/>
          <w:bCs/>
          <w:color w:val="000000"/>
          <w:sz w:val="24"/>
          <w:szCs w:val="24"/>
        </w:rPr>
        <w:t xml:space="preserve"> and politics</w:t>
      </w:r>
      <w:r w:rsidR="00C57849">
        <w:rPr>
          <w:rFonts w:ascii="Arial" w:hAnsi="Arial" w:cs="Arial"/>
          <w:bCs/>
          <w:color w:val="000000"/>
          <w:sz w:val="24"/>
          <w:szCs w:val="24"/>
        </w:rPr>
        <w:t xml:space="preserve"> </w:t>
      </w:r>
      <w:r w:rsidR="00C57849">
        <w:rPr>
          <w:rFonts w:ascii="Arial" w:hAnsi="Arial" w:cs="Arial"/>
          <w:bCs/>
          <w:color w:val="000000"/>
          <w:sz w:val="24"/>
          <w:szCs w:val="24"/>
        </w:rPr>
        <w:fldChar w:fldCharType="begin" w:fldLock="1"/>
      </w:r>
      <w:r w:rsidR="00C57849">
        <w:rPr>
          <w:rFonts w:ascii="Arial" w:hAnsi="Arial" w:cs="Arial"/>
          <w:bCs/>
          <w:color w:val="000000"/>
          <w:sz w:val="24"/>
          <w:szCs w:val="24"/>
        </w:rPr>
        <w:instrText>ADDIN CSL_CITATION {"citationItems":[{"id":"ITEM-1","itemData":{"author":[{"dropping-particle":"","family":"World Economic Forum","given":"","non-dropping-particle":"","parse-names":false,"suffix":""}],"id":"ITEM-1","issued":{"date-parts":[["2021"]]},"number-of-pages":"405","title":"The Global Gender Gap Report 2021","type":"report"},"uris":["http://www.mendeley.com/documents/?uuid=36b51512-b237-476b-bf3b-8906667a7f90"]}],"mendeley":{"formattedCitation":"(1)","plainTextFormattedCitation":"(1)"},"properties":{"noteIndex":0},"schema":"https://github.com/citation-style-language/schema/raw/master/csl-citation.json"}</w:instrText>
      </w:r>
      <w:r w:rsidR="00C57849">
        <w:rPr>
          <w:rFonts w:ascii="Arial" w:hAnsi="Arial" w:cs="Arial"/>
          <w:bCs/>
          <w:color w:val="000000"/>
          <w:sz w:val="24"/>
          <w:szCs w:val="24"/>
        </w:rPr>
        <w:fldChar w:fldCharType="separate"/>
      </w:r>
      <w:r w:rsidR="00C57849" w:rsidRPr="00C57849">
        <w:rPr>
          <w:rFonts w:ascii="Arial" w:hAnsi="Arial" w:cs="Arial"/>
          <w:bCs/>
          <w:noProof/>
          <w:color w:val="000000"/>
          <w:sz w:val="24"/>
          <w:szCs w:val="24"/>
        </w:rPr>
        <w:t>(1)</w:t>
      </w:r>
      <w:r w:rsidR="00C57849">
        <w:rPr>
          <w:rFonts w:ascii="Arial" w:hAnsi="Arial" w:cs="Arial"/>
          <w:bCs/>
          <w:color w:val="000000"/>
          <w:sz w:val="24"/>
          <w:szCs w:val="24"/>
        </w:rPr>
        <w:fldChar w:fldCharType="end"/>
      </w:r>
      <w:r w:rsidR="001F231A">
        <w:rPr>
          <w:rFonts w:ascii="Arial" w:hAnsi="Arial" w:cs="Arial"/>
          <w:bCs/>
          <w:color w:val="000000"/>
          <w:sz w:val="24"/>
          <w:szCs w:val="24"/>
        </w:rPr>
        <w:t>.</w:t>
      </w:r>
      <w:r w:rsidR="00CB4276">
        <w:rPr>
          <w:rFonts w:ascii="Arial" w:hAnsi="Arial" w:cs="Arial"/>
          <w:bCs/>
          <w:color w:val="000000"/>
          <w:sz w:val="24"/>
          <w:szCs w:val="24"/>
        </w:rPr>
        <w:t xml:space="preserve"> </w:t>
      </w:r>
      <w:r w:rsidR="00546C4A" w:rsidRPr="00432722">
        <w:rPr>
          <w:rFonts w:ascii="Arial" w:hAnsi="Arial" w:cs="Arial"/>
          <w:bCs/>
          <w:color w:val="000000"/>
          <w:sz w:val="24"/>
          <w:szCs w:val="24"/>
        </w:rPr>
        <w:t xml:space="preserve">Likewise, </w:t>
      </w:r>
      <w:r w:rsidR="00D33FC2" w:rsidRPr="00432722">
        <w:rPr>
          <w:rFonts w:ascii="Arial" w:hAnsi="Arial" w:cs="Arial"/>
          <w:bCs/>
          <w:color w:val="000000"/>
          <w:sz w:val="24"/>
          <w:szCs w:val="24"/>
        </w:rPr>
        <w:t>the WHO European Health Equity Status Report initiative (</w:t>
      </w:r>
      <w:proofErr w:type="spellStart"/>
      <w:r w:rsidR="00D33FC2" w:rsidRPr="00432722">
        <w:rPr>
          <w:rFonts w:ascii="Arial" w:hAnsi="Arial" w:cs="Arial"/>
          <w:bCs/>
          <w:color w:val="000000"/>
          <w:sz w:val="24"/>
          <w:szCs w:val="24"/>
        </w:rPr>
        <w:t>HESRi</w:t>
      </w:r>
      <w:proofErr w:type="spellEnd"/>
      <w:r w:rsidR="00D33FC2">
        <w:rPr>
          <w:rFonts w:ascii="Arial" w:hAnsi="Arial" w:cs="Arial"/>
          <w:bCs/>
          <w:color w:val="000000"/>
          <w:sz w:val="24"/>
          <w:szCs w:val="24"/>
        </w:rPr>
        <w:t xml:space="preserve">) </w:t>
      </w:r>
      <w:r w:rsidR="00E13168">
        <w:rPr>
          <w:rFonts w:ascii="Arial" w:hAnsi="Arial" w:cs="Arial"/>
          <w:bCs/>
          <w:color w:val="000000"/>
          <w:sz w:val="24"/>
          <w:szCs w:val="24"/>
        </w:rPr>
        <w:t>uses</w:t>
      </w:r>
      <w:r w:rsidR="00D33FC2">
        <w:rPr>
          <w:rFonts w:ascii="Arial" w:hAnsi="Arial" w:cs="Arial"/>
          <w:bCs/>
          <w:color w:val="000000"/>
          <w:sz w:val="24"/>
          <w:szCs w:val="24"/>
        </w:rPr>
        <w:t xml:space="preserve"> </w:t>
      </w:r>
      <w:r w:rsidR="00546C4A" w:rsidRPr="00432722">
        <w:rPr>
          <w:rFonts w:ascii="Arial" w:hAnsi="Arial" w:cs="Arial"/>
          <w:bCs/>
          <w:color w:val="000000"/>
          <w:sz w:val="24"/>
          <w:szCs w:val="24"/>
        </w:rPr>
        <w:t xml:space="preserve">gender gaps in </w:t>
      </w:r>
      <w:r w:rsidR="00FA3286">
        <w:rPr>
          <w:rFonts w:ascii="Arial" w:hAnsi="Arial" w:cs="Arial"/>
          <w:bCs/>
          <w:color w:val="000000"/>
          <w:sz w:val="24"/>
          <w:szCs w:val="24"/>
        </w:rPr>
        <w:t>disability-adjusted life years (</w:t>
      </w:r>
      <w:r w:rsidR="00546C4A" w:rsidRPr="00432722">
        <w:rPr>
          <w:rFonts w:ascii="Arial" w:hAnsi="Arial" w:cs="Arial"/>
          <w:bCs/>
          <w:color w:val="000000"/>
          <w:sz w:val="24"/>
          <w:szCs w:val="24"/>
        </w:rPr>
        <w:t>DALYs</w:t>
      </w:r>
      <w:r w:rsidR="00FA3286">
        <w:rPr>
          <w:rFonts w:ascii="Arial" w:hAnsi="Arial" w:cs="Arial"/>
          <w:bCs/>
          <w:color w:val="000000"/>
          <w:sz w:val="24"/>
          <w:szCs w:val="24"/>
        </w:rPr>
        <w:t>)</w:t>
      </w:r>
      <w:r w:rsidR="00546C4A" w:rsidRPr="00432722">
        <w:rPr>
          <w:rFonts w:ascii="Arial" w:hAnsi="Arial" w:cs="Arial"/>
          <w:bCs/>
          <w:color w:val="000000"/>
          <w:sz w:val="24"/>
          <w:szCs w:val="24"/>
        </w:rPr>
        <w:t xml:space="preserve"> and life expectancy </w:t>
      </w:r>
      <w:r w:rsidR="00F856FA">
        <w:rPr>
          <w:rFonts w:ascii="Arial" w:hAnsi="Arial" w:cs="Arial"/>
          <w:bCs/>
          <w:color w:val="000000"/>
          <w:sz w:val="24"/>
          <w:szCs w:val="24"/>
        </w:rPr>
        <w:t xml:space="preserve">to </w:t>
      </w:r>
      <w:r w:rsidR="00132E11">
        <w:rPr>
          <w:rFonts w:ascii="Arial" w:hAnsi="Arial" w:cs="Arial"/>
          <w:bCs/>
          <w:color w:val="000000"/>
          <w:sz w:val="24"/>
          <w:szCs w:val="24"/>
        </w:rPr>
        <w:t xml:space="preserve">implement </w:t>
      </w:r>
      <w:r w:rsidR="00546C4A" w:rsidRPr="00432722">
        <w:rPr>
          <w:rFonts w:ascii="Arial" w:hAnsi="Arial" w:cs="Arial"/>
          <w:bCs/>
          <w:color w:val="000000"/>
          <w:sz w:val="24"/>
          <w:szCs w:val="24"/>
        </w:rPr>
        <w:t>policy action for health equity and well-being in the European Region</w:t>
      </w:r>
      <w:r w:rsidR="007C55AA">
        <w:rPr>
          <w:rFonts w:ascii="Arial" w:hAnsi="Arial" w:cs="Arial"/>
          <w:bCs/>
          <w:color w:val="000000"/>
          <w:sz w:val="24"/>
          <w:szCs w:val="24"/>
        </w:rPr>
        <w:t xml:space="preserve"> </w:t>
      </w:r>
      <w:r w:rsidR="007C55AA">
        <w:rPr>
          <w:rFonts w:ascii="Arial" w:hAnsi="Arial" w:cs="Arial"/>
          <w:bCs/>
          <w:color w:val="000000"/>
          <w:sz w:val="24"/>
          <w:szCs w:val="24"/>
        </w:rPr>
        <w:fldChar w:fldCharType="begin" w:fldLock="1"/>
      </w:r>
      <w:r w:rsidR="00C57849">
        <w:rPr>
          <w:rFonts w:ascii="Arial" w:hAnsi="Arial" w:cs="Arial"/>
          <w:bCs/>
          <w:color w:val="000000"/>
          <w:sz w:val="24"/>
          <w:szCs w:val="24"/>
        </w:rPr>
        <w:instrText>ADDIN CSL_CITATION {"citationItems":[{"id":"ITEM-1","itemData":{"author":[{"dropping-particle":"","family":"WHO (World Health Organization)","given":"","non-dropping-particle":"","parse-names":false,"suffix":""}],"id":"ITEM-1","issued":{"date-parts":[["2020"]]},"number-of-pages":"28","publisher-place":"Copenhagen","title":"Understanding the drivers of health equity: the power of political participation","type":"report"},"uris":["http://www.mendeley.com/documents/?uuid=5848c6c6-8b1c-4ff3-8bad-41118c54e5d6"]}],"mendeley":{"formattedCitation":"(2)","plainTextFormattedCitation":"(2)","previouslyFormattedCitation":"(2)"},"properties":{"noteIndex":0},"schema":"https://github.com/citation-style-language/schema/raw/master/csl-citation.json"}</w:instrText>
      </w:r>
      <w:r w:rsidR="007C55AA">
        <w:rPr>
          <w:rFonts w:ascii="Arial" w:hAnsi="Arial" w:cs="Arial"/>
          <w:bCs/>
          <w:color w:val="000000"/>
          <w:sz w:val="24"/>
          <w:szCs w:val="24"/>
        </w:rPr>
        <w:fldChar w:fldCharType="separate"/>
      </w:r>
      <w:r w:rsidR="007C55AA" w:rsidRPr="007C55AA">
        <w:rPr>
          <w:rFonts w:ascii="Arial" w:hAnsi="Arial" w:cs="Arial"/>
          <w:bCs/>
          <w:noProof/>
          <w:color w:val="000000"/>
          <w:sz w:val="24"/>
          <w:szCs w:val="24"/>
        </w:rPr>
        <w:t>(2)</w:t>
      </w:r>
      <w:r w:rsidR="007C55AA">
        <w:rPr>
          <w:rFonts w:ascii="Arial" w:hAnsi="Arial" w:cs="Arial"/>
          <w:bCs/>
          <w:color w:val="000000"/>
          <w:sz w:val="24"/>
          <w:szCs w:val="24"/>
        </w:rPr>
        <w:fldChar w:fldCharType="end"/>
      </w:r>
      <w:r w:rsidR="00546C4A" w:rsidRPr="00432722">
        <w:rPr>
          <w:rFonts w:ascii="Arial" w:hAnsi="Arial" w:cs="Arial"/>
          <w:bCs/>
          <w:color w:val="000000"/>
          <w:sz w:val="24"/>
          <w:szCs w:val="24"/>
        </w:rPr>
        <w:t>. Gender gaps are also used by the Gender Equality Index to assess gender inequalities in the EU in all areas</w:t>
      </w:r>
      <w:r w:rsidR="007C55AA">
        <w:rPr>
          <w:rFonts w:ascii="Arial" w:hAnsi="Arial" w:cs="Arial"/>
          <w:bCs/>
          <w:color w:val="000000"/>
          <w:sz w:val="24"/>
          <w:szCs w:val="24"/>
        </w:rPr>
        <w:t xml:space="preserve"> </w:t>
      </w:r>
      <w:r w:rsidR="007C55AA">
        <w:rPr>
          <w:rFonts w:ascii="Arial" w:hAnsi="Arial" w:cs="Arial"/>
          <w:bCs/>
          <w:color w:val="000000"/>
          <w:sz w:val="24"/>
          <w:szCs w:val="24"/>
        </w:rPr>
        <w:fldChar w:fldCharType="begin" w:fldLock="1"/>
      </w:r>
      <w:r w:rsidR="007C55AA">
        <w:rPr>
          <w:rFonts w:ascii="Arial" w:hAnsi="Arial" w:cs="Arial"/>
          <w:bCs/>
          <w:color w:val="000000"/>
          <w:sz w:val="24"/>
          <w:szCs w:val="24"/>
        </w:rPr>
        <w:instrText>ADDIN CSL_CITATION {"citationItems":[{"id":"ITEM-1","itemData":{"DOI":"10.2839/633501","author":[{"dropping-particle":"","family":"European Institute for Gender Equality","given":"","non-dropping-particle":"","parse-names":false,"suffix":""}],"id":"ITEM-1","issued":{"date-parts":[["2021"]]},"number-of-pages":"196","publisher-place":"Luxembourg","title":"Gender Equality Index 2021: Health","type":"report"},"uris":["http://www.mendeley.com/documents/?uuid=fd6fbcb5-2fe4-42ff-af5f-181da538f995"]}],"mendeley":{"formattedCitation":"(3)","plainTextFormattedCitation":"(3)","previouslyFormattedCitation":"(3)"},"properties":{"noteIndex":0},"schema":"https://github.com/citation-style-language/schema/raw/master/csl-citation.json"}</w:instrText>
      </w:r>
      <w:r w:rsidR="007C55AA">
        <w:rPr>
          <w:rFonts w:ascii="Arial" w:hAnsi="Arial" w:cs="Arial"/>
          <w:bCs/>
          <w:color w:val="000000"/>
          <w:sz w:val="24"/>
          <w:szCs w:val="24"/>
        </w:rPr>
        <w:fldChar w:fldCharType="separate"/>
      </w:r>
      <w:r w:rsidR="007C55AA" w:rsidRPr="007C55AA">
        <w:rPr>
          <w:rFonts w:ascii="Arial" w:hAnsi="Arial" w:cs="Arial"/>
          <w:bCs/>
          <w:noProof/>
          <w:color w:val="000000"/>
          <w:sz w:val="24"/>
          <w:szCs w:val="24"/>
        </w:rPr>
        <w:t>(3)</w:t>
      </w:r>
      <w:r w:rsidR="007C55AA">
        <w:rPr>
          <w:rFonts w:ascii="Arial" w:hAnsi="Arial" w:cs="Arial"/>
          <w:bCs/>
          <w:color w:val="000000"/>
          <w:sz w:val="24"/>
          <w:szCs w:val="24"/>
        </w:rPr>
        <w:fldChar w:fldCharType="end"/>
      </w:r>
      <w:r w:rsidR="00E94536">
        <w:rPr>
          <w:rFonts w:ascii="Arial" w:hAnsi="Arial" w:cs="Arial"/>
          <w:bCs/>
          <w:color w:val="000000"/>
          <w:sz w:val="24"/>
          <w:szCs w:val="24"/>
        </w:rPr>
        <w:t>.</w:t>
      </w:r>
    </w:p>
    <w:p w14:paraId="17285CC5" w14:textId="77777777" w:rsidR="00B25B3F" w:rsidRDefault="00B25B3F" w:rsidP="00546C4A">
      <w:pPr>
        <w:keepNext/>
        <w:pBdr>
          <w:top w:val="nil"/>
          <w:left w:val="nil"/>
          <w:bottom w:val="nil"/>
          <w:right w:val="nil"/>
          <w:between w:val="nil"/>
        </w:pBdr>
        <w:spacing w:before="240" w:after="60" w:line="360" w:lineRule="auto"/>
        <w:contextualSpacing/>
        <w:jc w:val="both"/>
        <w:rPr>
          <w:rFonts w:ascii="Arial" w:hAnsi="Arial" w:cs="Arial"/>
          <w:bCs/>
          <w:color w:val="000000"/>
          <w:sz w:val="24"/>
          <w:szCs w:val="24"/>
        </w:rPr>
      </w:pPr>
    </w:p>
    <w:p w14:paraId="030A1D06" w14:textId="64CAB6DA" w:rsidR="00843B48" w:rsidRDefault="001D6E63" w:rsidP="0085217D">
      <w:pPr>
        <w:keepNext/>
        <w:pBdr>
          <w:top w:val="nil"/>
          <w:left w:val="nil"/>
          <w:bottom w:val="nil"/>
          <w:right w:val="nil"/>
          <w:between w:val="nil"/>
        </w:pBdr>
        <w:spacing w:before="240" w:after="60" w:line="360" w:lineRule="auto"/>
        <w:contextualSpacing/>
        <w:jc w:val="both"/>
        <w:rPr>
          <w:rFonts w:ascii="Arial" w:hAnsi="Arial" w:cs="Arial"/>
          <w:bCs/>
          <w:color w:val="000000"/>
          <w:sz w:val="24"/>
          <w:szCs w:val="24"/>
        </w:rPr>
      </w:pPr>
      <w:r>
        <w:rPr>
          <w:rFonts w:ascii="Arial" w:hAnsi="Arial" w:cs="Arial"/>
          <w:bCs/>
          <w:color w:val="000000"/>
          <w:sz w:val="24"/>
          <w:szCs w:val="24"/>
        </w:rPr>
        <w:t xml:space="preserve">In research, gender gaps have also been widely used to </w:t>
      </w:r>
      <w:r w:rsidR="00584A2A">
        <w:rPr>
          <w:rFonts w:ascii="Arial" w:hAnsi="Arial" w:cs="Arial"/>
          <w:bCs/>
          <w:color w:val="000000"/>
          <w:sz w:val="24"/>
          <w:szCs w:val="24"/>
        </w:rPr>
        <w:t>analyze the various</w:t>
      </w:r>
      <w:r w:rsidR="00305EC9">
        <w:rPr>
          <w:rFonts w:ascii="Arial" w:hAnsi="Arial" w:cs="Arial"/>
          <w:bCs/>
          <w:color w:val="000000"/>
          <w:sz w:val="24"/>
          <w:szCs w:val="24"/>
        </w:rPr>
        <w:t xml:space="preserve"> </w:t>
      </w:r>
      <w:r w:rsidR="00305EC9" w:rsidRPr="00305EC9">
        <w:rPr>
          <w:rFonts w:ascii="Arial" w:hAnsi="Arial" w:cs="Arial"/>
          <w:bCs/>
          <w:color w:val="000000"/>
          <w:sz w:val="24"/>
          <w:szCs w:val="24"/>
        </w:rPr>
        <w:t>gender disparities in health</w:t>
      </w:r>
      <w:r w:rsidR="0085217D">
        <w:rPr>
          <w:rFonts w:ascii="Arial" w:hAnsi="Arial" w:cs="Arial"/>
          <w:bCs/>
          <w:color w:val="000000"/>
          <w:sz w:val="24"/>
          <w:szCs w:val="24"/>
        </w:rPr>
        <w:t xml:space="preserve"> and </w:t>
      </w:r>
      <w:r w:rsidR="0085217D" w:rsidRPr="0085217D">
        <w:rPr>
          <w:rFonts w:ascii="Arial" w:hAnsi="Arial" w:cs="Arial"/>
          <w:bCs/>
          <w:color w:val="000000"/>
          <w:sz w:val="24"/>
          <w:szCs w:val="24"/>
        </w:rPr>
        <w:t>the</w:t>
      </w:r>
      <w:r w:rsidR="00032D9B">
        <w:rPr>
          <w:rFonts w:ascii="Arial" w:hAnsi="Arial" w:cs="Arial"/>
          <w:bCs/>
          <w:color w:val="000000"/>
          <w:sz w:val="24"/>
          <w:szCs w:val="24"/>
        </w:rPr>
        <w:t xml:space="preserve"> so-called</w:t>
      </w:r>
      <w:r w:rsidR="0085217D" w:rsidRPr="0085217D">
        <w:rPr>
          <w:rFonts w:ascii="Arial" w:hAnsi="Arial" w:cs="Arial"/>
          <w:bCs/>
          <w:color w:val="000000"/>
          <w:sz w:val="24"/>
          <w:szCs w:val="24"/>
        </w:rPr>
        <w:t xml:space="preserve"> male–female health-survival paradox</w:t>
      </w:r>
      <w:r w:rsidR="00DF4ADF">
        <w:rPr>
          <w:rFonts w:ascii="Arial" w:hAnsi="Arial" w:cs="Arial"/>
          <w:bCs/>
          <w:color w:val="000000"/>
          <w:sz w:val="24"/>
          <w:szCs w:val="24"/>
        </w:rPr>
        <w:t>.</w:t>
      </w:r>
      <w:r w:rsidR="0085217D">
        <w:rPr>
          <w:rFonts w:ascii="Arial" w:hAnsi="Arial" w:cs="Arial"/>
          <w:bCs/>
          <w:color w:val="000000"/>
          <w:sz w:val="24"/>
          <w:szCs w:val="24"/>
        </w:rPr>
        <w:t xml:space="preserve"> </w:t>
      </w:r>
      <w:r w:rsidR="00DF4ADF">
        <w:rPr>
          <w:rFonts w:ascii="Arial" w:hAnsi="Arial" w:cs="Arial"/>
          <w:bCs/>
          <w:color w:val="000000"/>
          <w:sz w:val="24"/>
          <w:szCs w:val="24"/>
        </w:rPr>
        <w:t>D</w:t>
      </w:r>
      <w:r w:rsidR="0085217D">
        <w:rPr>
          <w:rFonts w:ascii="Arial" w:hAnsi="Arial" w:cs="Arial"/>
          <w:bCs/>
          <w:color w:val="000000"/>
          <w:sz w:val="24"/>
          <w:szCs w:val="24"/>
        </w:rPr>
        <w:t>espite longstanding effort from researchers</w:t>
      </w:r>
      <w:r w:rsidR="00584A2A">
        <w:rPr>
          <w:rFonts w:ascii="Arial" w:hAnsi="Arial" w:cs="Arial"/>
          <w:bCs/>
          <w:color w:val="000000"/>
          <w:sz w:val="24"/>
          <w:szCs w:val="24"/>
        </w:rPr>
        <w:t xml:space="preserve"> </w:t>
      </w:r>
      <w:r w:rsidR="0085217D" w:rsidRPr="0085217D">
        <w:rPr>
          <w:rFonts w:ascii="Arial" w:hAnsi="Arial" w:cs="Arial"/>
          <w:bCs/>
          <w:color w:val="000000"/>
          <w:sz w:val="24"/>
          <w:szCs w:val="24"/>
        </w:rPr>
        <w:t>worldwide</w:t>
      </w:r>
      <w:r w:rsidR="000D3C8B">
        <w:rPr>
          <w:rFonts w:ascii="Arial" w:hAnsi="Arial" w:cs="Arial"/>
          <w:bCs/>
          <w:color w:val="000000"/>
          <w:sz w:val="24"/>
          <w:szCs w:val="24"/>
        </w:rPr>
        <w:t>,</w:t>
      </w:r>
      <w:r w:rsidR="0085217D" w:rsidRPr="0085217D">
        <w:rPr>
          <w:rFonts w:ascii="Arial" w:hAnsi="Arial" w:cs="Arial"/>
          <w:bCs/>
          <w:color w:val="000000"/>
          <w:sz w:val="24"/>
          <w:szCs w:val="24"/>
        </w:rPr>
        <w:t xml:space="preserve"> there has been </w:t>
      </w:r>
      <w:r w:rsidR="0085217D" w:rsidRPr="0085217D">
        <w:rPr>
          <w:rFonts w:ascii="Arial" w:hAnsi="Arial" w:cs="Arial"/>
          <w:bCs/>
          <w:color w:val="000000"/>
          <w:sz w:val="24"/>
          <w:szCs w:val="24"/>
        </w:rPr>
        <w:lastRenderedPageBreak/>
        <w:t xml:space="preserve">no conclusive explanation for why, despite living longer than men, women </w:t>
      </w:r>
      <w:r w:rsidR="000D3C8B">
        <w:rPr>
          <w:rFonts w:ascii="Arial" w:hAnsi="Arial" w:cs="Arial"/>
          <w:bCs/>
          <w:color w:val="000000"/>
          <w:sz w:val="24"/>
          <w:szCs w:val="24"/>
        </w:rPr>
        <w:t>experience poorer health for most</w:t>
      </w:r>
      <w:r w:rsidR="0085217D" w:rsidRPr="0085217D">
        <w:rPr>
          <w:rFonts w:ascii="Arial" w:hAnsi="Arial" w:cs="Arial"/>
          <w:bCs/>
          <w:color w:val="000000"/>
          <w:sz w:val="24"/>
          <w:szCs w:val="24"/>
        </w:rPr>
        <w:t xml:space="preserve"> outcomes</w:t>
      </w:r>
      <w:r w:rsidR="00B44E3B">
        <w:rPr>
          <w:rFonts w:ascii="Arial" w:hAnsi="Arial" w:cs="Arial"/>
          <w:bCs/>
          <w:color w:val="000000"/>
          <w:sz w:val="24"/>
          <w:szCs w:val="24"/>
        </w:rPr>
        <w:t xml:space="preserve"> </w:t>
      </w:r>
      <w:r w:rsidR="00B44E3B">
        <w:rPr>
          <w:rFonts w:ascii="Arial" w:hAnsi="Arial" w:cs="Arial"/>
          <w:bCs/>
          <w:color w:val="000000"/>
          <w:sz w:val="24"/>
          <w:szCs w:val="24"/>
        </w:rPr>
        <w:fldChar w:fldCharType="begin" w:fldLock="1"/>
      </w:r>
      <w:r w:rsidR="007C55AA">
        <w:rPr>
          <w:rFonts w:ascii="Arial" w:hAnsi="Arial" w:cs="Arial"/>
          <w:bCs/>
          <w:color w:val="000000"/>
          <w:sz w:val="24"/>
          <w:szCs w:val="24"/>
        </w:rPr>
        <w:instrText>ADDIN CSL_CITATION {"citationItems":[{"id":"ITEM-1","itemData":{"DOI":"10.2307/4147343","ISBN":"00703370","ISSN":"0070-3370","PMID":"15986983","abstract":"Women have worse self-rated health and more hospitalization episodes than men from early adolescence to late middle age, but are less likely to die at each age. We use 14 years of data from the U.S. National Health Interview Survey to examine this paradox. Our results indicate that the difference in self-assessed health between women and men can be entirely explained by differences in the distribution of the chronic conditions they face. This is not true, however, for hospital episodes and mortality. Men with several smoking-related conditions--including cardiovascular disease and certain lung disorders--are more likely to experience hospital episodes and to die than women who suffer from the same chronic conditions, implying that men may experience more-severe forms of these conditions. While some of the difference in mortality can be explained by differences in the distribution of chronic conditions, an equally large share can be attributed to the larger adverse effects of these conditions on male mortality. The greater effects of smoking-related conditions on men's health may be due to their higher rates of smoking throughout their lives.","author":[{"dropping-particle":"","family":"Case","given":"Anne","non-dropping-particle":"","parse-names":false,"suffix":""},{"dropping-particle":"","family":"Paxson","given":"Christina","non-dropping-particle":"","parse-names":false,"suffix":""}],"container-title":"Demography","id":"ITEM-1","issue":"2","issued":{"date-parts":[["2005"]]},"page":"189-214","title":"Sex Differences in Morbidity and Mortality","type":"article-journal","volume":"42"},"uris":["http://www.mendeley.com/documents/?uuid=a744a527-f095-4b6b-8dd4-9d2809504c8b"]},{"id":"ITEM-2","itemData":{"DOI":"10.1093/eurpub/ckq022","ISSN":"1464-360X","author":[{"dropping-particle":"","family":"Crimmins","given":"Eileen M.","non-dropping-particle":"","parse-names":false,"suffix":""},{"dropping-particle":"","family":"Kim","given":"Jung Ki","non-dropping-particle":"","parse-names":false,"suffix":""},{"dropping-particle":"","family":"Solé-Auró","given":"Aïda","non-dropping-particle":"","parse-names":false,"suffix":""}],"container-title":"European Journal of Public Health","id":"ITEM-2","issue":"1","issued":{"date-parts":[["2011","2"]]},"page":"81-91","title":"Gender differences in health: results from SHARE, ELSA and HRS","type":"article-journal","volume":"21"},"uris":["http://www.mendeley.com/documents/?uuid=e5695fc6-6f96-4cb6-8dda-60bf78599d08"]},{"id":"ITEM-3","itemData":{"DOI":"10.1016/j.whi.2010.08.007","ISSN":"10493867","author":[{"dropping-particle":"","family":"Drumond Andrade","given":"Flávia Cristina","non-dropping-particle":"","parse-names":false,"suffix":""},{"dropping-particle":"","family":"Guevara","given":"Pilar Egüez","non-dropping-particle":"","parse-names":false,"suffix":""},{"dropping-particle":"","family":"Lebrão","given":"Maria Lúcia","non-dropping-particle":"","parse-names":false,"suffix":""},{"dropping-particle":"","family":"Oliveira Duarte","given":"Yeda Aparecida","non-dropping-particle":"de","parse-names":false,"suffix":""},{"dropping-particle":"","family":"Santos","given":"Jair Lício Ferreira","non-dropping-particle":"","parse-names":false,"suffix":""}],"container-title":"Women's Health Issues","id":"ITEM-3","issue":"1","issued":{"date-parts":[["2011","1"]]},"page":"64-70","title":"Gender Differences in Life Expectancy and Disability-Free Life Expectancy Among Older Adults in São Paulo, Brazil","type":"article-journal","volume":"21"},"uris":["http://www.mendeley.com/documents/?uuid=301b5e04-6afc-46df-9a95-36b4acf82f1a"]},{"id":"ITEM-4","itemData":{"DOI":"10.1007/978-3-030-37668-0_11","author":[{"dropping-particle":"","family":"Lego","given":"Vanessa","non-dropping-particle":"Di","parse-names":false,"suffix":""},{"dropping-particle":"","family":"Giulio","given":"Paola","non-dropping-particle":"Di","parse-names":false,"suffix":""},{"dropping-particle":"","family":"Luy","given":"Marc","non-dropping-particle":"","parse-names":false,"suffix":""}],"id":"ITEM-4","issued":{"date-parts":[["2020"]]},"page":"151-172","title":"Gender Differences in Healthy and Unhealthy Life Expectancy","type":"chapter"},"uris":["http://www.mendeley.com/documents/?uuid=6c4d9332-30fc-3481-9ca2-2b71f34f6be9"]},{"id":"ITEM-5","itemData":{"abstract":"Older women are poorer and less educated but they live longer and they spend more of their lives with disability. They are more likely to live alone and to be widowed but also have stronger family support networks.","author":[{"dropping-particle":"","family":"Grundy","given":"Emily","non-dropping-particle":"","parse-names":false,"suffix":""}],"container-title":"Longer life and healthy aging","id":"ITEM-5","issued":{"date-parts":[["2006"]]},"page":"173-199","title":"Gender and healthy aging","type":"chapter"},"uris":["http://www.mendeley.com/documents/?uuid=5e1fdefb-ef29-4e17-be41-305753a6d59f"]},{"id":"ITEM-6","itemData":{"DOI":"10.1016/S0140-6736(00)04824-8","ISBN":"0140-6736 (Print)\\r0140-6736 (Linking)","ISSN":"01406736","PMID":"11425392","abstract":"We describe here the methods used to produce the first estimates of healthy life expectancy (DALE) for 191 countries in 1999. These were based on estimates of the incidence, prevalence, and disability distributions for 109 disease and injury causes by age group, sex, and region of the world, and an analysis of 60 representative health surveys across the world. We used Sullivan's method to compute healthy life expectancy for men and women in each WHO member country. Japan had the highest average healthy life expectancy of 74·5 years at birth in 1999. The bottom ten countries are all in sub-Saharan Africa, where the HIV-AIDS epidemic is most prevalent, resulting in DALE at birth of less than 35 years. Years of healthy life lost due to disability represent 18% of total life expectancy in the bottom countries, and decreases to around 8% in the countries with the highest healthy life expectancies. Globally, the male-female gap is lower for DALE than for total life expectancy. Healthy life expectancy increases across countries at a faster rate than total life expectancy, suggesting that reductions in mortality are accompanied by reductions in disability. Although women live longer, they spend a greater amount of time with disability. As average levels of health expenditure per capita increase, healthy life expectancy increases at a greater rate than total life expectancy.","author":[{"dropping-particle":"","family":"Mathers","given":"Colin D.","non-dropping-particle":"","parse-names":false,"suffix":""},{"dropping-particle":"","family":"Sadana","given":"Ritu","non-dropping-particle":"","parse-names":false,"suffix":""},{"dropping-particle":"","family":"Salomon","given":"Joshua A.","non-dropping-particle":"","parse-names":false,"suffix":""},{"dropping-particle":"","family":"Murray","given":"Christopher J.L.","non-dropping-particle":"","parse-names":false,"suffix":""},{"dropping-particle":"","family":"Lopez","given":"Alan D.","non-dropping-particle":"","parse-names":false,"suffix":""}],"container-title":"Lancet","id":"ITEM-6","issue":"9269","issued":{"date-parts":[["2001"]]},"page":"1685-1691","title":"Healthy life expectancy in 191 countries, 1999","type":"article-journal","volume":"357"},"uris":["http://www.mendeley.com/documents/?uuid=ca893821-7470-46a8-99d1-9d80c085cd9e"]},{"id":"ITEM-7","itemData":{"DOI":"10.1007/s10654-014-9893-4","ISBN":"0393-2990","ISSN":"15737284","PMID":"24668060","abstract":"In high income countries females outlive men, although they generally report worse health, the so-called male-female health-survival paradox. Russia has one of the world's largest sex difference in life expectancy with a male disadvantage of more than 10 years. We compare components of the paradox between Denmark and Moscow by examining sex differences in mortality and several health measures. The Human Mortality Database and the Russian Fertility and Mortality Database were used to examine sex differences in all-cause death rates in Denmark, Russia, and Moscow in 2007-2008. Self-reported health data were obtained from the Study of Middle-Aged Danish Twins (n = 4,314), the Longitudinal Study of Aging Danish Twins (n = 4,731), and the study of Stress, Aging, and Health in Russia (n = 1,800). In both Moscow and Denmark there was a consistent female advantage at ages 55-89 years in survival and a male advantage in self-rated health, physical functioning, and depression symptomatology. Only on cognitive tests males performed similarly to or worse than women. Nevertheless, Muscovite males had more than twice higher mortality at ages 55-69 years compared to Muscovite women, almost double the ratio in Denmark. The present study showed that despite similar directions of sex differences in health and mortality in Moscow and Denmark, the male-female health-survival paradox is very pronounced in Moscow suggesting a stronger sex-specific disconnect between health indicators and mortality among middle-aged and young-old Muscovites.","author":[{"dropping-particle":"","family":"Oksuzyan","given":"A.","non-dropping-particle":"","parse-names":false,"suffix":""},{"dropping-particle":"","family":"Shkolnikova","given":"M.","non-dropping-particle":"","parse-names":false,"suffix":""},{"dropping-particle":"","family":"Vaupel","given":"J. W.","non-dropping-particle":"","parse-names":false,"suffix":""},{"dropping-particle":"","family":"Christensen","given":"K.","non-dropping-particle":"","parse-names":false,"suffix":""},{"dropping-particle":"","family":"Shkolnikov","given":"V. M.","non-dropping-particle":"","parse-names":false,"suffix":""}],"container-title":"European Journal of Epidemiology","id":"ITEM-7","issue":"4","issued":{"date-parts":[["2014"]]},"page":"243-252","title":"Sex differences in health and mortality in Moscow and Denmark","type":"article-journal","volume":"29"},"uris":["http://www.mendeley.com/documents/?uuid=faa4bc8d-624b-4977-922d-def0cc4107d3"]},{"id":"ITEM-8","itemData":{"DOI":"10.1300/J074v14n01_04","ISBN":"08952841","ISSN":"0895-2841","PMID":"8736588","abstract":"Presents a study that examined gender differences in life with and without six major diseases, including both mortal and morbid conditions. Data on the disease prevalence and health behavior from the 1993 to 1995 National Health Interview Surveys for the U.S.; Use of Sullivan method; Information on the different patterns of both mortality and disease experience of men and women.","author":[{"dropping-particle":"","family":"Crimmins","given":"Eileen M.","non-dropping-particle":"","parse-names":false,"suffix":""},{"dropping-particle":"","family":"Kim","given":"Jung Ki","non-dropping-particle":"","parse-names":false,"suffix":""},{"dropping-particle":"","family":"Hagedorn","given":"Aaron","non-dropping-particle":"","parse-names":false,"suffix":""}],"container-title":"Journal of Women &amp; Aging","id":"ITEM-8","issue":"1-2","issued":{"date-parts":[["2002"]]},"page":"47-59","title":"Life With and Without Disease: Women Experience More of Both","type":"article-journal","volume":"14"},"uris":["http://www.mendeley.com/documents/?uuid=3af4ad20-a03b-4464-8fbc-6bd2c409406d"]},{"id":"ITEM-9","itemData":{"ISSN":"1209-1367","PMID":"25517936","abstract":"BACKGROUND The literature suggests that women report worse health but live longer than men--a phenomenon known as the gender paradox in health and mortality. Although studies examining the paradox abound, relatively little is known about mechanisms underlying the gap. DATA AND METHODS With data on healthy life expectancy from the Global Burden of Disease Study 2010, this article analyses the relationship between length of life and health among men and women in 45 more-developed countries. The proportion of life spent in poor health is used as an indicator of health. This approach accounts for gender differences in longevity and illustrates the female health disadvantage pattern more clearly. RESULTS Life expectancy at birth and the proportion of life in poor health are closely related for both genders. Furthermore, the larger the female excess in longevity, the larger the female excess in the proportion of life in poor health. INTERPRETATION By focusing on the proportion of life in poor health, this analysis suggests that women's longevity advantage translates into a health disadvantages relative to men. The results indicate that women suffer from poor health not in spite of living longer, but because they live longer.","author":[{"dropping-particle":"","family":"Luy","given":"Marc","non-dropping-particle":"","parse-names":false,"suffix":""},{"dropping-particle":"","family":"Minagawa","given":"Yuka","non-dropping-particle":"","parse-names":false,"suffix":""}],"container-title":"Health reports","id":"ITEM-9","issue":"12","issued":{"date-parts":[["2014","12"]]},"page":"12-9","title":"Gender gaps--Life expectancy and proportion of life in poor health.","type":"article-journal","volume":"25"},"uris":["http://www.mendeley.com/documents/?uuid=56d6d9a3-5c20-4c8c-b98c-7713a2efcdca"]},{"id":"ITEM-10","itemData":{"DOI":"10.2307/29788693","ISBN":"00166987","abstract":"Lo scopo di questo articolo è di confrontare la speranza di vita e la speranza di vita libera da disabilità tra i paesi europei, utilizzando i dati del 1994 (European Community Household Panel). La disabilità è stata valutata tramite la domanda \"Le attività quotidiane sono ostacolate da problemi cronici fisici o mentali, malattie o disabilità?\" che prevede le risposte \"Si, molto\", \"Si, in parte\", \"No\". Risulta esserci molta variabilità dei risultati tra gli Stati membri, riguardo la speranza di vita totale, libera da disabilità e libera da gravi disabilità. Per poter affermare che tali indicatori siano in grado di valutare lo stato di salute nell'UE, è necessario raccogliere i dati in maniera assolutamente confrontabile e usare misure che abbiano una rilevanza diretta sulle politiche di salute pubblica. The aim of this article is to compare life expectancy and disability-free life expectancy across the European Union using comparable data. Cross-sectional data from the 1994 European Community Household Panel are used. Disability has been assessed by \"Are you hampered in your daily activities by any chronic physical or mental health problem, illness or disability?\" with responses \"Yes, severely\", \"Yes to some extent\", \"No\". Member States demonstrated considerable variability in life expectancy in total and spent free of any disability and severe disability. For health indicators, such as health expectancy, to realise their potential to monitor health in the European Union, we must institute strictly comparable data collection across countries using measures that have direct relevance to public health policy. Cet article vise à comparer l'espérance de vie et l'espérance de vie sans incapacité des pays européens à l'aide des données de 1994 (Groupe d'étude des ménages de la Communauté européenne). L'évaluation de l'incapacité ressort de la question suivante: \"Vos activités quotidiennes ont-elles été gênées par des problèmes chroniques physiques ou mentaux, par des maladies ou des incapacités?\" qui prévoit trois réponses: \"oui beaucoup\", \"oui en partie\" et \"non\". Les résultats affichent une grande variabilité entre les États membres quant à l'espérance de vie totale, exempte d'incapacité et d'incapacité grave. Pour pouvoir affirmer que de tels indicateurs sont capables d'évaluer l'état de santé dans l'UE, il faut récolter les données de façon absolument comparable et utiliser des mesures directement pertinentes pour les politiques de santé publique.","author":[{"dropping-particle":"","family":"Robine","given":"Jean-Marie","non-dropping-particle":"","parse-names":false,"suffix":""},{"dropping-particle":"","family":"Jagger","given":"Carol","non-dropping-particle":"","parse-names":false,"suffix":""},{"dropping-particle":"","family":"Romieu","given":"Isabelle","non-dropping-particle":"","parse-names":false,"suffix":""}],"container-title":"Genus","id":"ITEM-10","issue":"2","issued":{"date-parts":[["2001"]]},"page":"89-101","title":"Disability-free life expectancies in the European Union countries: calculation and comparisons","type":"article-journal","volume":"57"},"uris":["http://www.mendeley.com/documents/?uuid=3f12e240-88f6-40da-b95a-acaf0ac0d600"]},{"id":"ITEM-11","itemData":{"DOI":"10.1300/J013v12n02_07","ISSN":"0363-0242","author":[{"dropping-particle":"","family":"Verbrugge","given":"Lois M.","non-dropping-particle":"","parse-names":false,"suffix":""},{"dropping-particle":"","family":"Wingard","given":"Deborah L.","non-dropping-particle":"","parse-names":false,"suffix":""}],"container-title":"Women &amp; Health","id":"ITEM-11","issue":"2","issued":{"date-parts":[["1987","11","4"]]},"page":"103-145","title":"Sex Differentials in Health and Mortality","type":"article-journal","volume":"12"},"uris":["http://www.mendeley.com/documents/?uuid=a38bd138-4907-4027-8208-1e8cb9e14727"]},{"id":"ITEM-12","itemData":{"DOI":"10.1007/978-3-319-72356-3","ISBN":"3319723561","abstract":"This book is published open access under a CC BY 4.0 license. This open access book examines the triangle between family, gender, and health in Europe from a demographic perspective. It helps to understand patterns and trends in each of the three components separately, as well as their interdependencies. It overcomes the widely observable specialization in demographic research, which usually involves researchers studying either family or fertility processes or focusing on health and mortality. Coverage looks at new family and partnership forms among the young and middle-aged, their relationship with health, and the pathways through which they act. Among the old, lifelong family biography and present family situation are explored. Evidence is provided that partners advancing in age start to resemble each other more closely in terms of health, with the health of the partner being a crucial factor of an individual’s own health. Gender-specific health outcomes and pathways are central in the designs of the studies and the discussion of the results. The book compares twelve European countries reflecting different welfare state regimes and offers country-specific studies conducted in Austria, Germany, Italy - all populations which have received less attention in the past - and Sweden. As a result, readers discover the role of different concepts of family and health as well as comparisons within European countries and ethnic groups. It will be an insightful resource for students, academics, policy makers, and researchers that will help define future research in terms of gender and public health. Framework: Jordi Gumà and Gabriele Doblhammer -- Summary and research implications: Jordi Gumà and Gabriele Doblhammer -- Keynote chapters: Families and Health (in Europe): Karsten Hank and Anja Steinbach -- The new roles of men and women and implications for families and societies: Livia Sz. Oláh, Irena E. Kotowska and Rudolf Richter -- Sex differences in health and survival: Anna Oksuzyan, Jordi Gumà and Gabriele Doblhammer -- Country specific chapters:Gender differences in the relationship between household position and health in twelve European countries: Are they associated with the value climate?: Jordi Gumà and Gabriele Doblhammer -- Similarity of perceived health between household members: The “Mutual influences” hypothesis: Patrizia Giannantoni and Viviana Egidi -- Household position, parenthood, and self-reported adult health. Cross-sectional and longitudinal…","author":[{"dropping-particle":"","family":"Doblhammer","given":"Gabriele.","non-dropping-particle":"","parse-names":false,"suffix":""},{"dropping-particle":"","family":"Gumà","given":"Jordi.","non-dropping-particle":"","parse-names":false,"suffix":""}],"editor":[{"dropping-particle":"","family":"Doblhammer","given":"Gabriele","non-dropping-particle":"","parse-names":false,"suffix":""},{"dropping-particle":"","family":"Gumà","given":"Jordi","non-dropping-particle":"","parse-names":false,"suffix":""}],"id":"ITEM-12","issued":{"date-parts":[["2018"]]},"number-of-pages":"70-71","publisher":"Springer International Publishing","publisher-place":"Cham","title":"A Demographic Perspective on Gender, Family and Health in Europe","type":"book"},"uris":["http://www.mendeley.com/documents/?uuid=42ed3abc-a3a3-4d31-9464-8cf94d65b620"]},{"id":"ITEM-13","itemData":{"DOI":"10.1073/pnas.1701535115","ISBN":"00278424 (ISSN)","ISSN":"0027-8424","PMID":"29311321","abstract":"Women in almost all modern populations live longer than men. Research to date provides evidence for both biological and social factors influencing this gender gap. Conditions when both men and women experience extremely high levels of mortality risk are unexplored sources of information. We investigate the survival of both sexes in seven populations under extreme conditions from famines, epidemics, and slavery. Women survived better than men: In all populations, they had lower mortality across almost all ages, and, with the exception of one slave population, they lived longer on average than men. Gender differences in infant mortality contributed the most to the gender gap in life expectancy, indicating that newborn girls were able to survive extreme mortality hazards better than newborn boys. Our results confirm the ubiquity of a female survival advantage even when mortality is extraordinarily high. The hypothesis that the survival advantage of women has fundamental biological underpinnings is supported by the fact that under very harsh conditions females survive better than males even at infant ages when behavioral and social differences may be minimal or favor males. Our findings also indicate that the female advantage differs across environments and is modulated by social factors.","author":[{"dropping-particle":"","family":"Zarulli","given":"Virginia","non-dropping-particle":"","parse-names":false,"suffix":""},{"dropping-particle":"","family":"Barthold Jones","given":"Julia A.","non-dropping-particle":"","parse-names":false,"suffix":""},{"dropping-particle":"","family":"Oksuzyan","given":"Anna","non-dropping-particle":"","parse-names":false,"suffix":""},{"dropping-particle":"","family":"Lindahl-Jacobsen","given":"Rune","non-dropping-particle":"","parse-names":false,"suffix":""},{"dropping-particle":"","family":"Christensen","given":"Kaare","non-dropping-particle":"","parse-names":false,"suffix":""},{"dropping-particle":"","family":"Vaupel","given":"James W.","non-dropping-particle":"","parse-names":false,"suffix":""}],"container-title":"Proceedings of the National Academy of Sciences","id":"ITEM-13","issued":{"date-parts":[["2018"]]},"title":"Women live longer than men even during severe famines and epidemics","type":"article-journal"},"uris":["http://www.mendeley.com/documents/?uuid=9795f27d-ccda-34d8-81bf-79ebd1279ed2"]}],"mendeley":{"formattedCitation":"(4–16)","plainTextFormattedCitation":"(4–16)","previouslyFormattedCitation":"(4–16)"},"properties":{"noteIndex":0},"schema":"https://github.com/citation-style-language/schema/raw/master/csl-citation.json"}</w:instrText>
      </w:r>
      <w:r w:rsidR="00B44E3B">
        <w:rPr>
          <w:rFonts w:ascii="Arial" w:hAnsi="Arial" w:cs="Arial"/>
          <w:bCs/>
          <w:color w:val="000000"/>
          <w:sz w:val="24"/>
          <w:szCs w:val="24"/>
        </w:rPr>
        <w:fldChar w:fldCharType="separate"/>
      </w:r>
      <w:r w:rsidR="006E3374" w:rsidRPr="006E3374">
        <w:rPr>
          <w:rFonts w:ascii="Arial" w:hAnsi="Arial" w:cs="Arial"/>
          <w:bCs/>
          <w:noProof/>
          <w:color w:val="000000"/>
          <w:sz w:val="24"/>
          <w:szCs w:val="24"/>
        </w:rPr>
        <w:t>(4–16)</w:t>
      </w:r>
      <w:r w:rsidR="00B44E3B">
        <w:rPr>
          <w:rFonts w:ascii="Arial" w:hAnsi="Arial" w:cs="Arial"/>
          <w:bCs/>
          <w:color w:val="000000"/>
          <w:sz w:val="24"/>
          <w:szCs w:val="24"/>
        </w:rPr>
        <w:fldChar w:fldCharType="end"/>
      </w:r>
      <w:r w:rsidR="00277BEF">
        <w:rPr>
          <w:rFonts w:ascii="Arial" w:hAnsi="Arial" w:cs="Arial"/>
          <w:bCs/>
          <w:color w:val="000000"/>
          <w:sz w:val="24"/>
          <w:szCs w:val="24"/>
        </w:rPr>
        <w:t xml:space="preserve">. </w:t>
      </w:r>
    </w:p>
    <w:p w14:paraId="6E66205F" w14:textId="77777777" w:rsidR="0059309E" w:rsidRDefault="0059309E" w:rsidP="00432722">
      <w:pPr>
        <w:keepNext/>
        <w:pBdr>
          <w:top w:val="nil"/>
          <w:left w:val="nil"/>
          <w:bottom w:val="nil"/>
          <w:right w:val="nil"/>
          <w:between w:val="nil"/>
        </w:pBdr>
        <w:spacing w:before="240" w:after="60" w:line="360" w:lineRule="auto"/>
        <w:contextualSpacing/>
        <w:jc w:val="both"/>
        <w:rPr>
          <w:rFonts w:ascii="Arial" w:hAnsi="Arial" w:cs="Arial"/>
          <w:bCs/>
          <w:color w:val="000000"/>
          <w:sz w:val="24"/>
          <w:szCs w:val="24"/>
        </w:rPr>
      </w:pPr>
    </w:p>
    <w:p w14:paraId="56AAB62C" w14:textId="377E1E74" w:rsidR="00B01983" w:rsidRDefault="00CF29A9" w:rsidP="00432722">
      <w:pPr>
        <w:keepNext/>
        <w:pBdr>
          <w:top w:val="nil"/>
          <w:left w:val="nil"/>
          <w:bottom w:val="nil"/>
          <w:right w:val="nil"/>
          <w:between w:val="nil"/>
        </w:pBdr>
        <w:spacing w:before="240" w:after="60" w:line="360" w:lineRule="auto"/>
        <w:contextualSpacing/>
        <w:jc w:val="both"/>
        <w:rPr>
          <w:rFonts w:ascii="Arial" w:hAnsi="Arial" w:cs="Arial"/>
          <w:bCs/>
          <w:color w:val="000000"/>
          <w:sz w:val="24"/>
          <w:szCs w:val="24"/>
        </w:rPr>
      </w:pPr>
      <w:r>
        <w:rPr>
          <w:rFonts w:ascii="Arial" w:hAnsi="Arial" w:cs="Arial"/>
          <w:bCs/>
          <w:color w:val="000000"/>
          <w:sz w:val="24"/>
          <w:szCs w:val="24"/>
        </w:rPr>
        <w:t>Overall, g</w:t>
      </w:r>
      <w:r w:rsidR="001A7357">
        <w:rPr>
          <w:rFonts w:ascii="Arial" w:hAnsi="Arial" w:cs="Arial"/>
          <w:bCs/>
          <w:color w:val="000000"/>
          <w:sz w:val="24"/>
          <w:szCs w:val="24"/>
        </w:rPr>
        <w:t xml:space="preserve">aps are widely used because they are an easy and straightforward way to </w:t>
      </w:r>
      <w:r w:rsidR="00DA6B04">
        <w:rPr>
          <w:rFonts w:ascii="Arial" w:hAnsi="Arial" w:cs="Arial"/>
          <w:bCs/>
          <w:color w:val="000000"/>
          <w:sz w:val="24"/>
          <w:szCs w:val="24"/>
        </w:rPr>
        <w:t>relate</w:t>
      </w:r>
      <w:r w:rsidR="00CA59B0">
        <w:rPr>
          <w:rFonts w:ascii="Arial" w:hAnsi="Arial" w:cs="Arial"/>
          <w:bCs/>
          <w:color w:val="000000"/>
          <w:sz w:val="24"/>
          <w:szCs w:val="24"/>
        </w:rPr>
        <w:t xml:space="preserve"> the difference between</w:t>
      </w:r>
      <w:r w:rsidR="001A7357">
        <w:rPr>
          <w:rFonts w:ascii="Arial" w:hAnsi="Arial" w:cs="Arial"/>
          <w:bCs/>
          <w:color w:val="000000"/>
          <w:sz w:val="24"/>
          <w:szCs w:val="24"/>
        </w:rPr>
        <w:t xml:space="preserve"> two quantities. However, </w:t>
      </w:r>
      <w:r w:rsidR="001E27ED">
        <w:rPr>
          <w:rFonts w:ascii="Arial" w:hAnsi="Arial" w:cs="Arial"/>
          <w:bCs/>
          <w:color w:val="000000"/>
          <w:sz w:val="24"/>
          <w:szCs w:val="24"/>
        </w:rPr>
        <w:t xml:space="preserve">it can be misleading to use </w:t>
      </w:r>
      <w:r w:rsidR="007223F9">
        <w:rPr>
          <w:rFonts w:ascii="Arial" w:hAnsi="Arial" w:cs="Arial"/>
          <w:bCs/>
          <w:color w:val="000000"/>
          <w:sz w:val="24"/>
          <w:szCs w:val="24"/>
        </w:rPr>
        <w:t xml:space="preserve">gender </w:t>
      </w:r>
      <w:r w:rsidR="001E27ED">
        <w:rPr>
          <w:rFonts w:ascii="Arial" w:hAnsi="Arial" w:cs="Arial"/>
          <w:bCs/>
          <w:color w:val="000000"/>
          <w:sz w:val="24"/>
          <w:szCs w:val="24"/>
        </w:rPr>
        <w:t xml:space="preserve">gaps as a measure that accurately captures inequality </w:t>
      </w:r>
      <w:r w:rsidR="001A7357">
        <w:rPr>
          <w:rFonts w:ascii="Arial" w:hAnsi="Arial" w:cs="Arial"/>
          <w:bCs/>
          <w:color w:val="000000"/>
          <w:sz w:val="24"/>
          <w:szCs w:val="24"/>
        </w:rPr>
        <w:t>when applied to gender differences in health</w:t>
      </w:r>
      <w:r w:rsidR="001E27ED">
        <w:rPr>
          <w:rFonts w:ascii="Arial" w:hAnsi="Arial" w:cs="Arial"/>
          <w:bCs/>
          <w:color w:val="000000"/>
          <w:sz w:val="24"/>
          <w:szCs w:val="24"/>
        </w:rPr>
        <w:t>.</w:t>
      </w:r>
      <w:r w:rsidR="009D7D38">
        <w:rPr>
          <w:rFonts w:ascii="Arial" w:hAnsi="Arial" w:cs="Arial"/>
          <w:bCs/>
          <w:color w:val="000000"/>
          <w:sz w:val="24"/>
          <w:szCs w:val="24"/>
        </w:rPr>
        <w:t xml:space="preserve"> In part, this is due to the complex interaction </w:t>
      </w:r>
      <w:r w:rsidR="001E10AC">
        <w:rPr>
          <w:rFonts w:ascii="Arial" w:hAnsi="Arial" w:cs="Arial"/>
          <w:bCs/>
          <w:color w:val="000000"/>
          <w:sz w:val="24"/>
          <w:szCs w:val="24"/>
        </w:rPr>
        <w:t>between</w:t>
      </w:r>
      <w:r w:rsidR="009D7D38">
        <w:rPr>
          <w:rFonts w:ascii="Arial" w:hAnsi="Arial" w:cs="Arial"/>
          <w:bCs/>
          <w:color w:val="000000"/>
          <w:sz w:val="24"/>
          <w:szCs w:val="24"/>
        </w:rPr>
        <w:t xml:space="preserve"> health and mortality, which can change in ways that do not</w:t>
      </w:r>
      <w:r w:rsidR="009A1B34">
        <w:rPr>
          <w:rFonts w:ascii="Arial" w:hAnsi="Arial" w:cs="Arial"/>
          <w:bCs/>
          <w:color w:val="000000"/>
          <w:sz w:val="24"/>
          <w:szCs w:val="24"/>
        </w:rPr>
        <w:t xml:space="preserve"> necessarily</w:t>
      </w:r>
      <w:r w:rsidR="009D7D38">
        <w:rPr>
          <w:rFonts w:ascii="Arial" w:hAnsi="Arial" w:cs="Arial"/>
          <w:bCs/>
          <w:color w:val="000000"/>
          <w:sz w:val="24"/>
          <w:szCs w:val="24"/>
        </w:rPr>
        <w:t xml:space="preserve"> go</w:t>
      </w:r>
      <w:r w:rsidR="004C2B67">
        <w:rPr>
          <w:rFonts w:ascii="Arial" w:hAnsi="Arial" w:cs="Arial"/>
          <w:bCs/>
          <w:color w:val="000000"/>
          <w:sz w:val="24"/>
          <w:szCs w:val="24"/>
        </w:rPr>
        <w:t xml:space="preserve"> in the same direction</w:t>
      </w:r>
      <w:r w:rsidR="00E32263">
        <w:rPr>
          <w:rFonts w:ascii="Arial" w:hAnsi="Arial" w:cs="Arial"/>
          <w:bCs/>
          <w:color w:val="000000"/>
          <w:sz w:val="24"/>
          <w:szCs w:val="24"/>
        </w:rPr>
        <w:t xml:space="preserve"> </w:t>
      </w:r>
      <w:r w:rsidR="001C5460">
        <w:rPr>
          <w:rFonts w:ascii="Arial" w:hAnsi="Arial" w:cs="Arial"/>
          <w:bCs/>
          <w:color w:val="000000"/>
          <w:sz w:val="24"/>
          <w:szCs w:val="24"/>
        </w:rPr>
        <w:fldChar w:fldCharType="begin" w:fldLock="1"/>
      </w:r>
      <w:r w:rsidR="007C55AA">
        <w:rPr>
          <w:rFonts w:ascii="Arial" w:hAnsi="Arial" w:cs="Arial"/>
          <w:bCs/>
          <w:color w:val="000000"/>
          <w:sz w:val="24"/>
          <w:szCs w:val="24"/>
        </w:rPr>
        <w:instrText>ADDIN CSL_CITATION {"citationItems":[{"id":"ITEM-1","itemData":{"DOI":"10.4054/MPIDR-WP-2017-015","author":[{"dropping-particle":"","family":"Riffe","given":"Timothy","non-dropping-particle":"","parse-names":false,"suffix":""},{"dropping-particle":"","family":"Raalte","given":"Alyson A.","non-dropping-particle":"van","parse-names":false,"suffix":""},{"dropping-particle":"","family":"Bijlsma","given":"Maarten J.","non-dropping-particle":"","parse-names":false,"suffix":""}],"id":"ITEM-1","issued":{"date-parts":[["2017","5"]]},"title":"Healthy life expectancy, mortality, and age prevalence of morbidity","type":"report"},"uris":["http://www.mendeley.com/documents/?uuid=5bb5c293-a560-4a63-b918-760d136b5be8"]}],"mendeley":{"formattedCitation":"(17)","plainTextFormattedCitation":"(17)","previouslyFormattedCitation":"(17)"},"properties":{"noteIndex":0},"schema":"https://github.com/citation-style-language/schema/raw/master/csl-citation.json"}</w:instrText>
      </w:r>
      <w:r w:rsidR="001C5460">
        <w:rPr>
          <w:rFonts w:ascii="Arial" w:hAnsi="Arial" w:cs="Arial"/>
          <w:bCs/>
          <w:color w:val="000000"/>
          <w:sz w:val="24"/>
          <w:szCs w:val="24"/>
        </w:rPr>
        <w:fldChar w:fldCharType="separate"/>
      </w:r>
      <w:r w:rsidR="006E3374" w:rsidRPr="006E3374">
        <w:rPr>
          <w:rFonts w:ascii="Arial" w:hAnsi="Arial" w:cs="Arial"/>
          <w:bCs/>
          <w:noProof/>
          <w:color w:val="000000"/>
          <w:sz w:val="24"/>
          <w:szCs w:val="24"/>
        </w:rPr>
        <w:t>(17)</w:t>
      </w:r>
      <w:r w:rsidR="001C5460">
        <w:rPr>
          <w:rFonts w:ascii="Arial" w:hAnsi="Arial" w:cs="Arial"/>
          <w:bCs/>
          <w:color w:val="000000"/>
          <w:sz w:val="24"/>
          <w:szCs w:val="24"/>
        </w:rPr>
        <w:fldChar w:fldCharType="end"/>
      </w:r>
      <w:r w:rsidR="004C2B67">
        <w:rPr>
          <w:rFonts w:ascii="Arial" w:hAnsi="Arial" w:cs="Arial"/>
          <w:bCs/>
          <w:color w:val="000000"/>
          <w:sz w:val="24"/>
          <w:szCs w:val="24"/>
        </w:rPr>
        <w:t>.</w:t>
      </w:r>
      <w:r w:rsidR="00992344">
        <w:rPr>
          <w:rFonts w:ascii="Arial" w:hAnsi="Arial" w:cs="Arial"/>
          <w:bCs/>
          <w:color w:val="000000"/>
          <w:sz w:val="24"/>
          <w:szCs w:val="24"/>
        </w:rPr>
        <w:t xml:space="preserve"> Decomposition</w:t>
      </w:r>
      <w:r w:rsidR="0059309E" w:rsidRPr="0059309E">
        <w:rPr>
          <w:rFonts w:ascii="Arial" w:hAnsi="Arial" w:cs="Arial"/>
          <w:bCs/>
          <w:color w:val="000000"/>
          <w:sz w:val="24"/>
          <w:szCs w:val="24"/>
        </w:rPr>
        <w:t xml:space="preserve"> analyses of the contributions of mortality and disability to the gender gap in health expectancy </w:t>
      </w:r>
      <w:r w:rsidR="00533F9F">
        <w:rPr>
          <w:rFonts w:ascii="Arial" w:hAnsi="Arial" w:cs="Arial"/>
          <w:bCs/>
          <w:color w:val="000000"/>
          <w:sz w:val="24"/>
          <w:szCs w:val="24"/>
        </w:rPr>
        <w:t>have shown</w:t>
      </w:r>
      <w:r w:rsidR="0059309E" w:rsidRPr="0059309E">
        <w:rPr>
          <w:rFonts w:ascii="Arial" w:hAnsi="Arial" w:cs="Arial"/>
          <w:bCs/>
          <w:color w:val="000000"/>
          <w:sz w:val="24"/>
          <w:szCs w:val="24"/>
        </w:rPr>
        <w:t xml:space="preserve"> that gender differences in mortality and disability can be masked when only the total gap is analyzed</w:t>
      </w:r>
      <w:r w:rsidR="008A1B43">
        <w:rPr>
          <w:rFonts w:ascii="Arial" w:hAnsi="Arial" w:cs="Arial"/>
          <w:bCs/>
          <w:color w:val="000000"/>
          <w:sz w:val="24"/>
          <w:szCs w:val="24"/>
        </w:rPr>
        <w:t xml:space="preserve"> </w:t>
      </w:r>
      <w:r w:rsidR="009A28E7">
        <w:rPr>
          <w:rFonts w:ascii="Arial" w:hAnsi="Arial" w:cs="Arial"/>
          <w:bCs/>
          <w:color w:val="000000"/>
          <w:sz w:val="24"/>
          <w:szCs w:val="24"/>
        </w:rPr>
        <w:fldChar w:fldCharType="begin" w:fldLock="1"/>
      </w:r>
      <w:r w:rsidR="007C55AA">
        <w:rPr>
          <w:rFonts w:ascii="Arial" w:hAnsi="Arial" w:cs="Arial"/>
          <w:bCs/>
          <w:color w:val="000000"/>
          <w:sz w:val="24"/>
          <w:szCs w:val="24"/>
        </w:rPr>
        <w:instrText>ADDIN CSL_CITATION {"citationItems":[{"id":"ITEM-1","itemData":{"DOI":"10.1177/1403494814550174","ISBN":"1403-4948","ISSN":"16511905","PMID":"25260639","abstract":"BACKGROUND: The population of Greenland comprises almost 31,000 Inuit Greenlanders aged 20-65. The purpose of this study was to estimate trends in expected life years between age 20 and 65 in good and poor health, and to compare changes between men and women since the mid-1990s.\\n\\nMETHODS: Partial life expectancy was calculated and combined with prevalence data on self-rated health, longstanding illness and musculoskeletal diseases derived from health surveys carried out in 1993-94, 1999-2001 and 2005-10. Trends for men and women were compared and changes were decomposed into contributions from changes in mortality and disability.\\n\\nRESULTS: Partial life expectancy increased by 2.2 years for men and 0.8 years for women during the entire period. However, expected lifetime in self-rated good health decreased by 3.3 years for men and by 4.6 years for women (p&lt;0.01). For men, life expectancy without longstanding illness increased by 4.7 years (p&lt;0.001). The increase for women by 1.4 years was non-significant (p=0.29). Expected lifetime without musculoskeletal diseases increased significantly by 4.5 years for men and by 1.9 years for women.\\n\\nCONCLUSIONS: The development of expected lifetime without longstanding illness supports the theory of compression of morbidity, but as the trend direction differs according to which measure for health is used, a definite conclusion cannot be drawn. The different rate of development of partial life expectancy and expected lifetime in good health between men and women is remarkable, and has reduced the gender gap. The results call for special concern about the women's health in Greenland.","author":[{"dropping-particle":"","family":"Mairey","given":"Isabelle","non-dropping-particle":"","parse-names":false,"suffix":""},{"dropping-particle":"","family":"Bjerregaard","given":"Peter","non-dropping-particle":"","parse-names":false,"suffix":""},{"dropping-particle":"","family":"Brønnum Hansen","given":"Henrik","non-dropping-particle":"","parse-names":false,"suffix":""}],"container-title":"Scandinavian Journal of Public Health","id":"ITEM-1","issue":"8","issued":{"date-parts":[["2014"]]},"page":"751-758","title":"Gender difference in health expectancy trends in Greenland","type":"article-journal","volume":"42"},"uris":["http://www.mendeley.com/documents/?uuid=e15bb4d6-3c23-466b-ad25-6ffc2073f00e"]},{"id":"ITEM-2","itemData":{"DOI":"10.1007/s10433-010-0169-x","ISBN":"1613-9372","ISSN":"1613-9372","PMID":"21212821","abstract":"This study compares gender differences in Healthy Life Years (HLY) and unhealthy life years (ULY) between the original (EU15) and new member states (EU10). Based on the number of deaths, population and prevalence of activity limitations from the Statistics of Living and Income Conditions Survey (SILC) survey, we calculated HLY and ULY for the EU10 and EU15 in 2006 with the Sullivan method. We used decomposition analysis to assess the contributions of mortality and disability and age to gender differences in HLY and ULY. HLY at age 15 for women in the EU10 were 3.1 years more than those for men at the same age, whereas HLY did not differ by gender in the EU15. In both populations ULY at age 15 for women exceeded those for men by 5.5 years. Decomposition showed that EU10 women had more HLY because higher disability in women only partially offset (-0.8 years) the effect of lower mortality (?3.9 years). In the EU15 women’s higher disability prevalence almost completely offset women’s lower mortality. The 5.3 fewer ULY in EU10 men than in EU10 women mainly reflected higher male mortality (4.5 years), while the fewer ULY in EU15 men than in EU15 women reflected both higher male mortality (2.9 years) and higher female disability (2.6 years). The absence of a clear gender gap in HLY in the EU15 thus masked important gender differences in mortality and disability. The similar size of the gender gap in ULY in the EU-10 and EU-15 masked the more unfavourable health situation of EU10 men, in particular the much stronger and younger mortality disadvantage in combination with the virtually absent disability advantage below age 65 in men.","author":[{"dropping-particle":"","family":"Nusselder","given":"W. J.","non-dropping-particle":"","parse-names":false,"suffix":""},{"dropping-particle":"","family":"Looman","given":"C. W. N.","non-dropping-particle":"","parse-names":false,"suffix":""},{"dropping-particle":"","family":"Oyen","given":"H.","non-dropping-particle":"van","parse-names":false,"suffix":""},{"dropping-particle":"","family":"Robine","given":"J. M.","non-dropping-particle":"","parse-names":false,"suffix":""},{"dropping-particle":"","family":"Jagger","given":"C.","non-dropping-particle":"","parse-names":false,"suffix":""}],"container-title":"European Journal of Ageing","id":"ITEM-2","issue":"4","issued":{"date-parts":[["2010","12","4"]]},"page":"219-227","title":"Gender differences in health of EU10 and EU15 populations: the double burden of EU10 men","type":"article-journal","volume":"7"},"uris":["http://www.mendeley.com/documents/?uuid=1f5e16d8-232e-4c3b-b0ef-d13e4cb8d4c5"]},{"id":"ITEM-3","itemData":{"ISSN":"0070-3370","PMID":"15209043","abstract":"Health expectancy is a widely used measure for monitoring trends in the health of a population and assessing differences in health among population groups. However, no decomposition method is available to examine the contribution made by causes of death and disability to differences in health expectancy among population groups or periods. We present a method for decomposing differences in health expectancy, based on the Sullivan method. This method is an extension of the decomposition method for life expectancy developed by Arriaga. We illustrate the method and its added value by decomposing male-female differences in health expectancy for the Netherlands.","author":[{"dropping-particle":"","family":"Nusselder","given":"Wilma J","non-dropping-particle":"","parse-names":false,"suffix":""},{"dropping-particle":"","family":"Looman","given":"Caspar W","non-dropping-particle":"","parse-names":false,"suffix":""}],"container-title":"Demography","id":"ITEM-3","issue":"2","issued":{"date-parts":[["2004","5"]]},"page":"315-34","title":"Decomposition of differences in health expectancy by cause.","type":"article-journal","volume":"41"},"uris":["http://www.mendeley.com/documents/?uuid=6b97e0db-d1cd-4ff8-ad0a-0309b7783580"]},{"id":"ITEM-4","itemData":{"DOI":"10.1007/s00038-012-0361-1","ISSN":"1661-8556","author":[{"dropping-particle":"","family":"Oyen","given":"Herman","non-dropping-particle":"Van","parse-names":false,"suffix":""},{"dropping-particle":"","family":"Nusselder","given":"Wilma","non-dropping-particle":"","parse-names":false,"suffix":""},{"dropping-particle":"","family":"Jagger","given":"Carol","non-dropping-particle":"","parse-names":false,"suffix":""},{"dropping-particle":"","family":"Kolip","given":"Petra","non-dropping-particle":"","parse-names":false,"suffix":""},{"dropping-particle":"","family":"Cambois","given":"Emmanuelle","non-dropping-particle":"","parse-names":false,"suffix":""},{"dropping-particle":"","family":"Robine","given":"Jean-Marie","non-dropping-particle":"","parse-names":false,"suffix":""}],"container-title":"International Journal of Public Health","id":"ITEM-4","issue":"1","issued":{"date-parts":[["2013","2","22"]]},"page":"143-155","title":"Gender differences in healthy life years within the EU: an exploration of the “health–survival” paradox","type":"article-journal","volume":"58"},"uris":["http://www.mendeley.com/documents/?uuid=598e4721-915d-4cb2-a376-34883f41c01f"]},{"id":"ITEM-5","itemData":{"DOI":"10.1553/populationyearbook2021.res2.1","ISSN":"17284414","abstract":"Women live longer but can expect to spend more years in poorer health compared to men. In the context of population aging and declining gender ratios at older ages, there are increasing concerns about how this disadvantage in female health will affect well-being and sustainability, particularly in developing regions that are rapidly aging. Our study compares differences in health expectancies at older ages for men and women in order to assess gender disparities in health.We use data from the Survey on Health, Well-Being, and Aging in Latin America and the Caribbean to decompose the gender gap into total and age-specific mortality and disability effects in seven cities in the region. Our results show that at older ages, higher disability rates among women reduced the gender gap in healthy life expectancy by offsetting women’s mortality advantage. In addition, we find that women’s mortality advantage decreased almost systematically with age, which reduced the contribution of the mortality effect to the gender gap at older ages. Although the gender gap in health followed a similar pattern across the region, its decomposition into mortality and disability effects reveals that there was substantial variation among cities. Thus, across the region, the implications of the gender gap in health for well-being vary, and the policies aimed at reducing this gap should also differ.","author":[{"dropping-particle":"","family":"Nepomuceno","given":"Marília R.","non-dropping-particle":"","parse-names":false,"suffix":""},{"dropping-particle":"","family":"Lego","given":"Vanessa","non-dropping-particle":"di","parse-names":false,"suffix":""},{"dropping-particle":"","family":"Turra","given":"Cássio M.","non-dropping-particle":"","parse-names":false,"suffix":""}],"container-title":"Vienna Yearbook of Population Research","id":"ITEM-5","issued":{"date-parts":[["2021","12","12"]]},"title":"Gender disparities in health at older ages and their consequences for well-being in Latin America and the Caribbean","type":"article-journal","volume":"19"},"uris":["http://www.mendeley.com/documents/?uuid=c9f59e07-0450-4b7b-98ce-801d1088c88b"]}],"mendeley":{"formattedCitation":"(18–22)","plainTextFormattedCitation":"(18–22)","previouslyFormattedCitation":"(18–22)"},"properties":{"noteIndex":0},"schema":"https://github.com/citation-style-language/schema/raw/master/csl-citation.json"}</w:instrText>
      </w:r>
      <w:r w:rsidR="009A28E7">
        <w:rPr>
          <w:rFonts w:ascii="Arial" w:hAnsi="Arial" w:cs="Arial"/>
          <w:bCs/>
          <w:color w:val="000000"/>
          <w:sz w:val="24"/>
          <w:szCs w:val="24"/>
        </w:rPr>
        <w:fldChar w:fldCharType="separate"/>
      </w:r>
      <w:r w:rsidR="006E3374" w:rsidRPr="006E3374">
        <w:rPr>
          <w:rFonts w:ascii="Arial" w:hAnsi="Arial" w:cs="Arial"/>
          <w:bCs/>
          <w:noProof/>
          <w:color w:val="000000"/>
          <w:sz w:val="24"/>
          <w:szCs w:val="24"/>
        </w:rPr>
        <w:t>(18–22)</w:t>
      </w:r>
      <w:r w:rsidR="009A28E7">
        <w:rPr>
          <w:rFonts w:ascii="Arial" w:hAnsi="Arial" w:cs="Arial"/>
          <w:bCs/>
          <w:color w:val="000000"/>
          <w:sz w:val="24"/>
          <w:szCs w:val="24"/>
        </w:rPr>
        <w:fldChar w:fldCharType="end"/>
      </w:r>
      <w:r w:rsidR="009A28E7">
        <w:rPr>
          <w:rFonts w:ascii="Arial" w:hAnsi="Arial" w:cs="Arial"/>
          <w:bCs/>
          <w:color w:val="000000"/>
          <w:sz w:val="24"/>
          <w:szCs w:val="24"/>
        </w:rPr>
        <w:t xml:space="preserve">. In some contexts, </w:t>
      </w:r>
      <w:r w:rsidR="00051694">
        <w:rPr>
          <w:rFonts w:ascii="Arial" w:hAnsi="Arial" w:cs="Arial"/>
          <w:bCs/>
          <w:color w:val="000000"/>
          <w:sz w:val="24"/>
          <w:szCs w:val="24"/>
        </w:rPr>
        <w:t xml:space="preserve">this effect can be substantial. </w:t>
      </w:r>
      <w:r w:rsidR="00C90DFF">
        <w:rPr>
          <w:rFonts w:ascii="Arial" w:hAnsi="Arial" w:cs="Arial"/>
          <w:bCs/>
          <w:color w:val="000000"/>
          <w:sz w:val="24"/>
          <w:szCs w:val="24"/>
        </w:rPr>
        <w:t>A study found that while there was virtually no gender gap in health</w:t>
      </w:r>
      <w:r w:rsidR="00D761E8">
        <w:rPr>
          <w:rFonts w:ascii="Arial" w:hAnsi="Arial" w:cs="Arial"/>
          <w:bCs/>
          <w:color w:val="000000"/>
          <w:sz w:val="24"/>
          <w:szCs w:val="24"/>
        </w:rPr>
        <w:t xml:space="preserve"> </w:t>
      </w:r>
      <w:r w:rsidR="00C90DFF">
        <w:rPr>
          <w:rFonts w:ascii="Arial" w:hAnsi="Arial" w:cs="Arial"/>
          <w:bCs/>
          <w:color w:val="000000"/>
          <w:sz w:val="24"/>
          <w:szCs w:val="24"/>
        </w:rPr>
        <w:t>expectancy in Mexico City</w:t>
      </w:r>
      <w:r w:rsidR="00051694">
        <w:rPr>
          <w:rFonts w:ascii="Arial" w:hAnsi="Arial" w:cs="Arial"/>
          <w:bCs/>
          <w:color w:val="000000"/>
          <w:sz w:val="24"/>
          <w:szCs w:val="24"/>
        </w:rPr>
        <w:t xml:space="preserve"> at ages </w:t>
      </w:r>
      <w:r w:rsidR="007D569A">
        <w:rPr>
          <w:rFonts w:ascii="Arial" w:hAnsi="Arial" w:cs="Arial"/>
          <w:bCs/>
          <w:color w:val="000000"/>
          <w:sz w:val="24"/>
          <w:szCs w:val="24"/>
        </w:rPr>
        <w:t>&gt;</w:t>
      </w:r>
      <w:r w:rsidR="00051694">
        <w:rPr>
          <w:rFonts w:ascii="Arial" w:hAnsi="Arial" w:cs="Arial"/>
          <w:bCs/>
          <w:color w:val="000000"/>
          <w:sz w:val="24"/>
          <w:szCs w:val="24"/>
        </w:rPr>
        <w:t>60y</w:t>
      </w:r>
      <w:r w:rsidR="009F53CA">
        <w:rPr>
          <w:rFonts w:ascii="Arial" w:hAnsi="Arial" w:cs="Arial"/>
          <w:bCs/>
          <w:color w:val="000000"/>
          <w:sz w:val="24"/>
          <w:szCs w:val="24"/>
        </w:rPr>
        <w:t xml:space="preserve"> this was due to </w:t>
      </w:r>
      <w:r w:rsidR="009F53CA" w:rsidRPr="009F53CA">
        <w:rPr>
          <w:rFonts w:ascii="Arial" w:hAnsi="Arial" w:cs="Arial"/>
          <w:bCs/>
          <w:color w:val="000000"/>
          <w:sz w:val="24"/>
          <w:szCs w:val="24"/>
        </w:rPr>
        <w:t>the</w:t>
      </w:r>
      <w:r w:rsidR="009F53CA">
        <w:rPr>
          <w:rFonts w:ascii="Arial" w:hAnsi="Arial" w:cs="Arial"/>
          <w:bCs/>
          <w:color w:val="000000"/>
          <w:sz w:val="24"/>
          <w:szCs w:val="24"/>
        </w:rPr>
        <w:t xml:space="preserve"> </w:t>
      </w:r>
      <w:r w:rsidR="009F53CA" w:rsidRPr="009F53CA">
        <w:rPr>
          <w:rFonts w:ascii="Arial" w:hAnsi="Arial" w:cs="Arial"/>
          <w:bCs/>
          <w:color w:val="000000"/>
          <w:sz w:val="24"/>
          <w:szCs w:val="24"/>
        </w:rPr>
        <w:t>combination</w:t>
      </w:r>
      <w:r w:rsidR="009F53CA">
        <w:rPr>
          <w:rFonts w:ascii="Arial" w:hAnsi="Arial" w:cs="Arial"/>
          <w:bCs/>
          <w:color w:val="000000"/>
          <w:sz w:val="24"/>
          <w:szCs w:val="24"/>
        </w:rPr>
        <w:t xml:space="preserve"> </w:t>
      </w:r>
      <w:r w:rsidR="009F53CA" w:rsidRPr="009F53CA">
        <w:rPr>
          <w:rFonts w:ascii="Arial" w:hAnsi="Arial" w:cs="Arial"/>
          <w:bCs/>
          <w:color w:val="000000"/>
          <w:sz w:val="24"/>
          <w:szCs w:val="24"/>
        </w:rPr>
        <w:t>of</w:t>
      </w:r>
      <w:r w:rsidR="009F53CA">
        <w:rPr>
          <w:rFonts w:ascii="Arial" w:hAnsi="Arial" w:cs="Arial"/>
          <w:bCs/>
          <w:color w:val="000000"/>
          <w:sz w:val="24"/>
          <w:szCs w:val="24"/>
        </w:rPr>
        <w:t xml:space="preserve"> </w:t>
      </w:r>
      <w:r w:rsidR="009F53CA" w:rsidRPr="009F53CA">
        <w:rPr>
          <w:rFonts w:ascii="Arial" w:hAnsi="Arial" w:cs="Arial"/>
          <w:bCs/>
          <w:color w:val="000000"/>
          <w:sz w:val="24"/>
          <w:szCs w:val="24"/>
        </w:rPr>
        <w:t>a</w:t>
      </w:r>
      <w:r w:rsidR="009F53CA">
        <w:rPr>
          <w:rFonts w:ascii="Arial" w:hAnsi="Arial" w:cs="Arial"/>
          <w:bCs/>
          <w:color w:val="000000"/>
          <w:sz w:val="24"/>
          <w:szCs w:val="24"/>
        </w:rPr>
        <w:t xml:space="preserve"> </w:t>
      </w:r>
      <w:r w:rsidR="009F53CA" w:rsidRPr="009F53CA">
        <w:rPr>
          <w:rFonts w:ascii="Arial" w:hAnsi="Arial" w:cs="Arial"/>
          <w:bCs/>
          <w:color w:val="000000"/>
          <w:sz w:val="24"/>
          <w:szCs w:val="24"/>
        </w:rPr>
        <w:t>high prevalence</w:t>
      </w:r>
      <w:r w:rsidR="009F53CA">
        <w:rPr>
          <w:rFonts w:ascii="Arial" w:hAnsi="Arial" w:cs="Arial"/>
          <w:bCs/>
          <w:color w:val="000000"/>
          <w:sz w:val="24"/>
          <w:szCs w:val="24"/>
        </w:rPr>
        <w:t xml:space="preserve"> </w:t>
      </w:r>
      <w:r w:rsidR="009F53CA" w:rsidRPr="009F53CA">
        <w:rPr>
          <w:rFonts w:ascii="Arial" w:hAnsi="Arial" w:cs="Arial"/>
          <w:bCs/>
          <w:color w:val="000000"/>
          <w:sz w:val="24"/>
          <w:szCs w:val="24"/>
        </w:rPr>
        <w:t>of</w:t>
      </w:r>
      <w:r w:rsidR="009F53CA">
        <w:rPr>
          <w:rFonts w:ascii="Arial" w:hAnsi="Arial" w:cs="Arial"/>
          <w:bCs/>
          <w:color w:val="000000"/>
          <w:sz w:val="24"/>
          <w:szCs w:val="24"/>
        </w:rPr>
        <w:t xml:space="preserve"> </w:t>
      </w:r>
      <w:r w:rsidR="009F53CA" w:rsidRPr="009F53CA">
        <w:rPr>
          <w:rFonts w:ascii="Arial" w:hAnsi="Arial" w:cs="Arial"/>
          <w:bCs/>
          <w:color w:val="000000"/>
          <w:sz w:val="24"/>
          <w:szCs w:val="24"/>
        </w:rPr>
        <w:t>disability</w:t>
      </w:r>
      <w:r w:rsidR="009F53CA">
        <w:rPr>
          <w:rFonts w:ascii="Arial" w:hAnsi="Arial" w:cs="Arial"/>
          <w:bCs/>
          <w:color w:val="000000"/>
          <w:sz w:val="24"/>
          <w:szCs w:val="24"/>
        </w:rPr>
        <w:t xml:space="preserve"> </w:t>
      </w:r>
      <w:r w:rsidR="009F53CA" w:rsidRPr="009F53CA">
        <w:rPr>
          <w:rFonts w:ascii="Arial" w:hAnsi="Arial" w:cs="Arial"/>
          <w:bCs/>
          <w:color w:val="000000"/>
          <w:sz w:val="24"/>
          <w:szCs w:val="24"/>
        </w:rPr>
        <w:t>among</w:t>
      </w:r>
      <w:r w:rsidR="009F53CA">
        <w:rPr>
          <w:rFonts w:ascii="Arial" w:hAnsi="Arial" w:cs="Arial"/>
          <w:bCs/>
          <w:color w:val="000000"/>
          <w:sz w:val="24"/>
          <w:szCs w:val="24"/>
        </w:rPr>
        <w:t xml:space="preserve"> </w:t>
      </w:r>
      <w:r w:rsidR="009F53CA" w:rsidRPr="009F53CA">
        <w:rPr>
          <w:rFonts w:ascii="Arial" w:hAnsi="Arial" w:cs="Arial"/>
          <w:bCs/>
          <w:color w:val="000000"/>
          <w:sz w:val="24"/>
          <w:szCs w:val="24"/>
        </w:rPr>
        <w:t>women</w:t>
      </w:r>
      <w:r w:rsidR="008E1224">
        <w:rPr>
          <w:rFonts w:ascii="Arial" w:hAnsi="Arial" w:cs="Arial"/>
          <w:bCs/>
          <w:color w:val="000000"/>
          <w:sz w:val="24"/>
          <w:szCs w:val="24"/>
        </w:rPr>
        <w:t xml:space="preserve"> coupled with a small mortality advantage</w:t>
      </w:r>
      <w:r w:rsidR="00D45BE5">
        <w:rPr>
          <w:rFonts w:ascii="Arial" w:hAnsi="Arial" w:cs="Arial"/>
          <w:bCs/>
          <w:color w:val="000000"/>
          <w:sz w:val="24"/>
          <w:szCs w:val="24"/>
        </w:rPr>
        <w:t xml:space="preserve"> </w:t>
      </w:r>
      <w:r w:rsidR="00D45BE5">
        <w:rPr>
          <w:rFonts w:ascii="Arial" w:hAnsi="Arial" w:cs="Arial"/>
          <w:bCs/>
          <w:color w:val="000000"/>
          <w:sz w:val="24"/>
          <w:szCs w:val="24"/>
        </w:rPr>
        <w:fldChar w:fldCharType="begin" w:fldLock="1"/>
      </w:r>
      <w:r w:rsidR="007C55AA">
        <w:rPr>
          <w:rFonts w:ascii="Arial" w:hAnsi="Arial" w:cs="Arial"/>
          <w:bCs/>
          <w:color w:val="000000"/>
          <w:sz w:val="24"/>
          <w:szCs w:val="24"/>
        </w:rPr>
        <w:instrText>ADDIN CSL_CITATION {"citationItems":[{"id":"ITEM-1","itemData":{"DOI":"10.1553/populationyearbook2021.res2.1","ISSN":"17284414","abstract":"Women live longer but can expect to spend more years in poorer health compared to men. In the context of population aging and declining gender ratios at older ages, there are increasing concerns about how this disadvantage in female health will affect well-being and sustainability, particularly in developing regions that are rapidly aging. Our study compares differences in health expectancies at older ages for men and women in order to assess gender disparities in health.We use data from the Survey on Health, Well-Being, and Aging in Latin America and the Caribbean to decompose the gender gap into total and age-specific mortality and disability effects in seven cities in the region. Our results show that at older ages, higher disability rates among women reduced the gender gap in healthy life expectancy by offsetting women’s mortality advantage. In addition, we find that women’s mortality advantage decreased almost systematically with age, which reduced the contribution of the mortality effect to the gender gap at older ages. Although the gender gap in health followed a similar pattern across the region, its decomposition into mortality and disability effects reveals that there was substantial variation among cities. Thus, across the region, the implications of the gender gap in health for well-being vary, and the policies aimed at reducing this gap should also differ.","author":[{"dropping-particle":"","family":"Nepomuceno","given":"Marília R.","non-dropping-particle":"","parse-names":false,"suffix":""},{"dropping-particle":"","family":"Lego","given":"Vanessa","non-dropping-particle":"di","parse-names":false,"suffix":""},{"dropping-particle":"","family":"Turra","given":"Cássio M.","non-dropping-particle":"","parse-names":false,"suffix":""}],"container-title":"Vienna Yearbook of Population Research","id":"ITEM-1","issued":{"date-parts":[["2021","12","12"]]},"title":"Gender disparities in health at older ages and their consequences for well-being in Latin America and the Caribbean","type":"article-journal","volume":"19"},"uris":["http://www.mendeley.com/documents/?uuid=c9f59e07-0450-4b7b-98ce-801d1088c88b"]}],"mendeley":{"formattedCitation":"(22)","plainTextFormattedCitation":"(22)","previouslyFormattedCitation":"(22)"},"properties":{"noteIndex":0},"schema":"https://github.com/citation-style-language/schema/raw/master/csl-citation.json"}</w:instrText>
      </w:r>
      <w:r w:rsidR="00D45BE5">
        <w:rPr>
          <w:rFonts w:ascii="Arial" w:hAnsi="Arial" w:cs="Arial"/>
          <w:bCs/>
          <w:color w:val="000000"/>
          <w:sz w:val="24"/>
          <w:szCs w:val="24"/>
        </w:rPr>
        <w:fldChar w:fldCharType="separate"/>
      </w:r>
      <w:r w:rsidR="006E3374" w:rsidRPr="006E3374">
        <w:rPr>
          <w:rFonts w:ascii="Arial" w:hAnsi="Arial" w:cs="Arial"/>
          <w:bCs/>
          <w:noProof/>
          <w:color w:val="000000"/>
          <w:sz w:val="24"/>
          <w:szCs w:val="24"/>
        </w:rPr>
        <w:t>(22)</w:t>
      </w:r>
      <w:r w:rsidR="00D45BE5">
        <w:rPr>
          <w:rFonts w:ascii="Arial" w:hAnsi="Arial" w:cs="Arial"/>
          <w:bCs/>
          <w:color w:val="000000"/>
          <w:sz w:val="24"/>
          <w:szCs w:val="24"/>
        </w:rPr>
        <w:fldChar w:fldCharType="end"/>
      </w:r>
      <w:r w:rsidR="00982FFA">
        <w:rPr>
          <w:rFonts w:ascii="Arial" w:hAnsi="Arial" w:cs="Arial"/>
          <w:bCs/>
          <w:color w:val="000000"/>
          <w:sz w:val="24"/>
          <w:szCs w:val="24"/>
        </w:rPr>
        <w:t xml:space="preserve">. Interpreting the small absolute </w:t>
      </w:r>
      <w:r w:rsidR="00D20B26">
        <w:rPr>
          <w:rFonts w:ascii="Arial" w:hAnsi="Arial" w:cs="Arial"/>
          <w:bCs/>
          <w:color w:val="000000"/>
          <w:sz w:val="24"/>
          <w:szCs w:val="24"/>
        </w:rPr>
        <w:t xml:space="preserve">gender </w:t>
      </w:r>
      <w:r w:rsidR="00982FFA">
        <w:rPr>
          <w:rFonts w:ascii="Arial" w:hAnsi="Arial" w:cs="Arial"/>
          <w:bCs/>
          <w:color w:val="000000"/>
          <w:sz w:val="24"/>
          <w:szCs w:val="24"/>
        </w:rPr>
        <w:t xml:space="preserve">gap in health expectancy of only </w:t>
      </w:r>
      <w:r w:rsidR="00982FFA" w:rsidRPr="00982FFA">
        <w:rPr>
          <w:rFonts w:ascii="Arial" w:hAnsi="Arial" w:cs="Arial"/>
          <w:bCs/>
          <w:color w:val="000000"/>
          <w:sz w:val="24"/>
          <w:szCs w:val="24"/>
        </w:rPr>
        <w:t>0.18</w:t>
      </w:r>
      <w:r w:rsidR="00982FFA">
        <w:rPr>
          <w:rFonts w:ascii="Arial" w:hAnsi="Arial" w:cs="Arial"/>
          <w:bCs/>
          <w:color w:val="000000"/>
          <w:sz w:val="24"/>
          <w:szCs w:val="24"/>
        </w:rPr>
        <w:t xml:space="preserve">y in Mexico City in this context as </w:t>
      </w:r>
      <w:r w:rsidR="00D20B26">
        <w:rPr>
          <w:rFonts w:ascii="Arial" w:hAnsi="Arial" w:cs="Arial"/>
          <w:bCs/>
          <w:color w:val="000000"/>
          <w:sz w:val="24"/>
          <w:szCs w:val="24"/>
        </w:rPr>
        <w:t>a metric for</w:t>
      </w:r>
      <w:r w:rsidR="00982FFA">
        <w:rPr>
          <w:rFonts w:ascii="Arial" w:hAnsi="Arial" w:cs="Arial"/>
          <w:bCs/>
          <w:color w:val="000000"/>
          <w:sz w:val="24"/>
          <w:szCs w:val="24"/>
        </w:rPr>
        <w:t xml:space="preserve"> l</w:t>
      </w:r>
      <w:r w:rsidR="00D20B26">
        <w:rPr>
          <w:rFonts w:ascii="Arial" w:hAnsi="Arial" w:cs="Arial"/>
          <w:bCs/>
          <w:color w:val="000000"/>
          <w:sz w:val="24"/>
          <w:szCs w:val="24"/>
        </w:rPr>
        <w:t>ow</w:t>
      </w:r>
      <w:r w:rsidR="00982FFA">
        <w:rPr>
          <w:rFonts w:ascii="Arial" w:hAnsi="Arial" w:cs="Arial"/>
          <w:bCs/>
          <w:color w:val="000000"/>
          <w:sz w:val="24"/>
          <w:szCs w:val="24"/>
        </w:rPr>
        <w:t xml:space="preserve"> inequality </w:t>
      </w:r>
      <w:r w:rsidR="00D20B26">
        <w:rPr>
          <w:rFonts w:ascii="Arial" w:hAnsi="Arial" w:cs="Arial"/>
          <w:bCs/>
          <w:color w:val="000000"/>
          <w:sz w:val="24"/>
          <w:szCs w:val="24"/>
        </w:rPr>
        <w:t xml:space="preserve">would ignore the higher burden of disability among women. </w:t>
      </w:r>
      <w:r w:rsidR="003532D0">
        <w:rPr>
          <w:rFonts w:ascii="Arial" w:hAnsi="Arial" w:cs="Arial"/>
          <w:bCs/>
          <w:color w:val="000000"/>
          <w:sz w:val="24"/>
          <w:szCs w:val="24"/>
        </w:rPr>
        <w:t>Similarly</w:t>
      </w:r>
      <w:r w:rsidR="00982FFA">
        <w:rPr>
          <w:rFonts w:ascii="Arial" w:hAnsi="Arial" w:cs="Arial"/>
          <w:bCs/>
          <w:color w:val="000000"/>
          <w:sz w:val="24"/>
          <w:szCs w:val="24"/>
        </w:rPr>
        <w:t xml:space="preserve">, </w:t>
      </w:r>
      <w:r w:rsidR="002C4F5D">
        <w:rPr>
          <w:rFonts w:ascii="Arial" w:hAnsi="Arial" w:cs="Arial"/>
          <w:bCs/>
          <w:color w:val="000000"/>
          <w:sz w:val="24"/>
          <w:szCs w:val="24"/>
        </w:rPr>
        <w:t xml:space="preserve">the substantial </w:t>
      </w:r>
      <w:r w:rsidR="0059309E" w:rsidRPr="0059309E">
        <w:rPr>
          <w:rFonts w:ascii="Arial" w:hAnsi="Arial" w:cs="Arial"/>
          <w:bCs/>
          <w:color w:val="000000"/>
          <w:sz w:val="24"/>
          <w:szCs w:val="24"/>
        </w:rPr>
        <w:t>effects of mortality (3.1 years) and disability (-3.5 years) by gender</w:t>
      </w:r>
      <w:r w:rsidR="002C4F5D">
        <w:rPr>
          <w:rFonts w:ascii="Arial" w:hAnsi="Arial" w:cs="Arial"/>
          <w:bCs/>
          <w:color w:val="000000"/>
          <w:sz w:val="24"/>
          <w:szCs w:val="24"/>
        </w:rPr>
        <w:t xml:space="preserve"> were not captured by the</w:t>
      </w:r>
      <w:r w:rsidR="002C4F5D">
        <w:rPr>
          <w:rFonts w:ascii="Arial" w:hAnsi="Arial" w:cs="Arial"/>
          <w:bCs/>
          <w:color w:val="000000"/>
          <w:sz w:val="24"/>
          <w:szCs w:val="24"/>
        </w:rPr>
        <w:t xml:space="preserve"> small gender gap</w:t>
      </w:r>
      <w:r w:rsidR="00A50648">
        <w:rPr>
          <w:rFonts w:ascii="Arial" w:hAnsi="Arial" w:cs="Arial"/>
          <w:bCs/>
          <w:color w:val="000000"/>
          <w:sz w:val="24"/>
          <w:szCs w:val="24"/>
        </w:rPr>
        <w:t xml:space="preserve"> of </w:t>
      </w:r>
      <w:r w:rsidR="00A50648" w:rsidRPr="0059309E">
        <w:rPr>
          <w:rFonts w:ascii="Arial" w:hAnsi="Arial" w:cs="Arial"/>
          <w:bCs/>
          <w:color w:val="000000"/>
          <w:sz w:val="24"/>
          <w:szCs w:val="24"/>
        </w:rPr>
        <w:t>-0.4 y</w:t>
      </w:r>
      <w:r w:rsidR="002C4F5D">
        <w:rPr>
          <w:rFonts w:ascii="Arial" w:hAnsi="Arial" w:cs="Arial"/>
          <w:bCs/>
          <w:color w:val="000000"/>
          <w:sz w:val="24"/>
          <w:szCs w:val="24"/>
        </w:rPr>
        <w:t xml:space="preserve"> in </w:t>
      </w:r>
      <w:r w:rsidR="00A50648">
        <w:rPr>
          <w:rFonts w:ascii="Arial" w:hAnsi="Arial" w:cs="Arial"/>
          <w:bCs/>
          <w:color w:val="000000"/>
          <w:sz w:val="24"/>
          <w:szCs w:val="24"/>
        </w:rPr>
        <w:t xml:space="preserve">a high-income country like </w:t>
      </w:r>
      <w:r w:rsidR="002C4F5D">
        <w:rPr>
          <w:rFonts w:ascii="Arial" w:hAnsi="Arial" w:cs="Arial"/>
          <w:bCs/>
          <w:color w:val="000000"/>
          <w:sz w:val="24"/>
          <w:szCs w:val="24"/>
        </w:rPr>
        <w:t>the Netherlands</w:t>
      </w:r>
      <w:r w:rsidR="002C4F5D">
        <w:rPr>
          <w:rFonts w:ascii="Arial" w:hAnsi="Arial" w:cs="Arial"/>
          <w:bCs/>
          <w:color w:val="000000"/>
          <w:sz w:val="24"/>
          <w:szCs w:val="24"/>
        </w:rPr>
        <w:t>, which was the result of two strong</w:t>
      </w:r>
      <w:r w:rsidR="0059309E" w:rsidRPr="0059309E">
        <w:rPr>
          <w:rFonts w:ascii="Arial" w:hAnsi="Arial" w:cs="Arial"/>
          <w:bCs/>
          <w:color w:val="000000"/>
          <w:sz w:val="24"/>
          <w:szCs w:val="24"/>
        </w:rPr>
        <w:t xml:space="preserve"> effects work</w:t>
      </w:r>
      <w:r w:rsidR="002C4F5D">
        <w:rPr>
          <w:rFonts w:ascii="Arial" w:hAnsi="Arial" w:cs="Arial"/>
          <w:bCs/>
          <w:color w:val="000000"/>
          <w:sz w:val="24"/>
          <w:szCs w:val="24"/>
        </w:rPr>
        <w:t>ing</w:t>
      </w:r>
      <w:r w:rsidR="0059309E" w:rsidRPr="0059309E">
        <w:rPr>
          <w:rFonts w:ascii="Arial" w:hAnsi="Arial" w:cs="Arial"/>
          <w:bCs/>
          <w:color w:val="000000"/>
          <w:sz w:val="24"/>
          <w:szCs w:val="24"/>
        </w:rPr>
        <w:t xml:space="preserve"> in opposite directions</w:t>
      </w:r>
      <w:r w:rsidR="002C4F5D">
        <w:rPr>
          <w:rFonts w:ascii="Arial" w:hAnsi="Arial" w:cs="Arial"/>
          <w:bCs/>
          <w:color w:val="000000"/>
          <w:sz w:val="24"/>
          <w:szCs w:val="24"/>
        </w:rPr>
        <w:t xml:space="preserve">. </w:t>
      </w:r>
      <w:r w:rsidR="00F3686B">
        <w:rPr>
          <w:rFonts w:ascii="Arial" w:hAnsi="Arial" w:cs="Arial"/>
          <w:bCs/>
          <w:color w:val="000000"/>
          <w:sz w:val="24"/>
          <w:szCs w:val="24"/>
        </w:rPr>
        <w:t xml:space="preserve">For the EU10 region, decomposing the gender gap showed that </w:t>
      </w:r>
      <w:r w:rsidR="00F3686B" w:rsidRPr="00F3686B">
        <w:rPr>
          <w:rFonts w:ascii="Arial" w:hAnsi="Arial" w:cs="Arial"/>
          <w:bCs/>
          <w:color w:val="000000"/>
          <w:sz w:val="24"/>
          <w:szCs w:val="24"/>
        </w:rPr>
        <w:t>higher disability in women only partially offset the effect of lower mortality</w:t>
      </w:r>
      <w:r w:rsidR="00A50648">
        <w:rPr>
          <w:rFonts w:ascii="Arial" w:hAnsi="Arial" w:cs="Arial"/>
          <w:bCs/>
          <w:color w:val="000000"/>
          <w:sz w:val="24"/>
          <w:szCs w:val="24"/>
        </w:rPr>
        <w:t xml:space="preserve"> </w:t>
      </w:r>
      <w:r w:rsidR="00A50648">
        <w:rPr>
          <w:rFonts w:ascii="Arial" w:hAnsi="Arial" w:cs="Arial"/>
          <w:bCs/>
          <w:color w:val="000000"/>
          <w:sz w:val="24"/>
          <w:szCs w:val="24"/>
        </w:rPr>
        <w:fldChar w:fldCharType="begin" w:fldLock="1"/>
      </w:r>
      <w:r w:rsidR="007C55AA">
        <w:rPr>
          <w:rFonts w:ascii="Arial" w:hAnsi="Arial" w:cs="Arial"/>
          <w:bCs/>
          <w:color w:val="000000"/>
          <w:sz w:val="24"/>
          <w:szCs w:val="24"/>
        </w:rPr>
        <w:instrText>ADDIN CSL_CITATION {"citationItems":[{"id":"ITEM-1","itemData":{"DOI":"10.1007/s10433-010-0169-x","ISBN":"1613-9372","ISSN":"1613-9372","PMID":"21212821","abstract":"This study compares gender differences in Healthy Life Years (HLY) and unhealthy life years (ULY) between the original (EU15) and new member states (EU10). Based on the number of deaths, population and prevalence of activity limitations from the Statistics of Living and Income Conditions Survey (SILC) survey, we calculated HLY and ULY for the EU10 and EU15 in 2006 with the Sullivan method. We used decomposition analysis to assess the contributions of mortality and disability and age to gender differences in HLY and ULY. HLY at age 15 for women in the EU10 were 3.1 years more than those for men at the same age, whereas HLY did not differ by gender in the EU15. In both populations ULY at age 15 for women exceeded those for men by 5.5 years. Decomposition showed that EU10 women had more HLY because higher disability in women only partially offset (-0.8 years) the effect of lower mortality (?3.9 years). In the EU15 women’s higher disability prevalence almost completely offset women’s lower mortality. The 5.3 fewer ULY in EU10 men than in EU10 women mainly reflected higher male mortality (4.5 years), while the fewer ULY in EU15 men than in EU15 women reflected both higher male mortality (2.9 years) and higher female disability (2.6 years). The absence of a clear gender gap in HLY in the EU15 thus masked important gender differences in mortality and disability. The similar size of the gender gap in ULY in the EU-10 and EU-15 masked the more unfavourable health situation of EU10 men, in particular the much stronger and younger mortality disadvantage in combination with the virtually absent disability advantage below age 65 in men.","author":[{"dropping-particle":"","family":"Nusselder","given":"W. J.","non-dropping-particle":"","parse-names":false,"suffix":""},{"dropping-particle":"","family":"Looman","given":"C. W. N.","non-dropping-particle":"","parse-names":false,"suffix":""},{"dropping-particle":"","family":"Oyen","given":"H.","non-dropping-particle":"van","parse-names":false,"suffix":""},{"dropping-particle":"","family":"Robine","given":"J. M.","non-dropping-particle":"","parse-names":false,"suffix":""},{"dropping-particle":"","family":"Jagger","given":"C.","non-dropping-particle":"","parse-names":false,"suffix":""}],"container-title":"European Journal of Ageing","id":"ITEM-1","issue":"4","issued":{"date-parts":[["2010","12","4"]]},"page":"219-227","title":"Gender differences in health of EU10 and EU15 populations: the double burden of EU10 men","type":"article-journal","volume":"7"},"uris":["http://www.mendeley.com/documents/?uuid=1f5e16d8-232e-4c3b-b0ef-d13e4cb8d4c5"]}],"mendeley":{"formattedCitation":"(19)","plainTextFormattedCitation":"(19)","previouslyFormattedCitation":"(19)"},"properties":{"noteIndex":0},"schema":"https://github.com/citation-style-language/schema/raw/master/csl-citation.json"}</w:instrText>
      </w:r>
      <w:r w:rsidR="00A50648">
        <w:rPr>
          <w:rFonts w:ascii="Arial" w:hAnsi="Arial" w:cs="Arial"/>
          <w:bCs/>
          <w:color w:val="000000"/>
          <w:sz w:val="24"/>
          <w:szCs w:val="24"/>
        </w:rPr>
        <w:fldChar w:fldCharType="separate"/>
      </w:r>
      <w:r w:rsidR="006E3374" w:rsidRPr="006E3374">
        <w:rPr>
          <w:rFonts w:ascii="Arial" w:hAnsi="Arial" w:cs="Arial"/>
          <w:bCs/>
          <w:noProof/>
          <w:color w:val="000000"/>
          <w:sz w:val="24"/>
          <w:szCs w:val="24"/>
        </w:rPr>
        <w:t>(19)</w:t>
      </w:r>
      <w:r w:rsidR="00A50648">
        <w:rPr>
          <w:rFonts w:ascii="Arial" w:hAnsi="Arial" w:cs="Arial"/>
          <w:bCs/>
          <w:color w:val="000000"/>
          <w:sz w:val="24"/>
          <w:szCs w:val="24"/>
        </w:rPr>
        <w:fldChar w:fldCharType="end"/>
      </w:r>
      <w:r w:rsidR="00F3686B">
        <w:rPr>
          <w:rFonts w:ascii="Arial" w:hAnsi="Arial" w:cs="Arial"/>
          <w:bCs/>
          <w:color w:val="000000"/>
          <w:sz w:val="24"/>
          <w:szCs w:val="24"/>
        </w:rPr>
        <w:t>.</w:t>
      </w:r>
      <w:r w:rsidR="00351D8F">
        <w:rPr>
          <w:rFonts w:ascii="Arial" w:hAnsi="Arial" w:cs="Arial"/>
          <w:bCs/>
          <w:color w:val="000000"/>
          <w:sz w:val="24"/>
          <w:szCs w:val="24"/>
        </w:rPr>
        <w:t xml:space="preserve"> </w:t>
      </w:r>
      <w:r w:rsidR="00910F91">
        <w:rPr>
          <w:rFonts w:ascii="Arial" w:hAnsi="Arial" w:cs="Arial"/>
          <w:bCs/>
          <w:color w:val="000000"/>
          <w:sz w:val="24"/>
          <w:szCs w:val="24"/>
        </w:rPr>
        <w:t xml:space="preserve">However, </w:t>
      </w:r>
      <w:r w:rsidR="004F3FBB">
        <w:rPr>
          <w:rFonts w:ascii="Arial" w:hAnsi="Arial" w:cs="Arial"/>
          <w:bCs/>
          <w:color w:val="000000"/>
          <w:sz w:val="24"/>
          <w:szCs w:val="24"/>
        </w:rPr>
        <w:t xml:space="preserve">these </w:t>
      </w:r>
      <w:r w:rsidR="00910F91">
        <w:rPr>
          <w:rFonts w:ascii="Arial" w:hAnsi="Arial" w:cs="Arial"/>
          <w:bCs/>
          <w:color w:val="000000"/>
          <w:sz w:val="24"/>
          <w:szCs w:val="24"/>
        </w:rPr>
        <w:t>studies focus</w:t>
      </w:r>
      <w:r w:rsidR="00985285">
        <w:rPr>
          <w:rFonts w:ascii="Arial" w:hAnsi="Arial" w:cs="Arial"/>
          <w:bCs/>
          <w:color w:val="000000"/>
          <w:sz w:val="24"/>
          <w:szCs w:val="24"/>
        </w:rPr>
        <w:t>ed</w:t>
      </w:r>
      <w:r w:rsidR="00910F91">
        <w:rPr>
          <w:rFonts w:ascii="Arial" w:hAnsi="Arial" w:cs="Arial"/>
          <w:bCs/>
          <w:color w:val="000000"/>
          <w:sz w:val="24"/>
          <w:szCs w:val="24"/>
        </w:rPr>
        <w:t xml:space="preserve"> on a specific set of countries</w:t>
      </w:r>
      <w:r w:rsidR="00C734A7">
        <w:rPr>
          <w:rFonts w:ascii="Arial" w:hAnsi="Arial" w:cs="Arial"/>
          <w:bCs/>
          <w:color w:val="000000"/>
          <w:sz w:val="24"/>
          <w:szCs w:val="24"/>
        </w:rPr>
        <w:t xml:space="preserve"> or regions that usually share the same societal values and gender roles</w:t>
      </w:r>
      <w:r w:rsidR="00910F91">
        <w:rPr>
          <w:rFonts w:ascii="Arial" w:hAnsi="Arial" w:cs="Arial"/>
          <w:bCs/>
          <w:color w:val="000000"/>
          <w:sz w:val="24"/>
          <w:szCs w:val="24"/>
        </w:rPr>
        <w:t>,</w:t>
      </w:r>
      <w:r w:rsidR="00A03DB6">
        <w:rPr>
          <w:rFonts w:ascii="Arial" w:hAnsi="Arial" w:cs="Arial"/>
          <w:bCs/>
          <w:color w:val="000000"/>
          <w:sz w:val="24"/>
          <w:szCs w:val="24"/>
        </w:rPr>
        <w:t xml:space="preserve"> mostly due to</w:t>
      </w:r>
      <w:r w:rsidR="00B41B21">
        <w:rPr>
          <w:rFonts w:ascii="Arial" w:hAnsi="Arial" w:cs="Arial"/>
          <w:bCs/>
          <w:color w:val="000000"/>
          <w:sz w:val="24"/>
          <w:szCs w:val="24"/>
        </w:rPr>
        <w:t xml:space="preserve"> lack of </w:t>
      </w:r>
      <w:r w:rsidR="006D5AA2">
        <w:rPr>
          <w:rFonts w:ascii="Arial" w:hAnsi="Arial" w:cs="Arial"/>
          <w:bCs/>
          <w:color w:val="000000"/>
          <w:sz w:val="24"/>
          <w:szCs w:val="24"/>
        </w:rPr>
        <w:t xml:space="preserve">comparable </w:t>
      </w:r>
      <w:r w:rsidR="00B41B21">
        <w:rPr>
          <w:rFonts w:ascii="Arial" w:hAnsi="Arial" w:cs="Arial"/>
          <w:bCs/>
          <w:color w:val="000000"/>
          <w:sz w:val="24"/>
          <w:szCs w:val="24"/>
        </w:rPr>
        <w:t>data and</w:t>
      </w:r>
      <w:r w:rsidR="00A03DB6">
        <w:rPr>
          <w:rFonts w:ascii="Arial" w:hAnsi="Arial" w:cs="Arial"/>
          <w:bCs/>
          <w:color w:val="000000"/>
          <w:sz w:val="24"/>
          <w:szCs w:val="24"/>
        </w:rPr>
        <w:t xml:space="preserve"> the</w:t>
      </w:r>
      <w:r w:rsidR="00910F91">
        <w:rPr>
          <w:rFonts w:ascii="Arial" w:hAnsi="Arial" w:cs="Arial"/>
          <w:bCs/>
          <w:color w:val="000000"/>
          <w:sz w:val="24"/>
          <w:szCs w:val="24"/>
        </w:rPr>
        <w:t xml:space="preserve"> challenging</w:t>
      </w:r>
      <w:r w:rsidR="00A03DB6">
        <w:rPr>
          <w:rFonts w:ascii="Arial" w:hAnsi="Arial" w:cs="Arial"/>
          <w:bCs/>
          <w:color w:val="000000"/>
          <w:sz w:val="24"/>
          <w:szCs w:val="24"/>
        </w:rPr>
        <w:t xml:space="preserve"> enterprise of comparative analysis on health. </w:t>
      </w:r>
    </w:p>
    <w:p w14:paraId="253A9A83" w14:textId="77777777" w:rsidR="004451B2" w:rsidRDefault="004451B2" w:rsidP="00432722">
      <w:pPr>
        <w:keepNext/>
        <w:pBdr>
          <w:top w:val="nil"/>
          <w:left w:val="nil"/>
          <w:bottom w:val="nil"/>
          <w:right w:val="nil"/>
          <w:between w:val="nil"/>
        </w:pBdr>
        <w:spacing w:before="240" w:after="60" w:line="360" w:lineRule="auto"/>
        <w:contextualSpacing/>
        <w:jc w:val="both"/>
        <w:rPr>
          <w:rFonts w:ascii="Arial" w:hAnsi="Arial" w:cs="Arial"/>
          <w:bCs/>
          <w:color w:val="000000"/>
          <w:sz w:val="24"/>
          <w:szCs w:val="24"/>
        </w:rPr>
      </w:pPr>
    </w:p>
    <w:p w14:paraId="086AC8CC" w14:textId="1E9E7BD2" w:rsidR="00C4529B" w:rsidRDefault="00351D8F" w:rsidP="00816EBD">
      <w:pPr>
        <w:keepNext/>
        <w:pBdr>
          <w:top w:val="nil"/>
          <w:left w:val="nil"/>
          <w:bottom w:val="nil"/>
          <w:right w:val="nil"/>
          <w:between w:val="nil"/>
        </w:pBdr>
        <w:spacing w:before="240" w:after="60" w:line="360" w:lineRule="auto"/>
        <w:contextualSpacing/>
        <w:jc w:val="both"/>
        <w:rPr>
          <w:rFonts w:ascii="Arial" w:hAnsi="Arial" w:cs="Arial"/>
          <w:bCs/>
          <w:color w:val="000000"/>
          <w:sz w:val="24"/>
          <w:szCs w:val="24"/>
        </w:rPr>
      </w:pPr>
      <w:r>
        <w:rPr>
          <w:rFonts w:ascii="Arial" w:hAnsi="Arial" w:cs="Arial"/>
          <w:bCs/>
          <w:color w:val="000000"/>
          <w:sz w:val="24"/>
          <w:szCs w:val="24"/>
        </w:rPr>
        <w:t xml:space="preserve">In this paper, we </w:t>
      </w:r>
      <w:r w:rsidR="00A77C58">
        <w:rPr>
          <w:rFonts w:ascii="Arial" w:hAnsi="Arial" w:cs="Arial"/>
          <w:bCs/>
          <w:color w:val="000000"/>
          <w:sz w:val="24"/>
          <w:szCs w:val="24"/>
        </w:rPr>
        <w:t xml:space="preserve">take </w:t>
      </w:r>
      <w:r w:rsidR="00A77C58" w:rsidRPr="00A77C58">
        <w:rPr>
          <w:rFonts w:ascii="Arial" w:hAnsi="Arial" w:cs="Arial"/>
          <w:bCs/>
          <w:color w:val="000000"/>
          <w:sz w:val="24"/>
          <w:szCs w:val="24"/>
        </w:rPr>
        <w:t>advantage</w:t>
      </w:r>
      <w:r w:rsidR="00AF0BF8">
        <w:rPr>
          <w:rFonts w:ascii="Arial" w:hAnsi="Arial" w:cs="Arial"/>
          <w:bCs/>
          <w:color w:val="000000"/>
          <w:sz w:val="24"/>
          <w:szCs w:val="24"/>
        </w:rPr>
        <w:t xml:space="preserve"> of the h</w:t>
      </w:r>
      <w:r w:rsidR="00AF0BF8" w:rsidRPr="00AF0BF8">
        <w:rPr>
          <w:rFonts w:ascii="Arial" w:hAnsi="Arial" w:cs="Arial"/>
          <w:bCs/>
          <w:color w:val="000000"/>
          <w:sz w:val="24"/>
          <w:szCs w:val="24"/>
        </w:rPr>
        <w:t>armonized surveys</w:t>
      </w:r>
      <w:r w:rsidR="00E161BA">
        <w:rPr>
          <w:rFonts w:ascii="Arial" w:hAnsi="Arial" w:cs="Arial"/>
          <w:bCs/>
          <w:color w:val="000000"/>
          <w:sz w:val="24"/>
          <w:szCs w:val="24"/>
        </w:rPr>
        <w:t xml:space="preserve"> </w:t>
      </w:r>
      <w:r w:rsidR="00B22202">
        <w:rPr>
          <w:rFonts w:ascii="Arial" w:hAnsi="Arial" w:cs="Arial"/>
          <w:bCs/>
          <w:color w:val="000000"/>
          <w:sz w:val="24"/>
          <w:szCs w:val="24"/>
        </w:rPr>
        <w:t>from t</w:t>
      </w:r>
      <w:r w:rsidR="00E161BA" w:rsidRPr="00E161BA">
        <w:rPr>
          <w:rFonts w:ascii="Arial" w:hAnsi="Arial" w:cs="Arial"/>
          <w:bCs/>
          <w:color w:val="000000"/>
          <w:sz w:val="24"/>
          <w:szCs w:val="24"/>
        </w:rPr>
        <w:t>he Gateway to Global Aging Data</w:t>
      </w:r>
      <w:r w:rsidR="00881189">
        <w:rPr>
          <w:rFonts w:ascii="Arial" w:hAnsi="Arial" w:cs="Arial"/>
          <w:bCs/>
          <w:color w:val="000000"/>
          <w:sz w:val="24"/>
          <w:szCs w:val="24"/>
        </w:rPr>
        <w:t xml:space="preserve"> </w:t>
      </w:r>
      <w:r w:rsidR="00881189">
        <w:rPr>
          <w:rFonts w:ascii="Arial" w:hAnsi="Arial" w:cs="Arial"/>
          <w:bCs/>
          <w:color w:val="000000"/>
          <w:sz w:val="24"/>
          <w:szCs w:val="24"/>
        </w:rPr>
        <w:fldChar w:fldCharType="begin" w:fldLock="1"/>
      </w:r>
      <w:r w:rsidR="007C55AA">
        <w:rPr>
          <w:rFonts w:ascii="Arial" w:hAnsi="Arial" w:cs="Arial"/>
          <w:bCs/>
          <w:color w:val="000000"/>
          <w:sz w:val="24"/>
          <w:szCs w:val="24"/>
        </w:rPr>
        <w:instrText>ADDIN CSL_CITATION {"citationItems":[{"id":"ITEM-1","itemData":{"DOI":"10.1093/GERONB/GBAB050","ISSN":"10795014","PMID":"33861849","abstract":"Objectives: The Gateway to Global Aging Data (Gateway; g2aging.org) is a data and information platform developed to facilitate cross-country analyses on aging, especially those using the international family of Health and Retirement studies. We provide a brief introduction to the Gateway to Global Aging Data, discussing its potential for cross-national comparisons of family, social environment, and healthy aging. Methods: We summarize the survey metadata, study characteristics, and harmonized data available from the Gateway, describing the population represented in each study. We portray cohort characteristics and key measures of health and social environment from 37 countries in North America, Europe, and Asia using harmonized data. Results: Significant cross-country heterogeneity was observed in many measures of family, social environment, and healthy aging indicators. For example, there was a threefold difference in coresidence with children, ranging from 14% in Sweden to over 46% in Spain and Korea in 2014. From 2002 to 2014, the difference between informal care receipt in individuals of low and high wealth decreased by 6% in the United States and remained unchanged in England. The percentage of individuals aged 50-59 living alone in 2012 varied 15-fold, from a low of 2% in China to a high of 30% in Mexico. Discussion: By partnering with nationally representative studies around the globe, the Gateway to Global Aging Data facilitates comparative research on aging through the provision of easy-to-use harmonized data files and other valuable tools.","author":[{"dropping-particle":"","family":"Lee","given":"Jinkook","non-dropping-particle":"","parse-names":false,"suffix":""},{"dropping-particle":"","family":"Phillips","given":"Drystan","non-dropping-particle":"","parse-names":false,"suffix":""},{"dropping-particle":"","family":"Wilkens","given":"Jenny","non-dropping-particle":"","parse-names":false,"suffix":""}],"container-title":"The Journals of Gerontology Series B: Psychological Sciences and Social Sciences","id":"ITEM-1","issue":"Suppl 1","issued":{"date-parts":[["2021","6","1"]]},"page":"S5","publisher":"Oxford University Press","title":"Gateway to Global Aging Data: Resources for Cross-National Comparisons of Family, Social Environment, and Healthy Aging","type":"article-journal","volume":"76"},"uris":["http://www.mendeley.com/documents/?uuid=20d5246c-5aa3-3417-b997-60d754f4579f"]}],"mendeley":{"formattedCitation":"(23)","plainTextFormattedCitation":"(23)","previouslyFormattedCitation":"(23)"},"properties":{"noteIndex":0},"schema":"https://github.com/citation-style-language/schema/raw/master/csl-citation.json"}</w:instrText>
      </w:r>
      <w:r w:rsidR="00881189">
        <w:rPr>
          <w:rFonts w:ascii="Arial" w:hAnsi="Arial" w:cs="Arial"/>
          <w:bCs/>
          <w:color w:val="000000"/>
          <w:sz w:val="24"/>
          <w:szCs w:val="24"/>
        </w:rPr>
        <w:fldChar w:fldCharType="separate"/>
      </w:r>
      <w:r w:rsidR="006E3374" w:rsidRPr="006E3374">
        <w:rPr>
          <w:rFonts w:ascii="Arial" w:hAnsi="Arial" w:cs="Arial"/>
          <w:bCs/>
          <w:noProof/>
          <w:color w:val="000000"/>
          <w:sz w:val="24"/>
          <w:szCs w:val="24"/>
        </w:rPr>
        <w:t>(23)</w:t>
      </w:r>
      <w:r w:rsidR="00881189">
        <w:rPr>
          <w:rFonts w:ascii="Arial" w:hAnsi="Arial" w:cs="Arial"/>
          <w:bCs/>
          <w:color w:val="000000"/>
          <w:sz w:val="24"/>
          <w:szCs w:val="24"/>
        </w:rPr>
        <w:fldChar w:fldCharType="end"/>
      </w:r>
      <w:r w:rsidR="00F24BF6">
        <w:rPr>
          <w:rFonts w:ascii="Arial" w:hAnsi="Arial" w:cs="Arial"/>
          <w:bCs/>
          <w:color w:val="000000"/>
          <w:sz w:val="24"/>
          <w:szCs w:val="24"/>
        </w:rPr>
        <w:t xml:space="preserve"> </w:t>
      </w:r>
      <w:r w:rsidR="00E161BA" w:rsidRPr="00E161BA">
        <w:rPr>
          <w:rFonts w:ascii="Arial" w:hAnsi="Arial" w:cs="Arial"/>
          <w:bCs/>
          <w:color w:val="000000"/>
          <w:sz w:val="24"/>
          <w:szCs w:val="24"/>
        </w:rPr>
        <w:t xml:space="preserve"> </w:t>
      </w:r>
      <w:r w:rsidR="00C4529B">
        <w:rPr>
          <w:rFonts w:ascii="Arial" w:hAnsi="Arial" w:cs="Arial"/>
          <w:bCs/>
          <w:color w:val="000000"/>
          <w:sz w:val="24"/>
          <w:szCs w:val="24"/>
        </w:rPr>
        <w:t>in order to</w:t>
      </w:r>
      <w:r w:rsidR="00EB4212">
        <w:rPr>
          <w:rFonts w:ascii="Arial" w:hAnsi="Arial" w:cs="Arial"/>
          <w:bCs/>
          <w:color w:val="000000"/>
          <w:sz w:val="24"/>
          <w:szCs w:val="24"/>
        </w:rPr>
        <w:t xml:space="preserve"> estimate the gender gap in health expectancy and </w:t>
      </w:r>
      <w:r w:rsidR="00C4529B" w:rsidRPr="00A77C58">
        <w:rPr>
          <w:rFonts w:ascii="Arial" w:hAnsi="Arial" w:cs="Arial"/>
          <w:bCs/>
          <w:color w:val="000000"/>
          <w:sz w:val="24"/>
          <w:szCs w:val="24"/>
        </w:rPr>
        <w:t>quantify the relative contribution of disability and mortality t</w:t>
      </w:r>
      <w:r w:rsidR="000063EC">
        <w:rPr>
          <w:rFonts w:ascii="Arial" w:hAnsi="Arial" w:cs="Arial"/>
          <w:bCs/>
          <w:color w:val="000000"/>
          <w:sz w:val="24"/>
          <w:szCs w:val="24"/>
        </w:rPr>
        <w:t xml:space="preserve">o gender gaps in </w:t>
      </w:r>
      <w:r w:rsidR="000063EC">
        <w:rPr>
          <w:rFonts w:ascii="Arial" w:hAnsi="Arial" w:cs="Arial"/>
          <w:bCs/>
          <w:color w:val="000000"/>
          <w:sz w:val="24"/>
          <w:szCs w:val="24"/>
        </w:rPr>
        <w:lastRenderedPageBreak/>
        <w:t>health expectancy</w:t>
      </w:r>
      <w:r w:rsidR="00C4529B" w:rsidRPr="00A77C58">
        <w:rPr>
          <w:rFonts w:ascii="Arial" w:hAnsi="Arial" w:cs="Arial"/>
          <w:bCs/>
          <w:color w:val="000000"/>
          <w:sz w:val="24"/>
          <w:szCs w:val="24"/>
        </w:rPr>
        <w:t xml:space="preserve"> across</w:t>
      </w:r>
      <w:r w:rsidR="00A05D6B">
        <w:rPr>
          <w:rFonts w:ascii="Arial" w:hAnsi="Arial" w:cs="Arial"/>
          <w:bCs/>
          <w:color w:val="000000"/>
          <w:sz w:val="24"/>
          <w:szCs w:val="24"/>
        </w:rPr>
        <w:t xml:space="preserve"> different countries. </w:t>
      </w:r>
      <w:r w:rsidR="00F24BF6">
        <w:rPr>
          <w:rFonts w:ascii="Arial" w:hAnsi="Arial" w:cs="Arial"/>
          <w:bCs/>
          <w:color w:val="000000"/>
          <w:sz w:val="24"/>
          <w:szCs w:val="24"/>
        </w:rPr>
        <w:t>This</w:t>
      </w:r>
      <w:r w:rsidR="00F24BF6" w:rsidRPr="00E161BA">
        <w:rPr>
          <w:rFonts w:ascii="Arial" w:hAnsi="Arial" w:cs="Arial"/>
          <w:bCs/>
          <w:color w:val="000000"/>
          <w:sz w:val="24"/>
          <w:szCs w:val="24"/>
        </w:rPr>
        <w:t xml:space="preserve"> data resource</w:t>
      </w:r>
      <w:r w:rsidR="00F24BF6">
        <w:rPr>
          <w:rFonts w:ascii="Arial" w:hAnsi="Arial" w:cs="Arial"/>
          <w:bCs/>
          <w:color w:val="000000"/>
          <w:sz w:val="24"/>
          <w:szCs w:val="24"/>
        </w:rPr>
        <w:t xml:space="preserve"> </w:t>
      </w:r>
      <w:r w:rsidR="00F24BF6" w:rsidRPr="00A77C58">
        <w:rPr>
          <w:rFonts w:ascii="Arial" w:hAnsi="Arial" w:cs="Arial"/>
          <w:bCs/>
          <w:color w:val="000000"/>
          <w:sz w:val="24"/>
          <w:szCs w:val="24"/>
        </w:rPr>
        <w:t>allow</w:t>
      </w:r>
      <w:r w:rsidR="00F24BF6">
        <w:rPr>
          <w:rFonts w:ascii="Arial" w:hAnsi="Arial" w:cs="Arial"/>
          <w:bCs/>
          <w:color w:val="000000"/>
          <w:sz w:val="24"/>
          <w:szCs w:val="24"/>
        </w:rPr>
        <w:t>s</w:t>
      </w:r>
      <w:r w:rsidR="00F24BF6" w:rsidRPr="00A77C58">
        <w:rPr>
          <w:rFonts w:ascii="Arial" w:hAnsi="Arial" w:cs="Arial"/>
          <w:bCs/>
          <w:color w:val="000000"/>
          <w:sz w:val="24"/>
          <w:szCs w:val="24"/>
        </w:rPr>
        <w:t xml:space="preserve"> for a unique opportunity to perform comparisons among identically defined </w:t>
      </w:r>
      <w:r w:rsidR="00F24BF6">
        <w:rPr>
          <w:rFonts w:ascii="Arial" w:hAnsi="Arial" w:cs="Arial"/>
          <w:bCs/>
          <w:color w:val="000000"/>
          <w:sz w:val="24"/>
          <w:szCs w:val="24"/>
        </w:rPr>
        <w:t xml:space="preserve">health </w:t>
      </w:r>
      <w:r w:rsidR="00F24BF6" w:rsidRPr="00A77C58">
        <w:rPr>
          <w:rFonts w:ascii="Arial" w:hAnsi="Arial" w:cs="Arial"/>
          <w:bCs/>
          <w:color w:val="000000"/>
          <w:sz w:val="24"/>
          <w:szCs w:val="24"/>
        </w:rPr>
        <w:t>variables across countries</w:t>
      </w:r>
      <w:r w:rsidR="00A77C58" w:rsidRPr="00A77C58">
        <w:rPr>
          <w:rFonts w:ascii="Arial" w:hAnsi="Arial" w:cs="Arial"/>
          <w:bCs/>
          <w:color w:val="000000"/>
          <w:sz w:val="24"/>
          <w:szCs w:val="24"/>
        </w:rPr>
        <w:t xml:space="preserve">. We focus on harmonized HRS (U.S.), ELSA (England), </w:t>
      </w:r>
      <w:proofErr w:type="spellStart"/>
      <w:r w:rsidR="00A77C58" w:rsidRPr="00A77C58">
        <w:rPr>
          <w:rFonts w:ascii="Arial" w:hAnsi="Arial" w:cs="Arial"/>
          <w:bCs/>
          <w:color w:val="000000"/>
          <w:sz w:val="24"/>
          <w:szCs w:val="24"/>
        </w:rPr>
        <w:t>KLoSA</w:t>
      </w:r>
      <w:proofErr w:type="spellEnd"/>
      <w:r w:rsidR="00A77C58" w:rsidRPr="00A77C58">
        <w:rPr>
          <w:rFonts w:ascii="Arial" w:hAnsi="Arial" w:cs="Arial"/>
          <w:bCs/>
          <w:color w:val="000000"/>
          <w:sz w:val="24"/>
          <w:szCs w:val="24"/>
        </w:rPr>
        <w:t xml:space="preserve"> (South Korea), CHARLS (China), LASI (India), MHAS (Mexico) and SHARE (EU Countries)</w:t>
      </w:r>
      <w:r w:rsidR="00E21446">
        <w:rPr>
          <w:rFonts w:ascii="Arial" w:hAnsi="Arial" w:cs="Arial"/>
          <w:bCs/>
          <w:color w:val="000000"/>
          <w:sz w:val="24"/>
          <w:szCs w:val="24"/>
        </w:rPr>
        <w:t xml:space="preserve"> </w:t>
      </w:r>
      <w:r w:rsidR="00A77C58" w:rsidRPr="00A77C58">
        <w:rPr>
          <w:rFonts w:ascii="Arial" w:hAnsi="Arial" w:cs="Arial"/>
          <w:bCs/>
          <w:color w:val="000000"/>
          <w:sz w:val="24"/>
          <w:szCs w:val="24"/>
        </w:rPr>
        <w:t xml:space="preserve">due </w:t>
      </w:r>
      <w:r w:rsidR="00E21446">
        <w:rPr>
          <w:rFonts w:ascii="Arial" w:hAnsi="Arial" w:cs="Arial"/>
          <w:bCs/>
          <w:color w:val="000000"/>
          <w:sz w:val="24"/>
          <w:szCs w:val="24"/>
        </w:rPr>
        <w:t xml:space="preserve">to </w:t>
      </w:r>
      <w:r w:rsidR="00A77C58" w:rsidRPr="00A77C58">
        <w:rPr>
          <w:rFonts w:ascii="Arial" w:hAnsi="Arial" w:cs="Arial"/>
          <w:bCs/>
          <w:color w:val="000000"/>
          <w:sz w:val="24"/>
          <w:szCs w:val="24"/>
        </w:rPr>
        <w:t>their unique epidemiological and mortality trajectorie</w:t>
      </w:r>
      <w:r w:rsidR="0043580E">
        <w:rPr>
          <w:rFonts w:ascii="Arial" w:hAnsi="Arial" w:cs="Arial"/>
          <w:bCs/>
          <w:color w:val="000000"/>
          <w:sz w:val="24"/>
          <w:szCs w:val="24"/>
        </w:rPr>
        <w:t>s. These countries also have</w:t>
      </w:r>
      <w:r w:rsidR="00176D2C">
        <w:rPr>
          <w:rFonts w:ascii="Arial" w:hAnsi="Arial" w:cs="Arial"/>
          <w:bCs/>
          <w:color w:val="000000"/>
          <w:sz w:val="24"/>
          <w:szCs w:val="24"/>
        </w:rPr>
        <w:t xml:space="preserve"> diverse </w:t>
      </w:r>
      <w:r w:rsidR="00A77C58" w:rsidRPr="00A77C58">
        <w:rPr>
          <w:rFonts w:ascii="Arial" w:hAnsi="Arial" w:cs="Arial"/>
          <w:bCs/>
          <w:color w:val="000000"/>
          <w:sz w:val="24"/>
          <w:szCs w:val="24"/>
        </w:rPr>
        <w:t xml:space="preserve">country-specific gender roles, which enable us to investigate </w:t>
      </w:r>
      <w:r w:rsidR="00816EBD">
        <w:rPr>
          <w:rFonts w:ascii="Arial" w:hAnsi="Arial" w:cs="Arial"/>
          <w:bCs/>
          <w:color w:val="000000"/>
          <w:sz w:val="24"/>
          <w:szCs w:val="24"/>
        </w:rPr>
        <w:t xml:space="preserve">the impact of interpreting </w:t>
      </w:r>
      <w:r w:rsidR="00896188">
        <w:rPr>
          <w:rFonts w:ascii="Arial" w:hAnsi="Arial" w:cs="Arial"/>
          <w:bCs/>
          <w:color w:val="000000"/>
          <w:sz w:val="24"/>
          <w:szCs w:val="24"/>
        </w:rPr>
        <w:t xml:space="preserve">the </w:t>
      </w:r>
      <w:r w:rsidR="00816EBD">
        <w:rPr>
          <w:rFonts w:ascii="Arial" w:hAnsi="Arial" w:cs="Arial"/>
          <w:bCs/>
          <w:color w:val="000000"/>
          <w:sz w:val="24"/>
          <w:szCs w:val="24"/>
        </w:rPr>
        <w:t xml:space="preserve">gender gap in health and mortality as a measure of inequality </w:t>
      </w:r>
      <w:r w:rsidR="00A77C58" w:rsidRPr="00A77C58">
        <w:rPr>
          <w:rFonts w:ascii="Arial" w:hAnsi="Arial" w:cs="Arial"/>
          <w:bCs/>
          <w:color w:val="000000"/>
          <w:sz w:val="24"/>
          <w:szCs w:val="24"/>
        </w:rPr>
        <w:t>in different settings.</w:t>
      </w:r>
    </w:p>
    <w:p w14:paraId="26751AEC" w14:textId="77777777" w:rsidR="00C4529B" w:rsidRDefault="00C4529B" w:rsidP="00A77C58">
      <w:pPr>
        <w:keepNext/>
        <w:pBdr>
          <w:top w:val="nil"/>
          <w:left w:val="nil"/>
          <w:bottom w:val="nil"/>
          <w:right w:val="nil"/>
          <w:between w:val="nil"/>
        </w:pBdr>
        <w:spacing w:before="240" w:after="60" w:line="360" w:lineRule="auto"/>
        <w:contextualSpacing/>
        <w:jc w:val="both"/>
        <w:rPr>
          <w:rFonts w:ascii="Arial" w:hAnsi="Arial" w:cs="Arial"/>
          <w:bCs/>
          <w:color w:val="000000"/>
          <w:sz w:val="24"/>
          <w:szCs w:val="24"/>
        </w:rPr>
      </w:pPr>
    </w:p>
    <w:p w14:paraId="62BB08F5" w14:textId="4648E1FB" w:rsidR="0059309E" w:rsidRDefault="00A77C58" w:rsidP="00AF4525">
      <w:pPr>
        <w:keepNext/>
        <w:pBdr>
          <w:top w:val="nil"/>
          <w:left w:val="nil"/>
          <w:bottom w:val="nil"/>
          <w:right w:val="nil"/>
          <w:between w:val="nil"/>
        </w:pBdr>
        <w:spacing w:before="240" w:after="60" w:line="360" w:lineRule="auto"/>
        <w:contextualSpacing/>
        <w:jc w:val="both"/>
        <w:rPr>
          <w:rFonts w:ascii="Arial" w:hAnsi="Arial" w:cs="Arial"/>
          <w:bCs/>
          <w:color w:val="000000"/>
          <w:sz w:val="24"/>
          <w:szCs w:val="24"/>
        </w:rPr>
      </w:pPr>
      <w:r w:rsidRPr="00A77C58">
        <w:rPr>
          <w:rFonts w:ascii="Arial" w:hAnsi="Arial" w:cs="Arial"/>
          <w:bCs/>
          <w:color w:val="000000"/>
          <w:sz w:val="24"/>
          <w:szCs w:val="24"/>
        </w:rPr>
        <w:t>We estimate disability- and chronic</w:t>
      </w:r>
      <w:r w:rsidR="003221BE">
        <w:rPr>
          <w:rFonts w:ascii="Arial" w:hAnsi="Arial" w:cs="Arial"/>
          <w:bCs/>
          <w:color w:val="000000"/>
          <w:sz w:val="24"/>
          <w:szCs w:val="24"/>
        </w:rPr>
        <w:t xml:space="preserve"> disease-</w:t>
      </w:r>
      <w:r w:rsidRPr="00A77C58">
        <w:rPr>
          <w:rFonts w:ascii="Arial" w:hAnsi="Arial" w:cs="Arial"/>
          <w:bCs/>
          <w:color w:val="000000"/>
          <w:sz w:val="24"/>
          <w:szCs w:val="24"/>
        </w:rPr>
        <w:t>free life expectancies (DFLE and CFLE) for ages 60 and over using the Sullivan Method</w:t>
      </w:r>
      <w:r w:rsidR="000E32ED">
        <w:rPr>
          <w:rFonts w:ascii="Arial" w:hAnsi="Arial" w:cs="Arial"/>
          <w:bCs/>
          <w:color w:val="000000"/>
          <w:sz w:val="24"/>
          <w:szCs w:val="24"/>
        </w:rPr>
        <w:t xml:space="preserve"> </w:t>
      </w:r>
      <w:r w:rsidR="000E32ED">
        <w:rPr>
          <w:rFonts w:ascii="Arial" w:hAnsi="Arial" w:cs="Arial"/>
          <w:bCs/>
          <w:color w:val="000000"/>
          <w:sz w:val="24"/>
          <w:szCs w:val="24"/>
        </w:rPr>
        <w:fldChar w:fldCharType="begin" w:fldLock="1"/>
      </w:r>
      <w:r w:rsidR="007C55AA">
        <w:rPr>
          <w:rFonts w:ascii="Arial" w:hAnsi="Arial" w:cs="Arial"/>
          <w:bCs/>
          <w:color w:val="000000"/>
          <w:sz w:val="24"/>
          <w:szCs w:val="24"/>
        </w:rPr>
        <w:instrText>ADDIN CSL_CITATION {"citationItems":[{"id":"ITEM-1","itemData":{"ISSN":"0083-1204","PMID":"5554262","author":[{"dropping-particle":"","family":"Sullivan","given":"D.F","non-dropping-particle":"","parse-names":false,"suffix":""}],"container-title":"HSMHA health reports","id":"ITEM-1","issue":"4","issued":{"date-parts":[["1971","4"]]},"page":"347-54","title":"A single index of mortality and morbidity","type":"article-journal","volume":"86"},"uris":["http://www.mendeley.com/documents/?uuid=53ae6c7c-eab6-4718-8411-68f9d0e12fb1"]},{"id":"ITEM-2","itemData":{"DOI":"10.3233/SJI-140840","ISSN":"18747655","abstract":"Health expectancy is an essential population health indicator and can be used to monitor changes and/or assess differences in population health. This article provides a brief overview of health expectancy and the issues to be considered in operationalizing and interpreting health expectancy. The article introduces the concept of health expectancy, discusses measures used to compute health expectancy, and methods of calculation. The discussion of measures relates health expectancy to the concept of \"health\" and clarifies that values of health expectancy depend on how \"health\" is defined. Software available to compute health expectancy including IMaCh, SPACE and ELECT are also briefly introduced.","author":[{"dropping-particle":"","family":"Saito","given":"Yasuhiko","non-dropping-particle":"","parse-names":false,"suffix":""},{"dropping-particle":"","family":"Robine","given":"Jean Marie","non-dropping-particle":"","parse-names":false,"suffix":""},{"dropping-particle":"","family":"Crimmins","given":"Eileen M.","non-dropping-particle":"","parse-names":false,"suffix":""}],"container-title":"Statistical Journal of the IAOS","id":"ITEM-2","issue":"3","issued":{"date-parts":[["2014"]]},"page":"209-223","title":"The methods and materials of health expectancy","type":"article-journal","volume":"30"},"uris":["http://www.mendeley.com/documents/?uuid=ed2247c9-abba-4d54-be15-21ee588d9cc1"]},{"id":"ITEM-3","itemData":{"DOI":"10.2105/AJPH.2016.303120","author":[{"dropping-particle":"","family":"Crimmins","given":"Eileen M","non-dropping-particle":"","parse-names":false,"suffix":""},{"dropping-particle":"","family":"Zhang","given":"Yuan","non-dropping-particle":"","parse-names":false,"suffix":""},{"dropping-particle":"","family":"Saito","given":"Yasuhiko","non-dropping-particle":"","parse-names":false,"suffix":""}],"id":"ITEM-3","issue":"7","issued":{"date-parts":[["2016"]]},"page":"1287-1293","title":"Trends Over 4 Decades in Disability-Free Life Expectancy in the United States","type":"article-journal","volume":"106"},"uris":["http://www.mendeley.com/documents/?uuid=5f91cfd1-0d5c-4fca-a8ba-8668d91b3001"]}],"mendeley":{"formattedCitation":"(24–26)","plainTextFormattedCitation":"(24–26)","previouslyFormattedCitation":"(24–26)"},"properties":{"noteIndex":0},"schema":"https://github.com/citation-style-language/schema/raw/master/csl-citation.json"}</w:instrText>
      </w:r>
      <w:r w:rsidR="000E32ED">
        <w:rPr>
          <w:rFonts w:ascii="Arial" w:hAnsi="Arial" w:cs="Arial"/>
          <w:bCs/>
          <w:color w:val="000000"/>
          <w:sz w:val="24"/>
          <w:szCs w:val="24"/>
        </w:rPr>
        <w:fldChar w:fldCharType="separate"/>
      </w:r>
      <w:r w:rsidR="006E3374" w:rsidRPr="006E3374">
        <w:rPr>
          <w:rFonts w:ascii="Arial" w:hAnsi="Arial" w:cs="Arial"/>
          <w:bCs/>
          <w:noProof/>
          <w:color w:val="000000"/>
          <w:sz w:val="24"/>
          <w:szCs w:val="24"/>
        </w:rPr>
        <w:t>(24–26)</w:t>
      </w:r>
      <w:r w:rsidR="000E32ED">
        <w:rPr>
          <w:rFonts w:ascii="Arial" w:hAnsi="Arial" w:cs="Arial"/>
          <w:bCs/>
          <w:color w:val="000000"/>
          <w:sz w:val="24"/>
          <w:szCs w:val="24"/>
        </w:rPr>
        <w:fldChar w:fldCharType="end"/>
      </w:r>
      <w:r w:rsidR="00892FE1">
        <w:rPr>
          <w:rFonts w:ascii="Arial" w:hAnsi="Arial" w:cs="Arial"/>
          <w:bCs/>
          <w:color w:val="000000"/>
          <w:sz w:val="24"/>
          <w:szCs w:val="24"/>
        </w:rPr>
        <w:t xml:space="preserve">. </w:t>
      </w:r>
      <w:r w:rsidRPr="00A77C58">
        <w:rPr>
          <w:rFonts w:ascii="Arial" w:hAnsi="Arial" w:cs="Arial"/>
          <w:bCs/>
          <w:color w:val="000000"/>
          <w:sz w:val="24"/>
          <w:szCs w:val="24"/>
        </w:rPr>
        <w:t xml:space="preserve">For disability, we use the harmonized dummy variable constructed from a 5-item list of activities of daily living (ADLs), which include bathing, dressing, eating, getting in and out of bed, and using the toilet. For chronic </w:t>
      </w:r>
      <w:r w:rsidR="004B6AEE">
        <w:rPr>
          <w:rFonts w:ascii="Arial" w:hAnsi="Arial" w:cs="Arial"/>
          <w:bCs/>
          <w:color w:val="000000"/>
          <w:sz w:val="24"/>
          <w:szCs w:val="24"/>
        </w:rPr>
        <w:t xml:space="preserve">doctor diagnosed </w:t>
      </w:r>
      <w:r w:rsidRPr="00A77C58">
        <w:rPr>
          <w:rFonts w:ascii="Arial" w:hAnsi="Arial" w:cs="Arial"/>
          <w:bCs/>
          <w:color w:val="000000"/>
          <w:sz w:val="24"/>
          <w:szCs w:val="24"/>
        </w:rPr>
        <w:t xml:space="preserve">diseases, we use the harmonized variables on specific chronic conditions diagnosed by a physician, which include diabetes, heart conditions, arthritis, cancer, </w:t>
      </w:r>
      <w:proofErr w:type="gramStart"/>
      <w:r w:rsidRPr="00A77C58">
        <w:rPr>
          <w:rFonts w:ascii="Arial" w:hAnsi="Arial" w:cs="Arial"/>
          <w:bCs/>
          <w:color w:val="000000"/>
          <w:sz w:val="24"/>
          <w:szCs w:val="24"/>
        </w:rPr>
        <w:t>stroke</w:t>
      </w:r>
      <w:proofErr w:type="gramEnd"/>
      <w:r w:rsidRPr="00A77C58">
        <w:rPr>
          <w:rFonts w:ascii="Arial" w:hAnsi="Arial" w:cs="Arial"/>
          <w:bCs/>
          <w:color w:val="000000"/>
          <w:sz w:val="24"/>
          <w:szCs w:val="24"/>
        </w:rPr>
        <w:t xml:space="preserve"> and lung disease. We use waves pertaining to year 2014-2015 (HRS: Wave 12; ELSA: Wave 7; SHARE: Wave 6; </w:t>
      </w:r>
      <w:proofErr w:type="spellStart"/>
      <w:r w:rsidRPr="00A77C58">
        <w:rPr>
          <w:rFonts w:ascii="Arial" w:hAnsi="Arial" w:cs="Arial"/>
          <w:bCs/>
          <w:color w:val="000000"/>
          <w:sz w:val="24"/>
          <w:szCs w:val="24"/>
        </w:rPr>
        <w:t>KLoSA</w:t>
      </w:r>
      <w:proofErr w:type="spellEnd"/>
      <w:r w:rsidRPr="00A77C58">
        <w:rPr>
          <w:rFonts w:ascii="Arial" w:hAnsi="Arial" w:cs="Arial"/>
          <w:bCs/>
          <w:color w:val="000000"/>
          <w:sz w:val="24"/>
          <w:szCs w:val="24"/>
        </w:rPr>
        <w:t xml:space="preserve">: Wave 5; CHARLS: Wave 2; and LASI Wave 1). The only exception is India, since the first wave of LASI was carried on between 2017-2019. </w:t>
      </w:r>
      <w:r w:rsidR="00F90A76" w:rsidRPr="00A77C58">
        <w:rPr>
          <w:rFonts w:ascii="Arial" w:hAnsi="Arial" w:cs="Arial"/>
          <w:bCs/>
          <w:color w:val="000000"/>
          <w:sz w:val="24"/>
          <w:szCs w:val="24"/>
        </w:rPr>
        <w:t xml:space="preserve">The choice of years refers to the most recent waves for which harmonized data on health for this set of countries is available and there is concordance across surveys.  </w:t>
      </w:r>
      <w:r w:rsidRPr="00A77C58">
        <w:rPr>
          <w:rFonts w:ascii="Arial" w:hAnsi="Arial" w:cs="Arial"/>
          <w:bCs/>
          <w:color w:val="000000"/>
          <w:sz w:val="24"/>
          <w:szCs w:val="24"/>
        </w:rPr>
        <w:t>We focus on age 60 and above to be coherent towards the definition of old age across countries. While most developed countries define old age as 65, for China and Mexico it is age 60. Lastly, we apply the continuous change decomposition method</w:t>
      </w:r>
      <w:r w:rsidR="00C3219F">
        <w:rPr>
          <w:rFonts w:ascii="Arial" w:hAnsi="Arial" w:cs="Arial"/>
          <w:bCs/>
          <w:color w:val="000000"/>
          <w:sz w:val="24"/>
          <w:szCs w:val="24"/>
        </w:rPr>
        <w:t xml:space="preserve"> </w:t>
      </w:r>
      <w:r w:rsidR="00C3219F">
        <w:rPr>
          <w:rFonts w:ascii="Arial" w:hAnsi="Arial" w:cs="Arial"/>
          <w:bCs/>
          <w:color w:val="000000"/>
          <w:sz w:val="24"/>
          <w:szCs w:val="24"/>
        </w:rPr>
        <w:fldChar w:fldCharType="begin" w:fldLock="1"/>
      </w:r>
      <w:r w:rsidR="007C55AA">
        <w:rPr>
          <w:rFonts w:ascii="Arial" w:hAnsi="Arial" w:cs="Arial"/>
          <w:bCs/>
          <w:color w:val="000000"/>
          <w:sz w:val="24"/>
          <w:szCs w:val="24"/>
        </w:rPr>
        <w:instrText>ADDIN CSL_CITATION {"citationItems":[{"id":"ITEM-1","itemData":{"DOI":"10.1353/dem.0.0033","ISSN":"0070-3370","PMID":"19110897","abstract":"A demographic measure is often expressed as a deterministic or stochastic function of multiple variables (covariates), and a general problem (the decomposition problem) is to assess contributions of individual covariates to a difference in the demographic measure (dependent variable) between two populations. We propose a method of decomposition analysis based on an assumption that covariates change continuously along an actual or hypothetical dimension. This assumption leads to a general model that logically justifies the additivity of covariate effects and the elimination of interaction terms, even if the dependent variable itself is a nonadditive function. A comparison with earlier methods illustrates other practical advantages of the method: in addition to an absence of residuals or interaction terms, the method can easily handle a large number of covariates and does not require a logically meaningful ordering of covariates. Two empirical examples show that the method can be applied flexibly to a wide variety of decomposition problems. This study also suggests that when data are available at multiple time points over a long interval, it is more accurate to compute an aggregated decomposition based on multiple subintervals than to compute a single decomposition for the entire study period.","author":[{"dropping-particle":"","family":"Horiuchi","given":"Shiro","non-dropping-particle":"","parse-names":false,"suffix":""},{"dropping-particle":"","family":"Wilmoth","given":"John R","non-dropping-particle":"","parse-names":false,"suffix":""},{"dropping-particle":"","family":"Pletcher","given":"Scott D","non-dropping-particle":"","parse-names":false,"suffix":""}],"container-title":"Demography","id":"ITEM-1","issue":"4","issued":{"date-parts":[["2008"]]},"page":"785-801","title":"A decomposition method based on a model of continuous change.","type":"article-journal","volume":"45"},"uris":["http://www.mendeley.com/documents/?uuid=fea51e1d-bc0d-45e0-8554-6c5ff4eed755"]},{"id":"ITEM-2","itemData":{"DOI":"10.1353/dem.0.0033","author":[{"dropping-particle":"","family":"Riffe","given":"Tim","non-dropping-particle":"","parse-names":false,"suffix":""}],"id":"ITEM-2","issued":{"date-parts":[["2018"]]},"title":"Package 'DemoDecomp' Type Package Title Decompose Demographic Functions","type":"article-journal"},"uris":["http://www.mendeley.com/documents/?uuid=c4f25388-2553-3bf6-8752-093bf4fed107"]}],"mendeley":{"formattedCitation":"(27, 28)","plainTextFormattedCitation":"(27, 28)","previouslyFormattedCitation":"(27, 28)"},"properties":{"noteIndex":0},"schema":"https://github.com/citation-style-language/schema/raw/master/csl-citation.json"}</w:instrText>
      </w:r>
      <w:r w:rsidR="00C3219F">
        <w:rPr>
          <w:rFonts w:ascii="Arial" w:hAnsi="Arial" w:cs="Arial"/>
          <w:bCs/>
          <w:color w:val="000000"/>
          <w:sz w:val="24"/>
          <w:szCs w:val="24"/>
        </w:rPr>
        <w:fldChar w:fldCharType="separate"/>
      </w:r>
      <w:r w:rsidR="006E3374" w:rsidRPr="006E3374">
        <w:rPr>
          <w:rFonts w:ascii="Arial" w:hAnsi="Arial" w:cs="Arial"/>
          <w:bCs/>
          <w:noProof/>
          <w:color w:val="000000"/>
          <w:sz w:val="24"/>
          <w:szCs w:val="24"/>
        </w:rPr>
        <w:t>(27, 28)</w:t>
      </w:r>
      <w:r w:rsidR="00C3219F">
        <w:rPr>
          <w:rFonts w:ascii="Arial" w:hAnsi="Arial" w:cs="Arial"/>
          <w:bCs/>
          <w:color w:val="000000"/>
          <w:sz w:val="24"/>
          <w:szCs w:val="24"/>
        </w:rPr>
        <w:fldChar w:fldCharType="end"/>
      </w:r>
      <w:r w:rsidRPr="00A77C58">
        <w:rPr>
          <w:rFonts w:ascii="Arial" w:hAnsi="Arial" w:cs="Arial"/>
          <w:bCs/>
          <w:color w:val="000000"/>
          <w:sz w:val="24"/>
          <w:szCs w:val="24"/>
        </w:rPr>
        <w:t>, so we can split gender differences in healthy life expectancy into mortality and disability/chronic disease effects by age</w:t>
      </w:r>
      <w:r w:rsidR="00307402">
        <w:rPr>
          <w:rFonts w:ascii="Arial" w:hAnsi="Arial" w:cs="Arial"/>
          <w:bCs/>
          <w:color w:val="000000"/>
          <w:sz w:val="24"/>
          <w:szCs w:val="24"/>
        </w:rPr>
        <w:t xml:space="preserve"> </w:t>
      </w:r>
      <w:r w:rsidR="00307402">
        <w:rPr>
          <w:rFonts w:ascii="Arial" w:hAnsi="Arial" w:cs="Arial"/>
          <w:bCs/>
          <w:color w:val="000000"/>
          <w:sz w:val="24"/>
          <w:szCs w:val="24"/>
        </w:rPr>
        <w:fldChar w:fldCharType="begin" w:fldLock="1"/>
      </w:r>
      <w:r w:rsidR="007C55AA">
        <w:rPr>
          <w:rFonts w:ascii="Arial" w:hAnsi="Arial" w:cs="Arial"/>
          <w:bCs/>
          <w:color w:val="000000"/>
          <w:sz w:val="24"/>
          <w:szCs w:val="24"/>
        </w:rPr>
        <w:instrText>ADDIN CSL_CITATION {"citationItems":[{"id":"ITEM-1","itemData":{"DOI":"10.1007/978-3-030-37668-0_7","author":[{"dropping-particle":"","family":"Raalte","given":"Alyson A.","non-dropping-particle":"van","parse-names":false,"suffix":""},{"dropping-particle":"","family":"Nepomuceno","given":"Marília R.","non-dropping-particle":"","parse-names":false,"suffix":""}],"id":"ITEM-1","issued":{"date-parts":[["2020"]]},"page":"107-122","title":"Decomposing Gaps in Healthy Life Expectancy","type":"chapter"},"uris":["http://www.mendeley.com/documents/?uuid=917c8c59-1e6e-3d3e-b8f6-7a93bf969289"]}],"mendeley":{"formattedCitation":"(29)","plainTextFormattedCitation":"(29)","previouslyFormattedCitation":"(29)"},"properties":{"noteIndex":0},"schema":"https://github.com/citation-style-language/schema/raw/master/csl-citation.json"}</w:instrText>
      </w:r>
      <w:r w:rsidR="00307402">
        <w:rPr>
          <w:rFonts w:ascii="Arial" w:hAnsi="Arial" w:cs="Arial"/>
          <w:bCs/>
          <w:color w:val="000000"/>
          <w:sz w:val="24"/>
          <w:szCs w:val="24"/>
        </w:rPr>
        <w:fldChar w:fldCharType="separate"/>
      </w:r>
      <w:r w:rsidR="006E3374" w:rsidRPr="006E3374">
        <w:rPr>
          <w:rFonts w:ascii="Arial" w:hAnsi="Arial" w:cs="Arial"/>
          <w:bCs/>
          <w:noProof/>
          <w:color w:val="000000"/>
          <w:sz w:val="24"/>
          <w:szCs w:val="24"/>
        </w:rPr>
        <w:t>(29)</w:t>
      </w:r>
      <w:r w:rsidR="00307402">
        <w:rPr>
          <w:rFonts w:ascii="Arial" w:hAnsi="Arial" w:cs="Arial"/>
          <w:bCs/>
          <w:color w:val="000000"/>
          <w:sz w:val="24"/>
          <w:szCs w:val="24"/>
        </w:rPr>
        <w:fldChar w:fldCharType="end"/>
      </w:r>
      <w:r w:rsidR="00307402">
        <w:rPr>
          <w:rFonts w:ascii="Arial" w:hAnsi="Arial" w:cs="Arial"/>
          <w:bCs/>
          <w:color w:val="000000"/>
          <w:sz w:val="24"/>
          <w:szCs w:val="24"/>
        </w:rPr>
        <w:t xml:space="preserve">. </w:t>
      </w:r>
    </w:p>
    <w:p w14:paraId="40EAB570" w14:textId="77777777" w:rsidR="009C71F0" w:rsidRDefault="009C71F0" w:rsidP="00432722">
      <w:pPr>
        <w:keepNext/>
        <w:pBdr>
          <w:top w:val="nil"/>
          <w:left w:val="nil"/>
          <w:bottom w:val="nil"/>
          <w:right w:val="nil"/>
          <w:between w:val="nil"/>
        </w:pBdr>
        <w:spacing w:before="240" w:after="60" w:line="360" w:lineRule="auto"/>
        <w:contextualSpacing/>
        <w:jc w:val="both"/>
        <w:rPr>
          <w:rFonts w:ascii="Arial" w:hAnsi="Arial" w:cs="Arial"/>
          <w:bCs/>
          <w:color w:val="000000"/>
          <w:sz w:val="24"/>
          <w:szCs w:val="24"/>
        </w:rPr>
      </w:pPr>
    </w:p>
    <w:p w14:paraId="5FE9C189" w14:textId="02CCDED9" w:rsidR="00432722" w:rsidRDefault="00AC166F" w:rsidP="00432722">
      <w:pPr>
        <w:keepNext/>
        <w:pBdr>
          <w:top w:val="nil"/>
          <w:left w:val="nil"/>
          <w:bottom w:val="nil"/>
          <w:right w:val="nil"/>
          <w:between w:val="nil"/>
        </w:pBdr>
        <w:spacing w:before="240" w:after="60" w:line="360" w:lineRule="auto"/>
        <w:contextualSpacing/>
        <w:jc w:val="both"/>
        <w:rPr>
          <w:rFonts w:ascii="Arial" w:hAnsi="Arial" w:cs="Arial"/>
          <w:bCs/>
          <w:color w:val="000000"/>
          <w:sz w:val="24"/>
          <w:szCs w:val="24"/>
        </w:rPr>
      </w:pPr>
      <w:r>
        <w:rPr>
          <w:rFonts w:ascii="Arial" w:hAnsi="Arial" w:cs="Arial"/>
          <w:bCs/>
          <w:color w:val="000000"/>
          <w:sz w:val="24"/>
          <w:szCs w:val="24"/>
        </w:rPr>
        <w:t xml:space="preserve">We show how </w:t>
      </w:r>
      <w:r w:rsidR="006A0613">
        <w:rPr>
          <w:rFonts w:ascii="Arial" w:hAnsi="Arial" w:cs="Arial"/>
          <w:bCs/>
          <w:color w:val="000000"/>
          <w:sz w:val="24"/>
          <w:szCs w:val="24"/>
        </w:rPr>
        <w:t xml:space="preserve">the </w:t>
      </w:r>
      <w:r>
        <w:rPr>
          <w:rFonts w:ascii="Arial" w:hAnsi="Arial" w:cs="Arial"/>
          <w:bCs/>
          <w:color w:val="000000"/>
          <w:sz w:val="24"/>
          <w:szCs w:val="24"/>
        </w:rPr>
        <w:t>gender gap</w:t>
      </w:r>
      <w:r w:rsidR="006A0613">
        <w:rPr>
          <w:rFonts w:ascii="Arial" w:hAnsi="Arial" w:cs="Arial"/>
          <w:bCs/>
          <w:color w:val="000000"/>
          <w:sz w:val="24"/>
          <w:szCs w:val="24"/>
        </w:rPr>
        <w:t xml:space="preserve"> in health expectancy for disability and chronic conditions</w:t>
      </w:r>
      <w:r>
        <w:rPr>
          <w:rFonts w:ascii="Arial" w:hAnsi="Arial" w:cs="Arial"/>
          <w:bCs/>
          <w:color w:val="000000"/>
          <w:sz w:val="24"/>
          <w:szCs w:val="24"/>
        </w:rPr>
        <w:t xml:space="preserve"> varies greatly across countries and </w:t>
      </w:r>
      <w:r w:rsidR="00776584">
        <w:rPr>
          <w:rFonts w:ascii="Arial" w:hAnsi="Arial" w:cs="Arial"/>
          <w:bCs/>
          <w:color w:val="000000"/>
          <w:sz w:val="24"/>
          <w:szCs w:val="24"/>
        </w:rPr>
        <w:t xml:space="preserve">that despite </w:t>
      </w:r>
      <w:r w:rsidR="00432722" w:rsidRPr="00432722">
        <w:rPr>
          <w:rFonts w:ascii="Arial" w:hAnsi="Arial" w:cs="Arial"/>
          <w:bCs/>
          <w:color w:val="000000"/>
          <w:sz w:val="24"/>
          <w:szCs w:val="24"/>
        </w:rPr>
        <w:t xml:space="preserve">being </w:t>
      </w:r>
      <w:r>
        <w:rPr>
          <w:rFonts w:ascii="Arial" w:hAnsi="Arial" w:cs="Arial"/>
          <w:bCs/>
          <w:color w:val="000000"/>
          <w:sz w:val="24"/>
          <w:szCs w:val="24"/>
        </w:rPr>
        <w:t>a simple and straightforward way</w:t>
      </w:r>
      <w:r w:rsidR="00432722" w:rsidRPr="00432722">
        <w:rPr>
          <w:rFonts w:ascii="Arial" w:hAnsi="Arial" w:cs="Arial"/>
          <w:bCs/>
          <w:color w:val="000000"/>
          <w:sz w:val="24"/>
          <w:szCs w:val="24"/>
        </w:rPr>
        <w:t xml:space="preserve"> to perform cross-country comparisons and monitor progress, </w:t>
      </w:r>
      <w:r w:rsidR="006A0613">
        <w:rPr>
          <w:rFonts w:ascii="Arial" w:hAnsi="Arial" w:cs="Arial"/>
          <w:bCs/>
          <w:color w:val="000000"/>
          <w:sz w:val="24"/>
          <w:szCs w:val="24"/>
        </w:rPr>
        <w:lastRenderedPageBreak/>
        <w:t xml:space="preserve">gender </w:t>
      </w:r>
      <w:r w:rsidR="00432722" w:rsidRPr="00432722">
        <w:rPr>
          <w:rFonts w:ascii="Arial" w:hAnsi="Arial" w:cs="Arial"/>
          <w:bCs/>
          <w:color w:val="000000"/>
          <w:sz w:val="24"/>
          <w:szCs w:val="24"/>
        </w:rPr>
        <w:t xml:space="preserve">gaps may not be reflecting </w:t>
      </w:r>
      <w:r w:rsidR="006A0613">
        <w:rPr>
          <w:rFonts w:ascii="Arial" w:hAnsi="Arial" w:cs="Arial"/>
          <w:bCs/>
          <w:color w:val="000000"/>
          <w:sz w:val="24"/>
          <w:szCs w:val="24"/>
        </w:rPr>
        <w:t>actual</w:t>
      </w:r>
      <w:r w:rsidR="00432722" w:rsidRPr="00432722">
        <w:rPr>
          <w:rFonts w:ascii="Arial" w:hAnsi="Arial" w:cs="Arial"/>
          <w:bCs/>
          <w:color w:val="000000"/>
          <w:sz w:val="24"/>
          <w:szCs w:val="24"/>
        </w:rPr>
        <w:t xml:space="preserve"> inequalities</w:t>
      </w:r>
      <w:r w:rsidR="0085376D">
        <w:rPr>
          <w:rFonts w:ascii="Arial" w:hAnsi="Arial" w:cs="Arial"/>
          <w:bCs/>
          <w:color w:val="000000"/>
          <w:sz w:val="24"/>
          <w:szCs w:val="24"/>
        </w:rPr>
        <w:t xml:space="preserve"> when it comes to health</w:t>
      </w:r>
      <w:r w:rsidR="00432722" w:rsidRPr="00432722">
        <w:rPr>
          <w:rFonts w:ascii="Arial" w:hAnsi="Arial" w:cs="Arial"/>
          <w:bCs/>
          <w:color w:val="000000"/>
          <w:sz w:val="24"/>
          <w:szCs w:val="24"/>
        </w:rPr>
        <w:t xml:space="preserve">. </w:t>
      </w:r>
      <w:r w:rsidR="004E462C">
        <w:rPr>
          <w:rFonts w:ascii="Arial" w:hAnsi="Arial" w:cs="Arial"/>
          <w:bCs/>
          <w:color w:val="000000"/>
          <w:sz w:val="24"/>
          <w:szCs w:val="24"/>
        </w:rPr>
        <w:t>Hence, it is important to take a more cautionary approach when using and interpretating gender gaps.</w:t>
      </w:r>
    </w:p>
    <w:p w14:paraId="0C355F7A" w14:textId="77777777" w:rsidR="00A86479" w:rsidRDefault="00A86479" w:rsidP="008C5828">
      <w:pPr>
        <w:keepNext/>
        <w:pBdr>
          <w:top w:val="nil"/>
          <w:left w:val="nil"/>
          <w:bottom w:val="nil"/>
          <w:right w:val="nil"/>
          <w:between w:val="nil"/>
        </w:pBdr>
        <w:spacing w:before="240" w:after="60" w:line="360" w:lineRule="auto"/>
        <w:contextualSpacing/>
        <w:jc w:val="both"/>
        <w:rPr>
          <w:rFonts w:ascii="Arial" w:hAnsi="Arial" w:cs="Arial"/>
          <w:bCs/>
          <w:color w:val="000000"/>
          <w:sz w:val="24"/>
          <w:szCs w:val="24"/>
        </w:rPr>
      </w:pPr>
    </w:p>
    <w:p w14:paraId="309FFF92" w14:textId="77777777" w:rsidR="00432722" w:rsidRPr="00775489" w:rsidRDefault="00432722" w:rsidP="00432722">
      <w:pPr>
        <w:keepNext/>
        <w:pBdr>
          <w:top w:val="nil"/>
          <w:left w:val="nil"/>
          <w:bottom w:val="nil"/>
          <w:right w:val="nil"/>
          <w:between w:val="nil"/>
        </w:pBdr>
        <w:spacing w:before="240" w:after="60"/>
        <w:contextualSpacing/>
        <w:rPr>
          <w:rFonts w:ascii="Arial" w:hAnsi="Arial" w:cs="Arial"/>
          <w:b/>
          <w:color w:val="000000"/>
          <w:sz w:val="24"/>
          <w:szCs w:val="24"/>
        </w:rPr>
      </w:pPr>
    </w:p>
    <w:p w14:paraId="07903C02" w14:textId="77777777" w:rsidR="00E6133D" w:rsidRPr="00775489" w:rsidRDefault="00E6133D" w:rsidP="00E6133D">
      <w:pPr>
        <w:keepNext/>
        <w:pBdr>
          <w:top w:val="nil"/>
          <w:left w:val="nil"/>
          <w:bottom w:val="nil"/>
          <w:right w:val="nil"/>
          <w:between w:val="nil"/>
        </w:pBdr>
        <w:spacing w:before="240" w:after="60"/>
        <w:contextualSpacing/>
        <w:rPr>
          <w:rFonts w:ascii="Arial" w:hAnsi="Arial" w:cs="Arial"/>
          <w:b/>
          <w:color w:val="000000"/>
          <w:sz w:val="24"/>
          <w:szCs w:val="24"/>
        </w:rPr>
      </w:pPr>
      <w:r w:rsidRPr="00775489">
        <w:rPr>
          <w:rFonts w:ascii="Arial" w:hAnsi="Arial" w:cs="Arial"/>
          <w:b/>
          <w:color w:val="000000"/>
          <w:sz w:val="24"/>
          <w:szCs w:val="24"/>
        </w:rPr>
        <w:t>Results</w:t>
      </w:r>
    </w:p>
    <w:p w14:paraId="52B4E9C0" w14:textId="6E8A30E6" w:rsidR="00980C22" w:rsidRPr="00775489" w:rsidRDefault="00980C22" w:rsidP="00980C22">
      <w:pPr>
        <w:keepNext/>
        <w:pBdr>
          <w:top w:val="nil"/>
          <w:left w:val="nil"/>
          <w:bottom w:val="nil"/>
          <w:right w:val="nil"/>
          <w:between w:val="nil"/>
        </w:pBdr>
        <w:spacing w:before="240" w:after="60"/>
        <w:contextualSpacing/>
        <w:jc w:val="both"/>
        <w:rPr>
          <w:rFonts w:ascii="Arial" w:hAnsi="Arial" w:cs="Arial"/>
          <w:color w:val="000000"/>
          <w:sz w:val="24"/>
          <w:szCs w:val="24"/>
        </w:rPr>
      </w:pPr>
    </w:p>
    <w:p w14:paraId="01F35063" w14:textId="77777777" w:rsidR="00F05AC8" w:rsidRPr="00F05AC8" w:rsidRDefault="00F05AC8" w:rsidP="00F05AC8">
      <w:pPr>
        <w:keepNext/>
        <w:pBdr>
          <w:top w:val="nil"/>
          <w:left w:val="nil"/>
          <w:bottom w:val="nil"/>
          <w:right w:val="nil"/>
          <w:between w:val="nil"/>
        </w:pBdr>
        <w:spacing w:before="240" w:after="60"/>
        <w:contextualSpacing/>
        <w:jc w:val="both"/>
        <w:rPr>
          <w:rFonts w:ascii="Arial" w:hAnsi="Arial" w:cs="Arial"/>
          <w:color w:val="000000"/>
          <w:sz w:val="24"/>
          <w:szCs w:val="24"/>
        </w:rPr>
      </w:pPr>
    </w:p>
    <w:p w14:paraId="6E5FA799" w14:textId="245D9230" w:rsidR="00F05AC8" w:rsidRPr="003C5713" w:rsidRDefault="00F05AC8" w:rsidP="00F05AC8">
      <w:pPr>
        <w:keepNext/>
        <w:pBdr>
          <w:top w:val="nil"/>
          <w:left w:val="nil"/>
          <w:bottom w:val="nil"/>
          <w:right w:val="nil"/>
          <w:between w:val="nil"/>
        </w:pBdr>
        <w:spacing w:before="240" w:after="60"/>
        <w:contextualSpacing/>
        <w:jc w:val="both"/>
        <w:rPr>
          <w:rFonts w:ascii="Arial" w:hAnsi="Arial" w:cs="Arial"/>
          <w:color w:val="000000"/>
          <w:sz w:val="24"/>
          <w:szCs w:val="24"/>
          <w:highlight w:val="yellow"/>
        </w:rPr>
      </w:pPr>
      <w:r w:rsidRPr="003C5713">
        <w:rPr>
          <w:rFonts w:ascii="Arial" w:hAnsi="Arial" w:cs="Arial"/>
          <w:color w:val="000000"/>
          <w:sz w:val="24"/>
          <w:szCs w:val="24"/>
          <w:highlight w:val="yellow"/>
        </w:rPr>
        <w:t>Make a table with the variables that are significant, but not the full one. Put in the appendix.</w:t>
      </w:r>
    </w:p>
    <w:p w14:paraId="34BDF7C1" w14:textId="77777777" w:rsidR="00F05AC8" w:rsidRPr="003C5713" w:rsidRDefault="00F05AC8" w:rsidP="00F05AC8">
      <w:pPr>
        <w:keepNext/>
        <w:pBdr>
          <w:top w:val="nil"/>
          <w:left w:val="nil"/>
          <w:bottom w:val="nil"/>
          <w:right w:val="nil"/>
          <w:between w:val="nil"/>
        </w:pBdr>
        <w:spacing w:before="240" w:after="60"/>
        <w:contextualSpacing/>
        <w:jc w:val="both"/>
        <w:rPr>
          <w:rFonts w:ascii="Arial" w:hAnsi="Arial" w:cs="Arial"/>
          <w:color w:val="000000"/>
          <w:sz w:val="24"/>
          <w:szCs w:val="24"/>
          <w:highlight w:val="yellow"/>
        </w:rPr>
      </w:pPr>
    </w:p>
    <w:p w14:paraId="66AD9D48" w14:textId="77777777" w:rsidR="00F05AC8" w:rsidRPr="003C5713" w:rsidRDefault="00F05AC8" w:rsidP="00F05AC8">
      <w:pPr>
        <w:keepNext/>
        <w:pBdr>
          <w:top w:val="nil"/>
          <w:left w:val="nil"/>
          <w:bottom w:val="nil"/>
          <w:right w:val="nil"/>
          <w:between w:val="nil"/>
        </w:pBdr>
        <w:spacing w:before="240" w:after="60"/>
        <w:contextualSpacing/>
        <w:jc w:val="both"/>
        <w:rPr>
          <w:rFonts w:ascii="Arial" w:hAnsi="Arial" w:cs="Arial"/>
          <w:color w:val="000000"/>
          <w:sz w:val="24"/>
          <w:szCs w:val="24"/>
          <w:highlight w:val="yellow"/>
        </w:rPr>
      </w:pPr>
      <w:r w:rsidRPr="003C5713">
        <w:rPr>
          <w:rFonts w:ascii="Arial" w:hAnsi="Arial" w:cs="Arial"/>
          <w:color w:val="000000"/>
          <w:sz w:val="24"/>
          <w:szCs w:val="24"/>
          <w:highlight w:val="yellow"/>
        </w:rPr>
        <w:t>Focus on the decomposition at age 60+.</w:t>
      </w:r>
    </w:p>
    <w:p w14:paraId="2D77B7F0" w14:textId="77777777" w:rsidR="00F05AC8" w:rsidRPr="003C5713" w:rsidRDefault="00F05AC8" w:rsidP="00F05AC8">
      <w:pPr>
        <w:keepNext/>
        <w:pBdr>
          <w:top w:val="nil"/>
          <w:left w:val="nil"/>
          <w:bottom w:val="nil"/>
          <w:right w:val="nil"/>
          <w:between w:val="nil"/>
        </w:pBdr>
        <w:spacing w:before="240" w:after="60"/>
        <w:contextualSpacing/>
        <w:jc w:val="both"/>
        <w:rPr>
          <w:rFonts w:ascii="Arial" w:hAnsi="Arial" w:cs="Arial"/>
          <w:color w:val="000000"/>
          <w:sz w:val="24"/>
          <w:szCs w:val="24"/>
          <w:highlight w:val="yellow"/>
        </w:rPr>
      </w:pPr>
    </w:p>
    <w:p w14:paraId="64D8316D" w14:textId="77777777" w:rsidR="00F05AC8" w:rsidRPr="003C5713" w:rsidRDefault="00F05AC8" w:rsidP="00F05AC8">
      <w:pPr>
        <w:keepNext/>
        <w:pBdr>
          <w:top w:val="nil"/>
          <w:left w:val="nil"/>
          <w:bottom w:val="nil"/>
          <w:right w:val="nil"/>
          <w:between w:val="nil"/>
        </w:pBdr>
        <w:spacing w:before="240" w:after="60"/>
        <w:contextualSpacing/>
        <w:jc w:val="both"/>
        <w:rPr>
          <w:rFonts w:ascii="Arial" w:hAnsi="Arial" w:cs="Arial"/>
          <w:color w:val="000000"/>
          <w:sz w:val="24"/>
          <w:szCs w:val="24"/>
          <w:highlight w:val="yellow"/>
        </w:rPr>
      </w:pPr>
    </w:p>
    <w:p w14:paraId="4682DA92" w14:textId="0DE69FE4" w:rsidR="009B1C32" w:rsidRDefault="00F05AC8" w:rsidP="00F05AC8">
      <w:pPr>
        <w:keepNext/>
        <w:pBdr>
          <w:top w:val="nil"/>
          <w:left w:val="nil"/>
          <w:bottom w:val="nil"/>
          <w:right w:val="nil"/>
          <w:between w:val="nil"/>
        </w:pBdr>
        <w:spacing w:before="240" w:after="60"/>
        <w:contextualSpacing/>
        <w:jc w:val="both"/>
        <w:rPr>
          <w:rFonts w:ascii="Arial" w:hAnsi="Arial" w:cs="Arial"/>
          <w:color w:val="000000"/>
          <w:sz w:val="24"/>
          <w:szCs w:val="24"/>
        </w:rPr>
      </w:pPr>
      <w:r w:rsidRPr="003C5713">
        <w:rPr>
          <w:rFonts w:ascii="Arial" w:hAnsi="Arial" w:cs="Arial"/>
          <w:color w:val="000000"/>
          <w:sz w:val="24"/>
          <w:szCs w:val="24"/>
          <w:highlight w:val="yellow"/>
        </w:rPr>
        <w:t>The relationship between the gender gap and other indicators of gender inequality</w:t>
      </w:r>
    </w:p>
    <w:p w14:paraId="6390958A" w14:textId="3CC5B350" w:rsidR="003C5713" w:rsidRDefault="003C5713" w:rsidP="00F05AC8">
      <w:pPr>
        <w:keepNext/>
        <w:pBdr>
          <w:top w:val="nil"/>
          <w:left w:val="nil"/>
          <w:bottom w:val="nil"/>
          <w:right w:val="nil"/>
          <w:between w:val="nil"/>
        </w:pBdr>
        <w:spacing w:before="240" w:after="60"/>
        <w:contextualSpacing/>
        <w:jc w:val="both"/>
        <w:rPr>
          <w:rFonts w:ascii="Arial" w:hAnsi="Arial" w:cs="Arial"/>
          <w:color w:val="000000"/>
          <w:sz w:val="24"/>
          <w:szCs w:val="24"/>
        </w:rPr>
      </w:pPr>
    </w:p>
    <w:p w14:paraId="077CD849" w14:textId="77777777" w:rsidR="003C5713" w:rsidRPr="00775489" w:rsidRDefault="003C5713" w:rsidP="00F05AC8">
      <w:pPr>
        <w:keepNext/>
        <w:pBdr>
          <w:top w:val="nil"/>
          <w:left w:val="nil"/>
          <w:bottom w:val="nil"/>
          <w:right w:val="nil"/>
          <w:between w:val="nil"/>
        </w:pBdr>
        <w:spacing w:before="240" w:after="60"/>
        <w:contextualSpacing/>
        <w:jc w:val="both"/>
        <w:rPr>
          <w:rFonts w:ascii="Arial" w:hAnsi="Arial" w:cs="Arial"/>
          <w:color w:val="000000"/>
          <w:sz w:val="24"/>
          <w:szCs w:val="24"/>
        </w:rPr>
      </w:pPr>
    </w:p>
    <w:p w14:paraId="01785B12" w14:textId="77777777" w:rsidR="00980C22" w:rsidRPr="00775489" w:rsidRDefault="00980C22" w:rsidP="00980C22">
      <w:pPr>
        <w:keepNext/>
        <w:pBdr>
          <w:top w:val="nil"/>
          <w:left w:val="nil"/>
          <w:bottom w:val="nil"/>
          <w:right w:val="nil"/>
          <w:between w:val="nil"/>
        </w:pBdr>
        <w:spacing w:before="240" w:after="60"/>
        <w:contextualSpacing/>
        <w:jc w:val="both"/>
        <w:rPr>
          <w:rFonts w:ascii="Arial" w:hAnsi="Arial" w:cs="Arial"/>
          <w:color w:val="000000"/>
          <w:sz w:val="24"/>
          <w:szCs w:val="24"/>
        </w:rPr>
      </w:pPr>
    </w:p>
    <w:p w14:paraId="014A7FBC" w14:textId="6180E063" w:rsidR="00E6133D" w:rsidRPr="00775489" w:rsidRDefault="00474D11" w:rsidP="00E6133D">
      <w:pPr>
        <w:pBdr>
          <w:top w:val="nil"/>
          <w:left w:val="nil"/>
          <w:bottom w:val="nil"/>
          <w:right w:val="nil"/>
          <w:between w:val="nil"/>
        </w:pBdr>
        <w:contextualSpacing/>
        <w:rPr>
          <w:rFonts w:ascii="Arial" w:hAnsi="Arial" w:cs="Arial"/>
          <w:color w:val="000000"/>
          <w:sz w:val="24"/>
          <w:szCs w:val="24"/>
        </w:rPr>
      </w:pPr>
      <w:r w:rsidRPr="00775489">
        <w:rPr>
          <w:rFonts w:ascii="Arial" w:hAnsi="Arial" w:cs="Arial"/>
          <w:b/>
          <w:color w:val="000000"/>
          <w:sz w:val="24"/>
          <w:szCs w:val="24"/>
        </w:rPr>
        <w:t>Discussion</w:t>
      </w:r>
      <w:r w:rsidR="00E6133D" w:rsidRPr="00775489">
        <w:rPr>
          <w:rFonts w:ascii="Arial" w:hAnsi="Arial" w:cs="Arial"/>
          <w:b/>
          <w:color w:val="000000"/>
          <w:sz w:val="24"/>
          <w:szCs w:val="24"/>
        </w:rPr>
        <w:t xml:space="preserve"> </w:t>
      </w:r>
    </w:p>
    <w:p w14:paraId="2212F9A2" w14:textId="77777777" w:rsidR="00980C22" w:rsidRPr="00775489" w:rsidRDefault="00980C22" w:rsidP="00980C22">
      <w:pPr>
        <w:pBdr>
          <w:top w:val="nil"/>
          <w:left w:val="nil"/>
          <w:bottom w:val="nil"/>
          <w:right w:val="nil"/>
          <w:between w:val="nil"/>
        </w:pBdr>
        <w:spacing w:after="0"/>
        <w:contextualSpacing/>
        <w:rPr>
          <w:rFonts w:ascii="Arial" w:hAnsi="Arial" w:cs="Arial"/>
          <w:color w:val="000000"/>
          <w:sz w:val="24"/>
          <w:szCs w:val="24"/>
        </w:rPr>
      </w:pPr>
    </w:p>
    <w:p w14:paraId="21345C28" w14:textId="567F9A04" w:rsidR="00D509E4" w:rsidRDefault="00B84BAC" w:rsidP="002915AC">
      <w:pPr>
        <w:pBdr>
          <w:top w:val="nil"/>
          <w:left w:val="nil"/>
          <w:bottom w:val="nil"/>
          <w:right w:val="nil"/>
          <w:between w:val="nil"/>
        </w:pBdr>
        <w:spacing w:after="0" w:line="360" w:lineRule="auto"/>
        <w:contextualSpacing/>
        <w:jc w:val="both"/>
        <w:rPr>
          <w:rFonts w:ascii="Arial" w:hAnsi="Arial" w:cs="Arial"/>
          <w:bCs/>
          <w:color w:val="000000"/>
          <w:sz w:val="24"/>
          <w:szCs w:val="24"/>
        </w:rPr>
      </w:pPr>
      <w:r>
        <w:rPr>
          <w:rFonts w:ascii="Arial" w:hAnsi="Arial" w:cs="Arial"/>
          <w:bCs/>
          <w:color w:val="000000"/>
          <w:sz w:val="24"/>
          <w:szCs w:val="24"/>
        </w:rPr>
        <w:t>Reducing</w:t>
      </w:r>
      <w:r w:rsidR="00D509E4" w:rsidRPr="00D509E4">
        <w:rPr>
          <w:rFonts w:ascii="Arial" w:hAnsi="Arial" w:cs="Arial"/>
          <w:bCs/>
          <w:color w:val="000000"/>
          <w:sz w:val="24"/>
          <w:szCs w:val="24"/>
        </w:rPr>
        <w:t xml:space="preserve"> </w:t>
      </w:r>
      <w:r>
        <w:rPr>
          <w:rFonts w:ascii="Arial" w:hAnsi="Arial" w:cs="Arial"/>
          <w:bCs/>
          <w:color w:val="000000"/>
          <w:sz w:val="24"/>
          <w:szCs w:val="24"/>
        </w:rPr>
        <w:t xml:space="preserve">gender </w:t>
      </w:r>
      <w:r w:rsidR="00D509E4" w:rsidRPr="00D509E4">
        <w:rPr>
          <w:rFonts w:ascii="Arial" w:hAnsi="Arial" w:cs="Arial"/>
          <w:bCs/>
          <w:color w:val="000000"/>
          <w:sz w:val="24"/>
          <w:szCs w:val="24"/>
        </w:rPr>
        <w:t>gap</w:t>
      </w:r>
      <w:r>
        <w:rPr>
          <w:rFonts w:ascii="Arial" w:hAnsi="Arial" w:cs="Arial"/>
          <w:bCs/>
          <w:color w:val="000000"/>
          <w:sz w:val="24"/>
          <w:szCs w:val="24"/>
        </w:rPr>
        <w:t>s in health expectancy</w:t>
      </w:r>
      <w:r w:rsidR="00D509E4" w:rsidRPr="00D509E4">
        <w:rPr>
          <w:rFonts w:ascii="Arial" w:hAnsi="Arial" w:cs="Arial"/>
          <w:bCs/>
          <w:color w:val="000000"/>
          <w:sz w:val="24"/>
          <w:szCs w:val="24"/>
        </w:rPr>
        <w:t xml:space="preserve"> </w:t>
      </w:r>
      <w:r w:rsidR="002F7378">
        <w:rPr>
          <w:rFonts w:ascii="Arial" w:hAnsi="Arial" w:cs="Arial"/>
          <w:bCs/>
          <w:color w:val="000000"/>
          <w:sz w:val="24"/>
          <w:szCs w:val="24"/>
        </w:rPr>
        <w:t xml:space="preserve">may not necessarily </w:t>
      </w:r>
      <w:r w:rsidR="00D509E4" w:rsidRPr="00D509E4">
        <w:rPr>
          <w:rFonts w:ascii="Arial" w:hAnsi="Arial" w:cs="Arial"/>
          <w:bCs/>
          <w:color w:val="000000"/>
          <w:sz w:val="24"/>
          <w:szCs w:val="24"/>
        </w:rPr>
        <w:t>mean that we are reducing inequality</w:t>
      </w:r>
      <w:r w:rsidR="00DD6976">
        <w:rPr>
          <w:rFonts w:ascii="Arial" w:hAnsi="Arial" w:cs="Arial"/>
          <w:bCs/>
          <w:color w:val="000000"/>
          <w:sz w:val="24"/>
          <w:szCs w:val="24"/>
        </w:rPr>
        <w:t xml:space="preserve"> between women and men</w:t>
      </w:r>
      <w:r w:rsidR="00D509E4" w:rsidRPr="00D509E4">
        <w:rPr>
          <w:rFonts w:ascii="Arial" w:hAnsi="Arial" w:cs="Arial"/>
          <w:bCs/>
          <w:color w:val="000000"/>
          <w:sz w:val="24"/>
          <w:szCs w:val="24"/>
        </w:rPr>
        <w:t xml:space="preserve">. Using the gap as a measure of inequality in gender differences in health and mortality is tempting and seems straightforward. Despite being a simple and overall useful measure, it is important to take a cautionary approach when interpreting those gaps. </w:t>
      </w:r>
    </w:p>
    <w:p w14:paraId="2C11522A" w14:textId="77777777" w:rsidR="00871123" w:rsidRDefault="00871123" w:rsidP="002915AC">
      <w:pPr>
        <w:pBdr>
          <w:top w:val="nil"/>
          <w:left w:val="nil"/>
          <w:bottom w:val="nil"/>
          <w:right w:val="nil"/>
          <w:between w:val="nil"/>
        </w:pBdr>
        <w:spacing w:after="0" w:line="360" w:lineRule="auto"/>
        <w:contextualSpacing/>
        <w:jc w:val="both"/>
        <w:rPr>
          <w:rFonts w:ascii="Arial" w:hAnsi="Arial" w:cs="Arial"/>
          <w:bCs/>
          <w:color w:val="000000"/>
          <w:sz w:val="24"/>
          <w:szCs w:val="24"/>
        </w:rPr>
      </w:pPr>
    </w:p>
    <w:p w14:paraId="7550C69C" w14:textId="595BA71D" w:rsidR="00E6133D" w:rsidRDefault="00FF55C7" w:rsidP="002915AC">
      <w:pPr>
        <w:pBdr>
          <w:top w:val="nil"/>
          <w:left w:val="nil"/>
          <w:bottom w:val="nil"/>
          <w:right w:val="nil"/>
          <w:between w:val="nil"/>
        </w:pBdr>
        <w:spacing w:after="0" w:line="360" w:lineRule="auto"/>
        <w:contextualSpacing/>
        <w:jc w:val="both"/>
        <w:rPr>
          <w:rFonts w:ascii="Arial" w:hAnsi="Arial" w:cs="Arial"/>
          <w:bCs/>
          <w:color w:val="000000"/>
          <w:sz w:val="24"/>
          <w:szCs w:val="24"/>
        </w:rPr>
      </w:pPr>
      <w:r>
        <w:rPr>
          <w:rFonts w:ascii="Arial" w:hAnsi="Arial" w:cs="Arial"/>
          <w:bCs/>
          <w:color w:val="000000"/>
          <w:sz w:val="24"/>
          <w:szCs w:val="24"/>
        </w:rPr>
        <w:t xml:space="preserve">Taking gender gaps as a standpoint for conducting studies on gender differences when they are not appropriate for that purpose </w:t>
      </w:r>
      <w:r w:rsidR="00D509E4" w:rsidRPr="00D509E4">
        <w:rPr>
          <w:rFonts w:ascii="Arial" w:hAnsi="Arial" w:cs="Arial"/>
          <w:bCs/>
          <w:color w:val="000000"/>
          <w:sz w:val="24"/>
          <w:szCs w:val="24"/>
        </w:rPr>
        <w:t xml:space="preserve">may also explain why some studies find conflicting results or no correlation between cross-national variation in gender gaps and societal-level gender inequality </w:t>
      </w:r>
      <w:r w:rsidR="00D509E4">
        <w:rPr>
          <w:rFonts w:ascii="Arial" w:hAnsi="Arial" w:cs="Arial"/>
          <w:bCs/>
          <w:color w:val="000000"/>
          <w:sz w:val="24"/>
          <w:szCs w:val="24"/>
        </w:rPr>
        <w:fldChar w:fldCharType="begin" w:fldLock="1"/>
      </w:r>
      <w:r w:rsidR="007C55AA">
        <w:rPr>
          <w:rFonts w:ascii="Arial" w:hAnsi="Arial" w:cs="Arial"/>
          <w:bCs/>
          <w:color w:val="000000"/>
          <w:sz w:val="24"/>
          <w:szCs w:val="24"/>
        </w:rPr>
        <w:instrText>ADDIN CSL_CITATION {"citationItems":[{"id":"ITEM-1","itemData":{"DOI":"10.1016/J.SOCSCIMED.2013.08.028","ISSN":"02779536","PMID":"24331878","abstract":"Multiple studies have found that women report being in worse health despite living longer. Gender gaps vary cross-nationally, but relatively little is known about the causes of comparative differences. Existing literature is inconclusive as to whether gender gaps in health are smaller in more gender equal societies. We analyze gender gaps in self-rated health (SRH) and limiting longstanding illness (LLI) with five waves of European Social Survey data for 191,104 respondents from 28 countries. We use means, odds ratios, logistic regressions, and multilevel random slopes logistic regressions. Gender gaps in subjective health vary visibly across Europe. In many countries (especially in Eastern and Southern Europe), women report distinctly worse health, while in others (such as Estonia, Finland, and Great Britain) there are small or no differences. Logistic regressions ran separately for each country revealed that individual-level socioeconomic and demographic variables explain a majority of these gaps in some countries, but contribute little to their understanding in most countries. In yet other countries, men had worse health when these variables were controlled for. Cross-national variation in the gender gaps exists after accounting for individual-level factors. Against expectations, the remaining gaps are not systematically related to societal-level gender inequality in the multilevel analyses. Our findings stress persistent cross-national variability in gender gaps in health and call for further analysis. © 2013 Elsevier Ltd.","author":[{"dropping-particle":"","family":"Dahlin","given":"Johanna","non-dropping-particle":"","parse-names":false,"suffix":""},{"dropping-particle":"","family":"Härkönen","given":"Juho","non-dropping-particle":"","parse-names":false,"suffix":""}],"container-title":"Social Science and Medicine","id":"ITEM-1","issued":{"date-parts":[["2013","12"]]},"page":"24-28","title":"Cross-national differences in the gender gap in subjective health in Europe: Does country-level gender equality matter?","type":"article-journal","volume":"98"},"uris":["http://www.mendeley.com/documents/?uuid=2e0b4eed-b1e8-39d4-993a-4b3e17db333d"]}],"mendeley":{"formattedCitation":"(30)","plainTextFormattedCitation":"(30)","previouslyFormattedCitation":"(30)"},"properties":{"noteIndex":0},"schema":"https://github.com/citation-style-language/schema/raw/master/csl-citation.json"}</w:instrText>
      </w:r>
      <w:r w:rsidR="00D509E4">
        <w:rPr>
          <w:rFonts w:ascii="Arial" w:hAnsi="Arial" w:cs="Arial"/>
          <w:bCs/>
          <w:color w:val="000000"/>
          <w:sz w:val="24"/>
          <w:szCs w:val="24"/>
        </w:rPr>
        <w:fldChar w:fldCharType="separate"/>
      </w:r>
      <w:r w:rsidR="006E3374" w:rsidRPr="006E3374">
        <w:rPr>
          <w:rFonts w:ascii="Arial" w:hAnsi="Arial" w:cs="Arial"/>
          <w:bCs/>
          <w:noProof/>
          <w:color w:val="000000"/>
          <w:sz w:val="24"/>
          <w:szCs w:val="24"/>
        </w:rPr>
        <w:t>(30)</w:t>
      </w:r>
      <w:r w:rsidR="00D509E4">
        <w:rPr>
          <w:rFonts w:ascii="Arial" w:hAnsi="Arial" w:cs="Arial"/>
          <w:bCs/>
          <w:color w:val="000000"/>
          <w:sz w:val="24"/>
          <w:szCs w:val="24"/>
        </w:rPr>
        <w:fldChar w:fldCharType="end"/>
      </w:r>
      <w:r w:rsidR="00D509E4" w:rsidRPr="00D509E4">
        <w:rPr>
          <w:rFonts w:ascii="Arial" w:hAnsi="Arial" w:cs="Arial"/>
          <w:bCs/>
          <w:color w:val="000000"/>
          <w:sz w:val="24"/>
          <w:szCs w:val="24"/>
        </w:rPr>
        <w:t xml:space="preserve">. By focusing on the gap these studies may be missing important changes in the patterns of health and mortality, which may not go </w:t>
      </w:r>
      <w:r w:rsidR="001104EB" w:rsidRPr="00D509E4">
        <w:rPr>
          <w:rFonts w:ascii="Arial" w:hAnsi="Arial" w:cs="Arial"/>
          <w:bCs/>
          <w:color w:val="000000"/>
          <w:sz w:val="24"/>
          <w:szCs w:val="24"/>
        </w:rPr>
        <w:t>together</w:t>
      </w:r>
      <w:r w:rsidR="00D509E4" w:rsidRPr="00D509E4">
        <w:rPr>
          <w:rFonts w:ascii="Arial" w:hAnsi="Arial" w:cs="Arial"/>
          <w:bCs/>
          <w:color w:val="000000"/>
          <w:sz w:val="24"/>
          <w:szCs w:val="24"/>
        </w:rPr>
        <w:t xml:space="preserve"> with societal level changes in health and gender inequality.</w:t>
      </w:r>
    </w:p>
    <w:p w14:paraId="2C26FB59" w14:textId="77777777" w:rsidR="00871123" w:rsidRDefault="00871123" w:rsidP="002915AC">
      <w:pPr>
        <w:pBdr>
          <w:top w:val="nil"/>
          <w:left w:val="nil"/>
          <w:bottom w:val="nil"/>
          <w:right w:val="nil"/>
          <w:between w:val="nil"/>
        </w:pBdr>
        <w:spacing w:after="0" w:line="360" w:lineRule="auto"/>
        <w:contextualSpacing/>
        <w:jc w:val="both"/>
        <w:rPr>
          <w:rFonts w:ascii="Arial" w:hAnsi="Arial" w:cs="Arial"/>
          <w:bCs/>
          <w:color w:val="000000"/>
          <w:sz w:val="24"/>
          <w:szCs w:val="24"/>
        </w:rPr>
      </w:pPr>
    </w:p>
    <w:p w14:paraId="2F89ED26" w14:textId="77777777" w:rsidR="00871123" w:rsidRDefault="00871123" w:rsidP="00871123">
      <w:pPr>
        <w:keepNext/>
        <w:pBdr>
          <w:top w:val="nil"/>
          <w:left w:val="nil"/>
          <w:bottom w:val="nil"/>
          <w:right w:val="nil"/>
          <w:between w:val="nil"/>
        </w:pBdr>
        <w:spacing w:before="240" w:after="60" w:line="360" w:lineRule="auto"/>
        <w:contextualSpacing/>
        <w:jc w:val="both"/>
        <w:rPr>
          <w:rFonts w:ascii="Arial" w:hAnsi="Arial" w:cs="Arial"/>
          <w:bCs/>
          <w:color w:val="000000"/>
          <w:sz w:val="24"/>
          <w:szCs w:val="24"/>
        </w:rPr>
      </w:pPr>
      <w:r w:rsidRPr="00871123">
        <w:rPr>
          <w:rFonts w:ascii="Arial" w:hAnsi="Arial" w:cs="Arial"/>
          <w:bCs/>
          <w:color w:val="000000"/>
          <w:sz w:val="24"/>
          <w:szCs w:val="24"/>
          <w:highlight w:val="yellow"/>
        </w:rPr>
        <w:lastRenderedPageBreak/>
        <w:t>DISCUSS MORE RESULTS NOW</w:t>
      </w:r>
    </w:p>
    <w:p w14:paraId="53A05CCF" w14:textId="72903AD3" w:rsidR="00AA72E6" w:rsidRDefault="00AA72E6" w:rsidP="002915AC">
      <w:pPr>
        <w:pBdr>
          <w:top w:val="nil"/>
          <w:left w:val="nil"/>
          <w:bottom w:val="nil"/>
          <w:right w:val="nil"/>
          <w:between w:val="nil"/>
        </w:pBdr>
        <w:spacing w:after="0" w:line="360" w:lineRule="auto"/>
        <w:contextualSpacing/>
        <w:jc w:val="both"/>
        <w:rPr>
          <w:rFonts w:ascii="Arial" w:hAnsi="Arial" w:cs="Arial"/>
          <w:bCs/>
          <w:color w:val="000000"/>
          <w:sz w:val="24"/>
          <w:szCs w:val="24"/>
        </w:rPr>
      </w:pPr>
    </w:p>
    <w:p w14:paraId="222DB521" w14:textId="1AC2CF74" w:rsidR="004B3E04" w:rsidRDefault="004B3E04" w:rsidP="002915AC">
      <w:pPr>
        <w:pBdr>
          <w:top w:val="nil"/>
          <w:left w:val="nil"/>
          <w:bottom w:val="nil"/>
          <w:right w:val="nil"/>
          <w:between w:val="nil"/>
        </w:pBdr>
        <w:spacing w:after="0" w:line="360" w:lineRule="auto"/>
        <w:contextualSpacing/>
        <w:jc w:val="both"/>
        <w:rPr>
          <w:rFonts w:ascii="Arial" w:hAnsi="Arial" w:cs="Arial"/>
          <w:bCs/>
          <w:color w:val="000000"/>
          <w:sz w:val="24"/>
          <w:szCs w:val="24"/>
        </w:rPr>
      </w:pPr>
      <w:r w:rsidRPr="004B3E04">
        <w:rPr>
          <w:rFonts w:ascii="Arial" w:hAnsi="Arial" w:cs="Arial"/>
          <w:bCs/>
          <w:color w:val="000000"/>
          <w:sz w:val="24"/>
          <w:szCs w:val="24"/>
          <w:highlight w:val="yellow"/>
        </w:rPr>
        <w:t>ADD CONTRIBUTIONS</w:t>
      </w:r>
    </w:p>
    <w:p w14:paraId="5A6D22CA" w14:textId="78F61DD1" w:rsidR="00871123" w:rsidRDefault="00FD4A12" w:rsidP="00AA72E6">
      <w:pPr>
        <w:keepNext/>
        <w:pBdr>
          <w:top w:val="nil"/>
          <w:left w:val="nil"/>
          <w:bottom w:val="nil"/>
          <w:right w:val="nil"/>
          <w:between w:val="nil"/>
        </w:pBdr>
        <w:spacing w:before="240" w:after="60" w:line="360" w:lineRule="auto"/>
        <w:contextualSpacing/>
        <w:jc w:val="both"/>
        <w:rPr>
          <w:rFonts w:ascii="Arial" w:hAnsi="Arial" w:cs="Arial"/>
          <w:bCs/>
          <w:color w:val="000000"/>
          <w:sz w:val="24"/>
          <w:szCs w:val="24"/>
        </w:rPr>
      </w:pPr>
      <w:r>
        <w:rPr>
          <w:rFonts w:ascii="Arial" w:hAnsi="Arial" w:cs="Arial"/>
          <w:bCs/>
          <w:color w:val="000000"/>
          <w:sz w:val="24"/>
          <w:szCs w:val="24"/>
        </w:rPr>
        <w:t xml:space="preserve">Another contribution of this study is the extent of the comparative analysis. </w:t>
      </w:r>
      <w:r w:rsidR="00AA72E6">
        <w:rPr>
          <w:rFonts w:ascii="Arial" w:hAnsi="Arial" w:cs="Arial"/>
          <w:bCs/>
          <w:color w:val="000000"/>
          <w:sz w:val="24"/>
          <w:szCs w:val="24"/>
        </w:rPr>
        <w:t xml:space="preserve">Performing cross-country comparisons is crucial to </w:t>
      </w:r>
      <w:r w:rsidR="00AA72E6" w:rsidRPr="009D5FFA">
        <w:rPr>
          <w:rFonts w:ascii="Arial" w:hAnsi="Arial" w:cs="Arial"/>
          <w:bCs/>
          <w:color w:val="000000"/>
          <w:sz w:val="24"/>
          <w:szCs w:val="24"/>
        </w:rPr>
        <w:t>identify</w:t>
      </w:r>
      <w:r w:rsidR="00AA72E6">
        <w:rPr>
          <w:rFonts w:ascii="Arial" w:hAnsi="Arial" w:cs="Arial"/>
          <w:bCs/>
          <w:color w:val="000000"/>
          <w:sz w:val="24"/>
          <w:szCs w:val="24"/>
        </w:rPr>
        <w:t xml:space="preserve"> </w:t>
      </w:r>
      <w:r w:rsidR="00AA72E6" w:rsidRPr="009D5FFA">
        <w:rPr>
          <w:rFonts w:ascii="Arial" w:hAnsi="Arial" w:cs="Arial"/>
          <w:bCs/>
          <w:color w:val="000000"/>
          <w:sz w:val="24"/>
          <w:szCs w:val="24"/>
        </w:rPr>
        <w:t>common</w:t>
      </w:r>
      <w:r w:rsidR="00AA72E6">
        <w:rPr>
          <w:rFonts w:ascii="Arial" w:hAnsi="Arial" w:cs="Arial"/>
          <w:bCs/>
          <w:color w:val="000000"/>
          <w:sz w:val="24"/>
          <w:szCs w:val="24"/>
        </w:rPr>
        <w:t xml:space="preserve"> patterns and divergences that exist in health and mortality for different societal regimes </w:t>
      </w:r>
      <w:r w:rsidR="00AA72E6">
        <w:rPr>
          <w:rFonts w:ascii="Arial" w:hAnsi="Arial" w:cs="Arial"/>
          <w:bCs/>
          <w:color w:val="000000"/>
          <w:sz w:val="24"/>
          <w:szCs w:val="24"/>
        </w:rPr>
        <w:fldChar w:fldCharType="begin" w:fldLock="1"/>
      </w:r>
      <w:r w:rsidR="007C55AA">
        <w:rPr>
          <w:rFonts w:ascii="Arial" w:hAnsi="Arial" w:cs="Arial"/>
          <w:bCs/>
          <w:color w:val="000000"/>
          <w:sz w:val="24"/>
          <w:szCs w:val="24"/>
        </w:rPr>
        <w:instrText>ADDIN CSL_CITATION {"citationItems":[{"id":"ITEM-1","itemData":{"DOI":"10.1093/GERONB/GBAB049","ISSN":"1079-5014","PMID":"34101809","author":[{"dropping-particle":"","family":"Ailshire","given":"Jennifer","non-dropping-particle":"","parse-names":false,"suffix":""},{"dropping-particle":"","family":"Carr","given":"Deborah","non-dropping-particle":"","parse-names":false,"suffix":""}],"container-title":"The Journals of Gerontology: Series B","id":"ITEM-1","issue":"Supplement_1","issued":{"date-parts":[["2021","6","8"]]},"page":"S1-S4","publisher":"Oxford Academic","title":"Cross-National Comparisons of Social and Economic Contexts of Aging","type":"article-journal","volume":"76"},"uris":["http://www.mendeley.com/documents/?uuid=8d2c431b-3eee-3b5a-839e-04e9f18f3975"]},{"id":"ITEM-2","itemData":{"DOI":"10.1016/J.JAGING.2012.02.004","ISSN":"0890-4065","abstract":"Gerontologists are increasingly taking up the challenge of cross-national research and while there has been an increase in reporting on the product (findings) of this type of scholarship, there has been much less written about the process (methodology) of this approach, particularly in the gerontological literature. In 2009 our newly formed research team enthusiastically embarked on a cross-national comparative research study of social isolation and aging. In this paper, we 'publicly' reflect on our research process, sharing what we have learned - what 'happened', strategies that 'worked', places along the way where we might have intervened to mitigate the difficulties we encountered, and the implications of our experience on our research. Integrating the knowledge gained through our lens as newcomers to international comparative research, we end by presenting a Conceptual Framework for Cross-National Research. © 2012 Elsevier Inc.","author":[{"dropping-particle":"","family":"Gardner","given":"Paula","non-dropping-particle":"","parse-names":false,"suffix":""},{"dropping-particle":"","family":"Katagiri","given":"Keiko","non-dropping-particle":"","parse-names":false,"suffix":""},{"dropping-particle":"","family":"Parsons","given":"John","non-dropping-particle":"","parse-names":false,"suffix":""},{"dropping-particle":"","family":"Lee","given":"Jeonghwa","non-dropping-particle":"","parse-names":false,"suffix":""},{"dropping-particle":"","family":"Thevannoor","given":"Radha","non-dropping-particle":"","parse-names":false,"suffix":""}],"container-title":"Journal of Aging Studies","id":"ITEM-2","issue":"3","issued":{"date-parts":[["2012","8","1"]]},"page":"253-261","publisher":"JAI","title":"“Not for the fainthearted”: Engaging in cross-national comparative research","type":"article-journal","volume":"26"},"uris":["http://www.mendeley.com/documents/?uuid=c35fe04c-7293-3741-8d7c-9e49849c439d"]}],"mendeley":{"formattedCitation":"(31, 32)","plainTextFormattedCitation":"(31, 32)","previouslyFormattedCitation":"(31, 32)"},"properties":{"noteIndex":0},"schema":"https://github.com/citation-style-language/schema/raw/master/csl-citation.json"}</w:instrText>
      </w:r>
      <w:r w:rsidR="00AA72E6">
        <w:rPr>
          <w:rFonts w:ascii="Arial" w:hAnsi="Arial" w:cs="Arial"/>
          <w:bCs/>
          <w:color w:val="000000"/>
          <w:sz w:val="24"/>
          <w:szCs w:val="24"/>
        </w:rPr>
        <w:fldChar w:fldCharType="separate"/>
      </w:r>
      <w:r w:rsidR="006E3374" w:rsidRPr="006E3374">
        <w:rPr>
          <w:rFonts w:ascii="Arial" w:hAnsi="Arial" w:cs="Arial"/>
          <w:bCs/>
          <w:noProof/>
          <w:color w:val="000000"/>
          <w:sz w:val="24"/>
          <w:szCs w:val="24"/>
        </w:rPr>
        <w:t>(31, 32)</w:t>
      </w:r>
      <w:r w:rsidR="00AA72E6">
        <w:rPr>
          <w:rFonts w:ascii="Arial" w:hAnsi="Arial" w:cs="Arial"/>
          <w:bCs/>
          <w:color w:val="000000"/>
          <w:sz w:val="24"/>
          <w:szCs w:val="24"/>
        </w:rPr>
        <w:fldChar w:fldCharType="end"/>
      </w:r>
      <w:r w:rsidR="00AA72E6">
        <w:rPr>
          <w:rFonts w:ascii="Arial" w:hAnsi="Arial" w:cs="Arial"/>
          <w:bCs/>
          <w:color w:val="000000"/>
          <w:sz w:val="24"/>
          <w:szCs w:val="24"/>
        </w:rPr>
        <w:t xml:space="preserve">. It is particularly important when investigating those patterns by gender, as there is great variation in gender norms, welfare state systems, and socioeconomic development across countries that may directly or indirectly impact health and mortality indicators </w:t>
      </w:r>
      <w:r w:rsidR="00AA72E6">
        <w:rPr>
          <w:rFonts w:ascii="Arial" w:hAnsi="Arial" w:cs="Arial"/>
          <w:bCs/>
          <w:color w:val="000000"/>
          <w:sz w:val="24"/>
          <w:szCs w:val="24"/>
        </w:rPr>
        <w:fldChar w:fldCharType="begin" w:fldLock="1"/>
      </w:r>
      <w:r w:rsidR="007C55AA">
        <w:rPr>
          <w:rFonts w:ascii="Arial" w:hAnsi="Arial" w:cs="Arial"/>
          <w:bCs/>
          <w:color w:val="000000"/>
          <w:sz w:val="24"/>
          <w:szCs w:val="24"/>
        </w:rPr>
        <w:instrText>ADDIN CSL_CITATION {"citationItems":[{"id":"ITEM-1","itemData":{"DOI":"10.1093/geront/gnw136","ISSN":"17585341","abstract":"© The Author 2016. Published by Oxford University Press on behalf of The Gerontological Society of America. All rights reserved. Although all nations in the America's face a common demographic reality of longevity, declining fertility rates and changes in family roles a growing body of research points to a dramatic demographic transformation in Mexico. Although Mexico's population is relatively young, with a median age of 27.9 in 2015, it will age rapidly in coming years, increasing to 42 years by 2050. The rapid median age in the nation also reflects the growing proportion of people 65 or older, and is expected to triple to 20.2% by 2050. This article examines how the age and gender structure of Mexico offers important insights about current and future political and social stability, as well as economic development. Mexico is the world's eleventh largest country in terms of population size and the \"demographic dividend\" of a large youthful population is giving way to a growing older population that will inevitably place demands on health care and social security. The shift in age structure will result in increased dependency of retirees on the working-age population in the next 20 years. Mexico does not provide universal coverage of social security benefits and less than half of the labor force is covered by any pension or retirement plan. As a result, elderly Mexicans often continue working into old age. The high total poverty rate in the country, especially among the older population magnifies the problem of the potential dependency burden. The article ends with a discussion of key public policy issues related to aging in Mexico.","author":[{"dropping-particle":"","family":"Angel","given":"Jacqueline L.","non-dropping-particle":"","parse-names":false,"suffix":""},{"dropping-particle":"","family":"Vega","given":"William","non-dropping-particle":"","parse-names":false,"suffix":""},{"dropping-particle":"","family":"López-Ortega","given":"Mariana","non-dropping-particle":"","parse-names":false,"suffix":""},{"dropping-particle":"","family":"Pruchno","given":"Rachel","non-dropping-particle":"","parse-names":false,"suffix":""}],"container-title":"Gerontologist","id":"ITEM-1","issue":"2","issued":{"date-parts":[["2017","4","1"]]},"page":"153-162","publisher":"Gerontological Society of America","title":"Aging in Mexico: Population trends and emerging issues","type":"article-journal","volume":"57"},"uris":["http://www.mendeley.com/documents/?uuid=6b6dff97-e95c-3e47-afc6-9cfafabaaaaf"]},{"id":"ITEM-2","itemData":{"DOI":"10.1016/j.jacc.2015.10.067","ISSN":"15583597","PMID":"26791057","abstract":"Background \"Gender\" reflects social norms for women and men, whereas \"sex\" defines biological characteristics. Gender-related characteristics explain some differences in access to care for premature acute coronary syndrome (ACS); whether they are associated with cardiovascular outcomes is unknown. Objectives This study estimated associations between gender and sex with recurrent ACS and major adverse cardiac events (MACE) (e.g., ACS, cardiac mortality, revascularization) over 12 months in patients with ACS. Methods We studied 273 women and 636 men age 18 to 55 years from GENESIS-PRAXY (GENdEr and Sex determInantS of cardiovascular disease: from bench to beyond-Premature Acute Coronary SYndrome), a prospective observational cohort study, who were hospitalized for ACS between January 2009 and April 2013. Gender-related characteristics (e.g., social roles) were assessed using a self-administered questionnaire, and a composite measure of gender was derived. Outcomes included recurrent ACS and MACE over 12 months. Results Feminine roles and personality traits were associated with higher rates of recurrent ACS and MACE compared with masculine characteristics. This difference persisted for recurrent ACS, after multivariable adjustment (hazard ratio from score 0 to 100: 4.50; 95% confidence interval: 1.05 to 19.27), and was a nonstatistically significant trend for MACE (hazard ratio: 1.54; 95% confidence interval: 0.90 to 2.66). A possible explanation is increased anxiety, the only condition that was more prevalent in patients with feminine characteristics and that rendered the association between gender and recurrent ACS nonstatistically significant (hazard ratio: 3.56; 95% confidence interval: 0.81 to 15.61). Female sex was not associated with outcomes post-ACS. Conclusions Younger adults with ACS with feminine gender are at an increased risk of recurrent ACS over 12 months, independent of female sex.","author":[{"dropping-particle":"","family":"Pelletier","given":"Roxanne","non-dropping-particle":"","parse-names":false,"suffix":""},{"dropping-particle":"","family":"Khan","given":"Nadia A.","non-dropping-particle":"","parse-names":false,"suffix":""},{"dropping-particle":"","family":"Cox","given":"Jafna","non-dropping-particle":"","parse-names":false,"suffix":""},{"dropping-particle":"","family":"Daskalopoulou","given":"Stella S.","non-dropping-particle":"","parse-names":false,"suffix":""},{"dropping-particle":"","family":"Eisenberg","given":"Mark J.","non-dropping-particle":"","parse-names":false,"suffix":""},{"dropping-particle":"","family":"Bacon","given":"Simon L.","non-dropping-particle":"","parse-names":false,"suffix":""},{"dropping-particle":"","family":"Lavoie","given":"Kim L.","non-dropping-particle":"","parse-names":false,"suffix":""},{"dropping-particle":"","family":"Daskupta","given":"Kaberi","non-dropping-particle":"","parse-names":false,"suffix":""},{"dropping-particle":"","family":"Rabi","given":"Doreen","non-dropping-particle":"","parse-names":false,"suffix":""},{"dropping-particle":"","family":"Humphries","given":"Karin H.","non-dropping-particle":"","parse-names":false,"suffix":""},{"dropping-particle":"","family":"Norris","given":"Colleen M.","non-dropping-particle":"","parse-names":false,"suffix":""},{"dropping-particle":"","family":"Thanassoulis","given":"George","non-dropping-particle":"","parse-names":false,"suffix":""},{"dropping-particle":"","family":"Behlouli","given":"Hassan","non-dropping-particle":"","parse-names":false,"suffix":""},{"dropping-particle":"","family":"Pilote","given":"Louise","non-dropping-particle":"","parse-names":false,"suffix":""}],"container-title":"Journal of the American College of Cardiology","id":"ITEM-2","issue":"2","issued":{"date-parts":[["2016","1","19"]]},"page":"127-135","publisher":"Elsevier USA","title":"Sex Versus Gender-Related Characteristics Which Predicts Outcome after Acute Coronary Syndrome in the Young?","type":"article-journal","volume":"67"},"uris":["http://www.mendeley.com/documents/?uuid=4c82ed3b-6685-377e-a801-4f28c9d23b62"]},{"id":"ITEM-3","itemData":{"abstract":"HUMAN MATERIAL CONDITIONS have shown vast improvements during the course of modern development. At the beginning of the nineteenth cen-tury, life expectancy at birth, e 0 , hovered between 25 and 40 years (Maddison 2001). Industrialization and unprecedented growth in per capita incomes coincided with significant gains in e 0 , which by 1960 reached roughly 70 years among industrialized countries and since then has increased on aver-age by about 0.2 years for every year of calendar time (White 2002). Since the early nineteenth century, record-high female life expectancy has in-creased at an annual rate of almost 0.25 years (Oeppen and Vaupel 2002). These monumental gains in e 0 have been fairly equally distributed across international boundaries. White (2002) reports convergence in e 0 among 21 industrialized countries following World War II. Developing coun-tries have also displayed convergence toward industrialized levels since 1950, as described by Wilson (2001). But life expectancy is only a summary mea-sure of the age pattern of mortality, although it is an important one. A larger research question is whether the age pattern of mortality has also shown convergence between advanced countries over time. To address this issue, we examine full distributions of life-table ages at death, of which life ex-pectancy is the average, or first moment. We use a relative entropy metric, the Kullback–Leibler divergence, to compare changes over time in the distributions of life-table ages at death among industrialized countries, using combined-sex data. After decompos-ing our metric of convergence into portions attributable to the mean and variance of age at death, we find that current differences in the age pattern of mortality are attributable to differences in variances in adult age at death. 646 I N E Q U A L I T Y I N L I F E S P A N S We measure adult life span variability by S 10 , the standard deviation in the life-table age at death past age 10 years. We find starkly heterogeneous trends in the life span variance S 10 across advanced countries since 1960, in contrast to the convergence in average age at death within this same group. Viewed relative to long-term historical experience, gains in life expectancy have been remarkably steady both overall and across international bound-aries, while gains against life span variance have been more scarce. Thus our findings on S 10 naturally lead us to expand traditional perspectives on mortality convergence with se…","author":[{"dropping-particle":"","family":"Edwards","given":"Ryan D","non-dropping-particle":"","parse-names":false,"suffix":""},{"dropping-particle":"","family":"Tuljapurkar","given":"Shripad","non-dropping-particle":"","parse-names":false,"suffix":""}],"container-title":"Population and Development Review","id":"ITEM-3","issue":"4","issued":{"date-parts":[["2005"]]},"page":"1-36","title":"Inequality in Life Spans and Mortality Convergence Across Industrialized Countries","type":"article-journal","volume":"31"},"uris":["http://www.mendeley.com/documents/?uuid=87dfcdb1-1e17-333d-9f56-d543d6211027"]},{"id":"ITEM-4","itemData":{"DOI":"10.1007/s13524-018-0718-z","ISSN":"15337790","abstract":"For a long time, studies of socioeconomic gradients in health have limited their attention to between-group comparisons. Yet, ignoring the differences that might exist within groups and focusing on group-specific life expectancy levels and trends alone, one might arrive at overly simplistic conclusions. Using data from the Spanish Encuesta Sociodemográfica and recently released mortality files by the Spanish Statistical Office (INE), this is the first study to simultaneously document (1) the gradient in life expectancy by educational attainment groups, and (2) the inequality in age-at-death distributions within and across those groups for the period between 1960 and 2015 in Spain. Our findings suggest that life expectancy has been increasing for all education groups but particularly among the highly educated. We observe diverging trends in life expectancy, with the differences between the low- and highly educated becoming increasingly large, particularly among men. Concomitantly with increasing disparities across groups, length-of-life inequality has decreased for the population as a whole and for most education groups, and the contribution of the between-group component of inequality to overall inequality has been extremely small. Even if between-group inequality has increased over time, its contribution has been too small to have sizable effects on overall inequality. In addition, our results suggest that education expansion and declining within-group variability might have been the main drivers of overall lifespan inequality reductions. Nevertheless, the diverging trends in longevity and lifespan inequality across education groups represent an important phenomenon whose underlying causes and potential implications should be investigated in detail.","author":[{"dropping-particle":"","family":"Permanyer","given":"Iñaki","non-dropping-particle":"","parse-names":false,"suffix":""},{"dropping-particle":"","family":"Spijker","given":"Jeroen","non-dropping-particle":"","parse-names":false,"suffix":""},{"dropping-particle":"","family":"Blanes","given":"Amand","non-dropping-particle":"","parse-names":false,"suffix":""},{"dropping-particle":"","family":"Renteria","given":"Elisenda","non-dropping-particle":"","parse-names":false,"suffix":""}],"container-title":"Demography","id":"ITEM-4","issued":{"date-parts":[["2018"]]},"title":"Longevity and Lifespan Variation by Educational Attainment in Spain: 1960–2015","type":"article-journal"},"uris":["http://www.mendeley.com/documents/?uuid=4305752c-2b92-4d99-9301-29f50c233705"]},{"id":"ITEM-5","itemData":{"DOI":"10.1007/s13524-012-0130-z","ISBN":"0070-3370","ISSN":"0070-3370","PMID":"22886759","abstract":"The positive associations between education and health and survival are well established, but whether the strength of these associations depends on gender is not. Is the beneficial influence of education on survival and on self-rated health conditioned by gender in the same way, in opposite ways, or not at all? Because women are otherwise disadvantaged in socioeconomic resources that are inputs to health, their health and survival may depend more on education than will men’s. To test this hypothesis, we use data from the National Health Interview Survey-Linked Mortality Files (NHIS-LMF). We find that education’s beneficial influence on feeling healthy and on survival are conditional on gender, but in opposite ways. Education has a larger effect on women’s self-rated health than on men’s, but a larger effect on men’s mortality. To further examine the mortality results, we examine specific causes of death. We find that the conditional effect is largest for deaths from lung cancer, respiratory disease, stroke, homicide, suicide, and accidents. Because women report worse health but men’s mortality is higher, education closes the gender gap in both health and mortality.","author":[{"dropping-particle":"","family":"Ross","given":"Catherine E.","non-dropping-particle":"","parse-names":false,"suffix":""},{"dropping-particle":"","family":"Masters","given":"Ryan K.","non-dropping-particle":"","parse-names":false,"suffix":""},{"dropping-particle":"","family":"Hummer","given":"Robert A.","non-dropping-particle":"","parse-names":false,"suffix":""}],"container-title":"Demography","id":"ITEM-5","issue":"4","issued":{"date-parts":[["2012","11","11"]]},"page":"1157-1183","title":"Education and the Gender Gaps in Health and Mortality","type":"article-journal","volume":"49"},"uris":["http://www.mendeley.com/documents/?uuid=c981d5e8-dad9-4211-a156-0c52fda3a9ee"]}],"mendeley":{"formattedCitation":"(33–37)","plainTextFormattedCitation":"(33–37)","previouslyFormattedCitation":"(33–37)"},"properties":{"noteIndex":0},"schema":"https://github.com/citation-style-language/schema/raw/master/csl-citation.json"}</w:instrText>
      </w:r>
      <w:r w:rsidR="00AA72E6">
        <w:rPr>
          <w:rFonts w:ascii="Arial" w:hAnsi="Arial" w:cs="Arial"/>
          <w:bCs/>
          <w:color w:val="000000"/>
          <w:sz w:val="24"/>
          <w:szCs w:val="24"/>
        </w:rPr>
        <w:fldChar w:fldCharType="separate"/>
      </w:r>
      <w:r w:rsidR="006E3374" w:rsidRPr="006E3374">
        <w:rPr>
          <w:rFonts w:ascii="Arial" w:hAnsi="Arial" w:cs="Arial"/>
          <w:bCs/>
          <w:noProof/>
          <w:color w:val="000000"/>
          <w:sz w:val="24"/>
          <w:szCs w:val="24"/>
        </w:rPr>
        <w:t>(33–37)</w:t>
      </w:r>
      <w:r w:rsidR="00AA72E6">
        <w:rPr>
          <w:rFonts w:ascii="Arial" w:hAnsi="Arial" w:cs="Arial"/>
          <w:bCs/>
          <w:color w:val="000000"/>
          <w:sz w:val="24"/>
          <w:szCs w:val="24"/>
        </w:rPr>
        <w:fldChar w:fldCharType="end"/>
      </w:r>
      <w:r w:rsidR="00AA72E6">
        <w:rPr>
          <w:rFonts w:ascii="Arial" w:hAnsi="Arial" w:cs="Arial"/>
          <w:bCs/>
          <w:color w:val="000000"/>
          <w:sz w:val="24"/>
          <w:szCs w:val="24"/>
        </w:rPr>
        <w:t xml:space="preserve">. However, comparative analysis are challenging, mainly because the </w:t>
      </w:r>
      <w:r w:rsidR="00AA72E6" w:rsidRPr="004E17EB">
        <w:rPr>
          <w:rFonts w:ascii="Arial" w:hAnsi="Arial" w:cs="Arial"/>
          <w:bCs/>
          <w:color w:val="000000"/>
          <w:sz w:val="24"/>
          <w:szCs w:val="24"/>
        </w:rPr>
        <w:t>quality</w:t>
      </w:r>
      <w:r w:rsidR="00AA72E6">
        <w:rPr>
          <w:rFonts w:ascii="Arial" w:hAnsi="Arial" w:cs="Arial"/>
          <w:bCs/>
          <w:color w:val="000000"/>
          <w:sz w:val="24"/>
          <w:szCs w:val="24"/>
        </w:rPr>
        <w:t>,</w:t>
      </w:r>
      <w:r w:rsidR="00AA72E6" w:rsidRPr="004E17EB">
        <w:rPr>
          <w:rFonts w:ascii="Arial" w:hAnsi="Arial" w:cs="Arial"/>
          <w:bCs/>
          <w:color w:val="000000"/>
          <w:sz w:val="24"/>
          <w:szCs w:val="24"/>
        </w:rPr>
        <w:t xml:space="preserve"> and validity of health indicator</w:t>
      </w:r>
      <w:r w:rsidR="00AA72E6">
        <w:rPr>
          <w:rFonts w:ascii="Arial" w:hAnsi="Arial" w:cs="Arial"/>
          <w:bCs/>
          <w:color w:val="000000"/>
          <w:sz w:val="24"/>
          <w:szCs w:val="24"/>
        </w:rPr>
        <w:t>s</w:t>
      </w:r>
      <w:r w:rsidR="00AA72E6" w:rsidRPr="004E17EB">
        <w:rPr>
          <w:rFonts w:ascii="Arial" w:hAnsi="Arial" w:cs="Arial"/>
          <w:bCs/>
          <w:color w:val="000000"/>
          <w:sz w:val="24"/>
          <w:szCs w:val="24"/>
        </w:rPr>
        <w:t xml:space="preserve"> </w:t>
      </w:r>
      <w:r w:rsidR="00AA72E6">
        <w:rPr>
          <w:rFonts w:ascii="Arial" w:hAnsi="Arial" w:cs="Arial"/>
          <w:bCs/>
          <w:color w:val="000000"/>
          <w:sz w:val="24"/>
          <w:szCs w:val="24"/>
        </w:rPr>
        <w:t xml:space="preserve">vary from </w:t>
      </w:r>
      <w:r w:rsidR="00AA72E6" w:rsidRPr="008C5828">
        <w:rPr>
          <w:rFonts w:ascii="Arial" w:hAnsi="Arial" w:cs="Arial"/>
          <w:bCs/>
          <w:color w:val="000000"/>
          <w:sz w:val="24"/>
          <w:szCs w:val="24"/>
        </w:rPr>
        <w:t xml:space="preserve">country </w:t>
      </w:r>
      <w:r w:rsidR="00AA72E6">
        <w:rPr>
          <w:rFonts w:ascii="Arial" w:hAnsi="Arial" w:cs="Arial"/>
          <w:bCs/>
          <w:color w:val="000000"/>
          <w:sz w:val="24"/>
          <w:szCs w:val="24"/>
        </w:rPr>
        <w:t>to country, which can lead</w:t>
      </w:r>
      <w:r w:rsidR="00AA72E6" w:rsidRPr="008C5828">
        <w:rPr>
          <w:rFonts w:ascii="Arial" w:hAnsi="Arial" w:cs="Arial"/>
          <w:bCs/>
          <w:color w:val="000000"/>
          <w:sz w:val="24"/>
          <w:szCs w:val="24"/>
        </w:rPr>
        <w:t xml:space="preserve"> to variations</w:t>
      </w:r>
      <w:r w:rsidR="00AA72E6">
        <w:rPr>
          <w:rFonts w:ascii="Arial" w:hAnsi="Arial" w:cs="Arial"/>
          <w:bCs/>
          <w:color w:val="000000"/>
          <w:sz w:val="24"/>
          <w:szCs w:val="24"/>
        </w:rPr>
        <w:t xml:space="preserve"> in results that are not accurately capturing health outcomes</w:t>
      </w:r>
      <w:r w:rsidR="00AA72E6" w:rsidRPr="008C5828">
        <w:rPr>
          <w:rFonts w:ascii="Arial" w:hAnsi="Arial" w:cs="Arial"/>
          <w:bCs/>
          <w:color w:val="000000"/>
          <w:sz w:val="24"/>
          <w:szCs w:val="24"/>
        </w:rPr>
        <w:t xml:space="preserve"> </w:t>
      </w:r>
      <w:r w:rsidR="00AA72E6">
        <w:rPr>
          <w:rFonts w:ascii="Arial" w:hAnsi="Arial" w:cs="Arial"/>
          <w:bCs/>
          <w:color w:val="000000"/>
          <w:sz w:val="24"/>
          <w:szCs w:val="24"/>
        </w:rPr>
        <w:fldChar w:fldCharType="begin" w:fldLock="1"/>
      </w:r>
      <w:r w:rsidR="007C55AA">
        <w:rPr>
          <w:rFonts w:ascii="Arial" w:hAnsi="Arial" w:cs="Arial"/>
          <w:bCs/>
          <w:color w:val="000000"/>
          <w:sz w:val="24"/>
          <w:szCs w:val="24"/>
        </w:rPr>
        <w:instrText>ADDIN CSL_CITATION {"citationItems":[{"id":"ITEM-1","itemData":{"DOI":"10.1186/S13690-021-00734-W","ISSN":"2049-3258","abstract":"Health indicators are used to monitor the health status and determinants of health of the population and population sub-groups, identify existing or emerging health problems which would require prevention and health promotion activities, help to target health care resources in the most adequate way as well as for evaluation of the success of public health actions both at the national and international level. The quality and validity of the health indicator depends both on available data and used indicator definition. In this study we will evaluate existing knowledge about comparability of different data sources for definition of health indicators, compare how selected health indicators presented in different international databases possibly differ, and finally, present the results from a case study from Finland on comparability of health indicators derived from different data sources at national level. For comparisons, four health indicators were selected that were commonly available in international databases and available for the Finnish case study. These were prevalence of obesity, hypertension, diabetes, and asthma in the adult populations. Our evaluation has three parts: 1) a scoping review of the latest literature, 2) comparison of the prevalences presented in different international databases, and 3) a case study using data from Finland. Literature shows that comparability of estimated outcomes for health indicators using different data sources such as self-reported questionnaire data from surveys, measured data from surveys or data from administrative health registers, varies between indicators. Also, the case study from Finland showed that diseases which require regular health care visits such as diabetes, comparability is high while for health outcomes which can remain asymptomatic for a long time such as hypertension, comparability is lower. In different international health related databases, country specific results differ due to variations in the used data sources but also due to differences in indicator definitions. Reliable comparison of the health indicators over time and between regions within a country or across the countries requires common indicator definitions, similar data sources and standardized data collection methods.","author":[{"dropping-particle":"","family":"Tolonen","given":"Hanna","non-dropping-particle":"","parse-names":false,"suffix":""},{"dropping-particle":"","family":"Reinikainen","given":"Jaakko","non-dropping-particle":"","parse-names":false,"suffix":""},{"dropping-particle":"","family":"Koponen","given":"Päivikki","non-dropping-particle":"","parse-names":false,"suffix":""},{"dropping-particle":"","family":"Elonheimo","given":"Hanna","non-dropping-particle":"","parse-names":false,"suffix":""},{"dropping-particle":"","family":"Palmieri","given":"Luigi","non-dropping-particle":"","parse-names":false,"suffix":""},{"dropping-particle":"","family":"Tijhuis","given":"Mariken J.","non-dropping-particle":"","parse-names":false,"suffix":""}],"container-title":"Archives of Public Health 2021 79:1","id":"ITEM-1","issue":"1","issued":{"date-parts":[["2021","11","25"]]},"page":"1-14","publisher":"BioMed Central","title":"Cross-national comparisons of health indicators require standardized definitions and common data sources","type":"article-journal","volume":"79"},"uris":["http://www.mendeley.com/documents/?uuid=973effd9-5063-3f2e-bb1f-249a1a4d4296"]}],"mendeley":{"formattedCitation":"(38)","plainTextFormattedCitation":"(38)","previouslyFormattedCitation":"(38)"},"properties":{"noteIndex":0},"schema":"https://github.com/citation-style-language/schema/raw/master/csl-citation.json"}</w:instrText>
      </w:r>
      <w:r w:rsidR="00AA72E6">
        <w:rPr>
          <w:rFonts w:ascii="Arial" w:hAnsi="Arial" w:cs="Arial"/>
          <w:bCs/>
          <w:color w:val="000000"/>
          <w:sz w:val="24"/>
          <w:szCs w:val="24"/>
        </w:rPr>
        <w:fldChar w:fldCharType="separate"/>
      </w:r>
      <w:r w:rsidR="006E3374" w:rsidRPr="006E3374">
        <w:rPr>
          <w:rFonts w:ascii="Arial" w:hAnsi="Arial" w:cs="Arial"/>
          <w:bCs/>
          <w:noProof/>
          <w:color w:val="000000"/>
          <w:sz w:val="24"/>
          <w:szCs w:val="24"/>
        </w:rPr>
        <w:t>(38)</w:t>
      </w:r>
      <w:r w:rsidR="00AA72E6">
        <w:rPr>
          <w:rFonts w:ascii="Arial" w:hAnsi="Arial" w:cs="Arial"/>
          <w:bCs/>
          <w:color w:val="000000"/>
          <w:sz w:val="24"/>
          <w:szCs w:val="24"/>
        </w:rPr>
        <w:fldChar w:fldCharType="end"/>
      </w:r>
      <w:r w:rsidR="00AA72E6">
        <w:rPr>
          <w:rFonts w:ascii="Arial" w:hAnsi="Arial" w:cs="Arial"/>
          <w:bCs/>
          <w:color w:val="000000"/>
          <w:sz w:val="24"/>
          <w:szCs w:val="24"/>
        </w:rPr>
        <w:t xml:space="preserve">. </w:t>
      </w:r>
    </w:p>
    <w:p w14:paraId="2FE9596A" w14:textId="3E9D46D2" w:rsidR="00AA72E6" w:rsidRDefault="00AA72E6" w:rsidP="002915AC">
      <w:pPr>
        <w:pBdr>
          <w:top w:val="nil"/>
          <w:left w:val="nil"/>
          <w:bottom w:val="nil"/>
          <w:right w:val="nil"/>
          <w:between w:val="nil"/>
        </w:pBdr>
        <w:spacing w:after="0" w:line="360" w:lineRule="auto"/>
        <w:contextualSpacing/>
        <w:jc w:val="both"/>
        <w:rPr>
          <w:rFonts w:ascii="Arial" w:hAnsi="Arial" w:cs="Arial"/>
          <w:bCs/>
          <w:color w:val="000000"/>
          <w:sz w:val="24"/>
          <w:szCs w:val="24"/>
        </w:rPr>
      </w:pPr>
    </w:p>
    <w:p w14:paraId="32B2AA2D" w14:textId="15811B83" w:rsidR="004B3E04" w:rsidRPr="00D509E4" w:rsidRDefault="004B3E04" w:rsidP="002915AC">
      <w:pPr>
        <w:pBdr>
          <w:top w:val="nil"/>
          <w:left w:val="nil"/>
          <w:bottom w:val="nil"/>
          <w:right w:val="nil"/>
          <w:between w:val="nil"/>
        </w:pBdr>
        <w:spacing w:after="0" w:line="360" w:lineRule="auto"/>
        <w:contextualSpacing/>
        <w:jc w:val="both"/>
        <w:rPr>
          <w:rFonts w:ascii="Arial" w:hAnsi="Arial" w:cs="Arial"/>
          <w:bCs/>
          <w:color w:val="000000"/>
          <w:sz w:val="24"/>
          <w:szCs w:val="24"/>
        </w:rPr>
      </w:pPr>
      <w:r w:rsidRPr="004B3E04">
        <w:rPr>
          <w:rFonts w:ascii="Arial" w:hAnsi="Arial" w:cs="Arial"/>
          <w:bCs/>
          <w:color w:val="000000"/>
          <w:sz w:val="24"/>
          <w:szCs w:val="24"/>
          <w:highlight w:val="yellow"/>
        </w:rPr>
        <w:t>ADD LIMITATIONS</w:t>
      </w:r>
    </w:p>
    <w:p w14:paraId="36E04416" w14:textId="77777777" w:rsidR="00980C22" w:rsidRPr="00775489" w:rsidRDefault="00980C22" w:rsidP="00F649EE">
      <w:pPr>
        <w:pBdr>
          <w:top w:val="nil"/>
          <w:left w:val="nil"/>
          <w:bottom w:val="nil"/>
          <w:right w:val="nil"/>
          <w:between w:val="nil"/>
        </w:pBdr>
        <w:spacing w:after="0"/>
        <w:contextualSpacing/>
        <w:rPr>
          <w:rFonts w:ascii="Arial" w:hAnsi="Arial" w:cs="Arial"/>
          <w:b/>
          <w:color w:val="000000"/>
          <w:sz w:val="24"/>
          <w:szCs w:val="24"/>
        </w:rPr>
      </w:pPr>
    </w:p>
    <w:p w14:paraId="37B52A5D" w14:textId="290F62AF" w:rsidR="00E6133D" w:rsidRPr="00775489" w:rsidRDefault="00E6133D" w:rsidP="00F649EE">
      <w:pPr>
        <w:pBdr>
          <w:top w:val="nil"/>
          <w:left w:val="nil"/>
          <w:bottom w:val="nil"/>
          <w:right w:val="nil"/>
          <w:between w:val="nil"/>
        </w:pBdr>
        <w:spacing w:after="0"/>
        <w:contextualSpacing/>
        <w:rPr>
          <w:rFonts w:ascii="Arial" w:hAnsi="Arial" w:cs="Arial"/>
          <w:b/>
          <w:color w:val="000000"/>
          <w:sz w:val="24"/>
          <w:szCs w:val="24"/>
        </w:rPr>
      </w:pPr>
      <w:r w:rsidRPr="00775489">
        <w:rPr>
          <w:rFonts w:ascii="Arial" w:hAnsi="Arial" w:cs="Arial"/>
          <w:b/>
          <w:color w:val="000000"/>
          <w:sz w:val="24"/>
          <w:szCs w:val="24"/>
        </w:rPr>
        <w:t>Materials and Methods</w:t>
      </w:r>
    </w:p>
    <w:p w14:paraId="4E4993CA" w14:textId="77B77968" w:rsidR="0036653A" w:rsidRPr="00775489" w:rsidRDefault="0036653A" w:rsidP="00F649EE">
      <w:pPr>
        <w:pBdr>
          <w:top w:val="nil"/>
          <w:left w:val="nil"/>
          <w:bottom w:val="nil"/>
          <w:right w:val="nil"/>
          <w:between w:val="nil"/>
        </w:pBdr>
        <w:spacing w:after="0"/>
        <w:contextualSpacing/>
        <w:rPr>
          <w:rFonts w:ascii="Arial" w:hAnsi="Arial" w:cs="Arial"/>
          <w:b/>
          <w:color w:val="000000"/>
          <w:sz w:val="24"/>
          <w:szCs w:val="24"/>
        </w:rPr>
      </w:pPr>
    </w:p>
    <w:p w14:paraId="54B9807E" w14:textId="4DBBC4B3" w:rsidR="0036653A" w:rsidRPr="00775489" w:rsidRDefault="0036653A" w:rsidP="00F649EE">
      <w:pPr>
        <w:pBdr>
          <w:top w:val="nil"/>
          <w:left w:val="nil"/>
          <w:bottom w:val="nil"/>
          <w:right w:val="nil"/>
          <w:between w:val="nil"/>
        </w:pBdr>
        <w:spacing w:after="0"/>
        <w:contextualSpacing/>
        <w:rPr>
          <w:rFonts w:ascii="Arial" w:hAnsi="Arial" w:cs="Arial"/>
          <w:b/>
          <w:color w:val="000000"/>
          <w:sz w:val="24"/>
          <w:szCs w:val="24"/>
        </w:rPr>
      </w:pPr>
      <w:r w:rsidRPr="00775489">
        <w:rPr>
          <w:rFonts w:ascii="Arial" w:hAnsi="Arial" w:cs="Arial"/>
          <w:b/>
          <w:color w:val="000000"/>
          <w:sz w:val="24"/>
          <w:szCs w:val="24"/>
        </w:rPr>
        <w:t>Data</w:t>
      </w:r>
    </w:p>
    <w:p w14:paraId="3775E849" w14:textId="47251C3D" w:rsidR="0036653A" w:rsidRDefault="0036653A" w:rsidP="00F649EE">
      <w:pPr>
        <w:pBdr>
          <w:top w:val="nil"/>
          <w:left w:val="nil"/>
          <w:bottom w:val="nil"/>
          <w:right w:val="nil"/>
          <w:between w:val="nil"/>
        </w:pBdr>
        <w:spacing w:after="0"/>
        <w:contextualSpacing/>
        <w:rPr>
          <w:rFonts w:ascii="Arial" w:hAnsi="Arial" w:cs="Arial"/>
          <w:b/>
          <w:color w:val="000000"/>
          <w:sz w:val="20"/>
          <w:szCs w:val="20"/>
        </w:rPr>
      </w:pPr>
    </w:p>
    <w:p w14:paraId="75B91B29" w14:textId="194821D1" w:rsidR="00775489" w:rsidRDefault="00775489" w:rsidP="00F649EE">
      <w:pPr>
        <w:pBdr>
          <w:top w:val="nil"/>
          <w:left w:val="nil"/>
          <w:bottom w:val="nil"/>
          <w:right w:val="nil"/>
          <w:between w:val="nil"/>
        </w:pBdr>
        <w:spacing w:after="0"/>
        <w:contextualSpacing/>
        <w:rPr>
          <w:rFonts w:ascii="Arial" w:hAnsi="Arial" w:cs="Arial"/>
          <w:bCs/>
          <w:i/>
          <w:iCs/>
          <w:color w:val="000000"/>
          <w:sz w:val="24"/>
          <w:szCs w:val="24"/>
        </w:rPr>
      </w:pPr>
      <w:r w:rsidRPr="00DB6644">
        <w:rPr>
          <w:rFonts w:ascii="Arial" w:hAnsi="Arial" w:cs="Arial"/>
          <w:bCs/>
          <w:i/>
          <w:iCs/>
          <w:color w:val="000000"/>
          <w:sz w:val="24"/>
          <w:szCs w:val="24"/>
        </w:rPr>
        <w:t>Health</w:t>
      </w:r>
    </w:p>
    <w:p w14:paraId="7F4605EB" w14:textId="77777777" w:rsidR="00DB6644" w:rsidRPr="00DB6644" w:rsidRDefault="00DB6644" w:rsidP="00F649EE">
      <w:pPr>
        <w:pBdr>
          <w:top w:val="nil"/>
          <w:left w:val="nil"/>
          <w:bottom w:val="nil"/>
          <w:right w:val="nil"/>
          <w:between w:val="nil"/>
        </w:pBdr>
        <w:spacing w:after="0"/>
        <w:contextualSpacing/>
        <w:rPr>
          <w:rFonts w:ascii="Arial" w:hAnsi="Arial" w:cs="Arial"/>
          <w:bCs/>
          <w:i/>
          <w:iCs/>
          <w:color w:val="000000"/>
          <w:sz w:val="24"/>
          <w:szCs w:val="24"/>
        </w:rPr>
      </w:pPr>
    </w:p>
    <w:p w14:paraId="5609CD45" w14:textId="312EEF74" w:rsidR="006C365F" w:rsidRPr="006C365F" w:rsidRDefault="00DE213B" w:rsidP="006C365F">
      <w:pPr>
        <w:pBdr>
          <w:top w:val="nil"/>
          <w:left w:val="nil"/>
          <w:bottom w:val="nil"/>
          <w:right w:val="nil"/>
          <w:between w:val="nil"/>
        </w:pBdr>
        <w:spacing w:after="0" w:line="360" w:lineRule="auto"/>
        <w:contextualSpacing/>
        <w:jc w:val="both"/>
        <w:rPr>
          <w:rFonts w:ascii="Arial" w:hAnsi="Arial" w:cs="Arial"/>
          <w:bCs/>
          <w:color w:val="000000"/>
          <w:sz w:val="24"/>
          <w:szCs w:val="24"/>
        </w:rPr>
      </w:pPr>
      <w:r>
        <w:rPr>
          <w:rFonts w:ascii="Arial" w:hAnsi="Arial" w:cs="Arial"/>
          <w:bCs/>
          <w:color w:val="000000"/>
          <w:sz w:val="24"/>
          <w:szCs w:val="24"/>
        </w:rPr>
        <w:t xml:space="preserve">For the health measures, we use </w:t>
      </w:r>
      <w:r w:rsidR="006C365F" w:rsidRPr="006C365F">
        <w:rPr>
          <w:rFonts w:ascii="Arial" w:hAnsi="Arial" w:cs="Arial"/>
          <w:bCs/>
          <w:color w:val="000000"/>
          <w:sz w:val="24"/>
          <w:szCs w:val="24"/>
        </w:rPr>
        <w:t xml:space="preserve">data from the Gateway to Global Aging Data, produced by the Program on Global Aging, Health &amp; Policy that created harmonized versions of sister-HRS studies. The harmonized versions have followed the RAND HRS conventions of variable naming and data structure which allow for cross-country comparisons. We use the harmonized versions available for HRS (United States), ELSA (England), </w:t>
      </w:r>
      <w:proofErr w:type="spellStart"/>
      <w:r w:rsidR="006C365F" w:rsidRPr="006C365F">
        <w:rPr>
          <w:rFonts w:ascii="Arial" w:hAnsi="Arial" w:cs="Arial"/>
          <w:bCs/>
          <w:color w:val="000000"/>
          <w:sz w:val="24"/>
          <w:szCs w:val="24"/>
        </w:rPr>
        <w:t>KLoSA</w:t>
      </w:r>
      <w:proofErr w:type="spellEnd"/>
      <w:r w:rsidR="006C365F" w:rsidRPr="006C365F">
        <w:rPr>
          <w:rFonts w:ascii="Arial" w:hAnsi="Arial" w:cs="Arial"/>
          <w:bCs/>
          <w:color w:val="000000"/>
          <w:sz w:val="24"/>
          <w:szCs w:val="24"/>
        </w:rPr>
        <w:t xml:space="preserve"> (South Korea), CHARLS (China), LASI (India), MHAS (Mexico), and Europe (SHARE). In order to perform comparisons at points in time that were as close as possible across countries we used survey waves pertaining to year 2014-2015 (HRS: Wave 12; </w:t>
      </w:r>
      <w:proofErr w:type="gramStart"/>
      <w:r w:rsidR="006C365F" w:rsidRPr="006C365F">
        <w:rPr>
          <w:rFonts w:ascii="Arial" w:hAnsi="Arial" w:cs="Arial"/>
          <w:bCs/>
          <w:color w:val="000000"/>
          <w:sz w:val="24"/>
          <w:szCs w:val="24"/>
        </w:rPr>
        <w:t>ELSA :</w:t>
      </w:r>
      <w:proofErr w:type="gramEnd"/>
      <w:r w:rsidR="006C365F" w:rsidRPr="006C365F">
        <w:rPr>
          <w:rFonts w:ascii="Arial" w:hAnsi="Arial" w:cs="Arial"/>
          <w:bCs/>
          <w:color w:val="000000"/>
          <w:sz w:val="24"/>
          <w:szCs w:val="24"/>
        </w:rPr>
        <w:t xml:space="preserve"> Wave 7; SHARE: Wave 6; </w:t>
      </w:r>
      <w:proofErr w:type="spellStart"/>
      <w:r w:rsidR="006C365F" w:rsidRPr="006C365F">
        <w:rPr>
          <w:rFonts w:ascii="Arial" w:hAnsi="Arial" w:cs="Arial"/>
          <w:bCs/>
          <w:color w:val="000000"/>
          <w:sz w:val="24"/>
          <w:szCs w:val="24"/>
        </w:rPr>
        <w:t>KLoSA</w:t>
      </w:r>
      <w:proofErr w:type="spellEnd"/>
      <w:r w:rsidR="006C365F" w:rsidRPr="006C365F">
        <w:rPr>
          <w:rFonts w:ascii="Arial" w:hAnsi="Arial" w:cs="Arial"/>
          <w:bCs/>
          <w:color w:val="000000"/>
          <w:sz w:val="24"/>
          <w:szCs w:val="24"/>
        </w:rPr>
        <w:t>: Wave 5; CHARLS: Wave 2; and LASI Wave 1). The only exception is India, since the first wave of LASI was carried on between 2017-</w:t>
      </w:r>
      <w:r w:rsidR="006C365F" w:rsidRPr="006C365F">
        <w:rPr>
          <w:rFonts w:ascii="Arial" w:hAnsi="Arial" w:cs="Arial"/>
          <w:bCs/>
          <w:color w:val="000000"/>
          <w:sz w:val="24"/>
          <w:szCs w:val="24"/>
        </w:rPr>
        <w:lastRenderedPageBreak/>
        <w:t xml:space="preserve">2019. </w:t>
      </w:r>
      <w:r w:rsidR="006B69B9">
        <w:rPr>
          <w:rFonts w:ascii="Arial" w:hAnsi="Arial" w:cs="Arial"/>
          <w:bCs/>
          <w:color w:val="000000"/>
          <w:sz w:val="24"/>
          <w:szCs w:val="24"/>
        </w:rPr>
        <w:t xml:space="preserve">We </w:t>
      </w:r>
      <w:r w:rsidR="006C365F" w:rsidRPr="006C365F">
        <w:rPr>
          <w:rFonts w:ascii="Arial" w:hAnsi="Arial" w:cs="Arial"/>
          <w:bCs/>
          <w:color w:val="000000"/>
          <w:sz w:val="24"/>
          <w:szCs w:val="24"/>
        </w:rPr>
        <w:t>focus on this specific set of countries as our aim is to have the most diverse group of countries while retaining the highest possible level of concordance across the harmonized health variables. Hence, we choose these countries and years due to the following specific reasons: 1. these are the available countries for which the highest possible concordance among surveys is available for health information; 2. these countries have unique epidemiological and mortality trajectories that include countries with fast-paced mortality transitions, such as Korea and slow pioneering countries like Sweden; 3. Different welfare state models and gender roles, which enable us to investigate whether specific gender patterns in inequality in health and mortality emerge in those settings.</w:t>
      </w:r>
    </w:p>
    <w:p w14:paraId="4911A52C" w14:textId="77777777" w:rsidR="00F538B6" w:rsidRDefault="00F538B6" w:rsidP="00DE1599">
      <w:pPr>
        <w:pBdr>
          <w:top w:val="nil"/>
          <w:left w:val="nil"/>
          <w:bottom w:val="nil"/>
          <w:right w:val="nil"/>
          <w:between w:val="nil"/>
        </w:pBdr>
        <w:spacing w:after="0" w:line="360" w:lineRule="auto"/>
        <w:contextualSpacing/>
        <w:rPr>
          <w:rFonts w:ascii="Arial" w:hAnsi="Arial" w:cs="Arial"/>
          <w:bCs/>
          <w:color w:val="000000"/>
          <w:sz w:val="24"/>
          <w:szCs w:val="24"/>
        </w:rPr>
      </w:pPr>
    </w:p>
    <w:p w14:paraId="7E3BAE64" w14:textId="5D9E3A65" w:rsidR="00DE1599" w:rsidRPr="00DE1599" w:rsidRDefault="00DE213B" w:rsidP="00FB5CF7">
      <w:pPr>
        <w:pBdr>
          <w:top w:val="nil"/>
          <w:left w:val="nil"/>
          <w:bottom w:val="nil"/>
          <w:right w:val="nil"/>
          <w:between w:val="nil"/>
        </w:pBdr>
        <w:spacing w:after="0" w:line="360" w:lineRule="auto"/>
        <w:contextualSpacing/>
        <w:jc w:val="both"/>
        <w:rPr>
          <w:rFonts w:ascii="Arial" w:hAnsi="Arial" w:cs="Arial"/>
          <w:bCs/>
          <w:color w:val="000000"/>
          <w:sz w:val="24"/>
          <w:szCs w:val="24"/>
        </w:rPr>
      </w:pPr>
      <w:r>
        <w:rPr>
          <w:rFonts w:ascii="Arial" w:hAnsi="Arial" w:cs="Arial"/>
          <w:bCs/>
          <w:color w:val="000000"/>
          <w:sz w:val="24"/>
          <w:szCs w:val="24"/>
        </w:rPr>
        <w:t>For mortality w</w:t>
      </w:r>
      <w:r w:rsidR="00DE1599" w:rsidRPr="00DE1599">
        <w:rPr>
          <w:rFonts w:ascii="Arial" w:hAnsi="Arial" w:cs="Arial"/>
          <w:bCs/>
          <w:color w:val="000000"/>
          <w:sz w:val="24"/>
          <w:szCs w:val="24"/>
        </w:rPr>
        <w:t>e use life tables from the 2022 Revision of World Population Prospects (United Nations 2022) for all countries with the exceptions of England, where the life tables from the ONS estimates, as</w:t>
      </w:r>
      <w:r w:rsidR="003C5BD7">
        <w:rPr>
          <w:rFonts w:ascii="Arial" w:hAnsi="Arial" w:cs="Arial"/>
          <w:bCs/>
          <w:color w:val="000000"/>
          <w:sz w:val="24"/>
          <w:szCs w:val="24"/>
        </w:rPr>
        <w:t xml:space="preserve"> the</w:t>
      </w:r>
      <w:r w:rsidR="00DE1599" w:rsidRPr="00DE1599">
        <w:rPr>
          <w:rFonts w:ascii="Arial" w:hAnsi="Arial" w:cs="Arial"/>
          <w:bCs/>
          <w:color w:val="000000"/>
          <w:sz w:val="24"/>
          <w:szCs w:val="24"/>
        </w:rPr>
        <w:t xml:space="preserve"> ELSA</w:t>
      </w:r>
      <w:r w:rsidR="003C5BD7">
        <w:rPr>
          <w:rFonts w:ascii="Arial" w:hAnsi="Arial" w:cs="Arial"/>
          <w:bCs/>
          <w:color w:val="000000"/>
          <w:sz w:val="24"/>
          <w:szCs w:val="24"/>
        </w:rPr>
        <w:t xml:space="preserve"> study</w:t>
      </w:r>
      <w:r w:rsidR="00DE1599" w:rsidRPr="00DE1599">
        <w:rPr>
          <w:rFonts w:ascii="Arial" w:hAnsi="Arial" w:cs="Arial"/>
          <w:bCs/>
          <w:color w:val="000000"/>
          <w:sz w:val="24"/>
          <w:szCs w:val="24"/>
        </w:rPr>
        <w:t xml:space="preserve"> does not include Wales.</w:t>
      </w:r>
    </w:p>
    <w:p w14:paraId="4051BC71" w14:textId="77777777" w:rsidR="00DE1599" w:rsidRDefault="00DE1599" w:rsidP="00F649EE">
      <w:pPr>
        <w:pBdr>
          <w:top w:val="nil"/>
          <w:left w:val="nil"/>
          <w:bottom w:val="nil"/>
          <w:right w:val="nil"/>
          <w:between w:val="nil"/>
        </w:pBdr>
        <w:spacing w:after="0"/>
        <w:contextualSpacing/>
        <w:rPr>
          <w:rFonts w:ascii="Arial" w:hAnsi="Arial" w:cs="Arial"/>
          <w:b/>
          <w:color w:val="000000"/>
          <w:sz w:val="20"/>
          <w:szCs w:val="20"/>
        </w:rPr>
      </w:pPr>
    </w:p>
    <w:p w14:paraId="2942F45B" w14:textId="535832F8" w:rsidR="0036653A" w:rsidRPr="00BF572B" w:rsidRDefault="0036653A" w:rsidP="00F649EE">
      <w:pPr>
        <w:pBdr>
          <w:top w:val="nil"/>
          <w:left w:val="nil"/>
          <w:bottom w:val="nil"/>
          <w:right w:val="nil"/>
          <w:between w:val="nil"/>
        </w:pBdr>
        <w:spacing w:after="0"/>
        <w:contextualSpacing/>
        <w:rPr>
          <w:rFonts w:ascii="Arial" w:hAnsi="Arial" w:cs="Arial"/>
          <w:color w:val="000000"/>
          <w:sz w:val="24"/>
          <w:szCs w:val="24"/>
        </w:rPr>
      </w:pPr>
      <w:r w:rsidRPr="00BF572B">
        <w:rPr>
          <w:rFonts w:ascii="Arial" w:hAnsi="Arial" w:cs="Arial"/>
          <w:b/>
          <w:color w:val="000000"/>
          <w:sz w:val="24"/>
          <w:szCs w:val="24"/>
        </w:rPr>
        <w:t>Methods</w:t>
      </w:r>
    </w:p>
    <w:p w14:paraId="3C2712AB" w14:textId="0FBBD887" w:rsidR="00E6133D" w:rsidRDefault="00E6133D" w:rsidP="00F649EE">
      <w:pPr>
        <w:pBdr>
          <w:top w:val="nil"/>
          <w:left w:val="nil"/>
          <w:bottom w:val="nil"/>
          <w:right w:val="nil"/>
          <w:between w:val="nil"/>
        </w:pBdr>
        <w:spacing w:after="0"/>
        <w:contextualSpacing/>
        <w:rPr>
          <w:rFonts w:ascii="Arial" w:hAnsi="Arial" w:cs="Arial"/>
          <w:b/>
          <w:color w:val="000000"/>
          <w:sz w:val="20"/>
          <w:szCs w:val="20"/>
        </w:rPr>
      </w:pPr>
    </w:p>
    <w:p w14:paraId="2D029923" w14:textId="49BFD2F9" w:rsidR="000B11C8" w:rsidRPr="000B11C8" w:rsidRDefault="000B11C8" w:rsidP="000B11C8">
      <w:pPr>
        <w:spacing w:line="360" w:lineRule="auto"/>
        <w:jc w:val="both"/>
        <w:rPr>
          <w:rFonts w:ascii="Arial" w:eastAsia="Times New Roman" w:hAnsi="Arial" w:cs="Arial"/>
          <w:sz w:val="24"/>
          <w:szCs w:val="24"/>
        </w:rPr>
      </w:pPr>
      <w:r w:rsidRPr="000B11C8">
        <w:rPr>
          <w:rFonts w:ascii="Arial" w:eastAsia="Times New Roman" w:hAnsi="Arial" w:cs="Arial"/>
          <w:sz w:val="24"/>
          <w:szCs w:val="24"/>
        </w:rPr>
        <w:t>To examine gender disparities in health expectancy, we estimate the disability-free life expectancy (</w:t>
      </w:r>
      <w:r w:rsidRPr="000B11C8">
        <w:rPr>
          <w:rFonts w:ascii="Arial" w:eastAsia="Times New Roman" w:hAnsi="Arial" w:cs="Arial"/>
          <w:i/>
          <w:sz w:val="24"/>
          <w:szCs w:val="24"/>
        </w:rPr>
        <w:t>DFLE</w:t>
      </w:r>
      <w:r w:rsidRPr="000B11C8">
        <w:rPr>
          <w:rFonts w:ascii="Arial" w:eastAsia="Times New Roman" w:hAnsi="Arial" w:cs="Arial"/>
          <w:sz w:val="24"/>
          <w:szCs w:val="24"/>
        </w:rPr>
        <w:t xml:space="preserve">) and the chronic-free life expectancy (CFLE) using the Sullivan Method </w:t>
      </w:r>
      <w:r w:rsidR="001177EF">
        <w:rPr>
          <w:rFonts w:ascii="Arial" w:eastAsia="Times New Roman" w:hAnsi="Arial" w:cs="Arial"/>
          <w:sz w:val="24"/>
          <w:szCs w:val="24"/>
        </w:rPr>
        <w:fldChar w:fldCharType="begin" w:fldLock="1"/>
      </w:r>
      <w:r w:rsidR="007C55AA">
        <w:rPr>
          <w:rFonts w:ascii="Arial" w:eastAsia="Times New Roman" w:hAnsi="Arial" w:cs="Arial"/>
          <w:sz w:val="24"/>
          <w:szCs w:val="24"/>
        </w:rPr>
        <w:instrText>ADDIN CSL_CITATION {"citationItems":[{"id":"ITEM-1","itemData":{"ISSN":"0083-1204","PMID":"5554262","author":[{"dropping-particle":"","family":"Sullivan","given":"D.F","non-dropping-particle":"","parse-names":false,"suffix":""}],"container-title":"HSMHA health reports","id":"ITEM-1","issue":"4","issued":{"date-parts":[["1971","4"]]},"page":"347-54","title":"A single index of mortality and morbidity","type":"article-journal","volume":"86"},"uris":["http://www.mendeley.com/documents/?uuid=53ae6c7c-eab6-4718-8411-68f9d0e12fb1"]}],"mendeley":{"formattedCitation":"(24)","plainTextFormattedCitation":"(24)","previouslyFormattedCitation":"(24)"},"properties":{"noteIndex":0},"schema":"https://github.com/citation-style-language/schema/raw/master/csl-citation.json"}</w:instrText>
      </w:r>
      <w:r w:rsidR="001177EF">
        <w:rPr>
          <w:rFonts w:ascii="Arial" w:eastAsia="Times New Roman" w:hAnsi="Arial" w:cs="Arial"/>
          <w:sz w:val="24"/>
          <w:szCs w:val="24"/>
        </w:rPr>
        <w:fldChar w:fldCharType="separate"/>
      </w:r>
      <w:r w:rsidR="006E3374" w:rsidRPr="006E3374">
        <w:rPr>
          <w:rFonts w:ascii="Arial" w:eastAsia="Times New Roman" w:hAnsi="Arial" w:cs="Arial"/>
          <w:noProof/>
          <w:sz w:val="24"/>
          <w:szCs w:val="24"/>
        </w:rPr>
        <w:t>(24)</w:t>
      </w:r>
      <w:r w:rsidR="001177EF">
        <w:rPr>
          <w:rFonts w:ascii="Arial" w:eastAsia="Times New Roman" w:hAnsi="Arial" w:cs="Arial"/>
          <w:sz w:val="24"/>
          <w:szCs w:val="24"/>
        </w:rPr>
        <w:fldChar w:fldCharType="end"/>
      </w:r>
      <w:r w:rsidRPr="000B11C8">
        <w:rPr>
          <w:rFonts w:ascii="Arial" w:eastAsia="Times New Roman" w:hAnsi="Arial" w:cs="Arial"/>
          <w:sz w:val="24"/>
          <w:szCs w:val="24"/>
        </w:rPr>
        <w:t xml:space="preserve">, a methodological approach that has been used before in similar analyses </w:t>
      </w:r>
      <w:r w:rsidR="0003382B">
        <w:rPr>
          <w:rFonts w:ascii="Arial" w:eastAsia="Times New Roman" w:hAnsi="Arial" w:cs="Arial"/>
          <w:sz w:val="24"/>
          <w:szCs w:val="24"/>
        </w:rPr>
        <w:fldChar w:fldCharType="begin" w:fldLock="1"/>
      </w:r>
      <w:r w:rsidR="007C55AA">
        <w:rPr>
          <w:rFonts w:ascii="Arial" w:eastAsia="Times New Roman" w:hAnsi="Arial" w:cs="Arial"/>
          <w:sz w:val="24"/>
          <w:szCs w:val="24"/>
        </w:rPr>
        <w:instrText>ADDIN CSL_CITATION {"citationItems":[{"id":"ITEM-1","itemData":{"DOI":"10.2105/AJPH.2016.303120","author":[{"dropping-particle":"","family":"Crimmins","given":"Eileen M","non-dropping-particle":"","parse-names":false,"suffix":""},{"dropping-particle":"","family":"Zhang","given":"Yuan","non-dropping-particle":"","parse-names":false,"suffix":""},{"dropping-particle":"","family":"Saito","given":"Yasuhiko","non-dropping-particle":"","parse-names":false,"suffix":""}],"id":"ITEM-1","issue":"7","issued":{"date-parts":[["2016"]]},"page":"1287-1293","title":"Trends Over 4 Decades in Disability-Free Life Expectancy in the United States","type":"article-journal","volume":"106"},"uris":["http://www.mendeley.com/documents/?uuid=5f91cfd1-0d5c-4fca-a8ba-8668d91b3001"]}],"mendeley":{"formattedCitation":"(26)","plainTextFormattedCitation":"(26)","previouslyFormattedCitation":"(26)"},"properties":{"noteIndex":0},"schema":"https://github.com/citation-style-language/schema/raw/master/csl-citation.json"}</w:instrText>
      </w:r>
      <w:r w:rsidR="0003382B">
        <w:rPr>
          <w:rFonts w:ascii="Arial" w:eastAsia="Times New Roman" w:hAnsi="Arial" w:cs="Arial"/>
          <w:sz w:val="24"/>
          <w:szCs w:val="24"/>
        </w:rPr>
        <w:fldChar w:fldCharType="separate"/>
      </w:r>
      <w:r w:rsidR="006E3374" w:rsidRPr="006E3374">
        <w:rPr>
          <w:rFonts w:ascii="Arial" w:eastAsia="Times New Roman" w:hAnsi="Arial" w:cs="Arial"/>
          <w:noProof/>
          <w:sz w:val="24"/>
          <w:szCs w:val="24"/>
        </w:rPr>
        <w:t>(26)</w:t>
      </w:r>
      <w:r w:rsidR="0003382B">
        <w:rPr>
          <w:rFonts w:ascii="Arial" w:eastAsia="Times New Roman" w:hAnsi="Arial" w:cs="Arial"/>
          <w:sz w:val="24"/>
          <w:szCs w:val="24"/>
        </w:rPr>
        <w:fldChar w:fldCharType="end"/>
      </w:r>
      <w:r w:rsidRPr="000B11C8">
        <w:rPr>
          <w:rFonts w:ascii="Arial" w:eastAsia="Times New Roman" w:hAnsi="Arial" w:cs="Arial"/>
          <w:sz w:val="24"/>
          <w:szCs w:val="24"/>
        </w:rPr>
        <w:t>. For each age group, we estimate the prevalence of disability and at least one chronic doctor diagnosed condition from the survey data for each country and combine it with the total number of person-years lived obtained from the life tables. The number of person-years lived free of disability (</w:t>
      </w:r>
      <m:oMath>
        <m:sPre>
          <m:sPrePr>
            <m:ctrlPr>
              <w:rPr>
                <w:rFonts w:ascii="Cambria Math" w:eastAsia="Times New Roman" w:hAnsi="Cambria Math" w:cs="Arial"/>
                <w:i/>
                <w:sz w:val="24"/>
                <w:szCs w:val="24"/>
              </w:rPr>
            </m:ctrlPr>
          </m:sPrePr>
          <m:sub>
            <m:r>
              <w:rPr>
                <w:rFonts w:ascii="Cambria Math" w:eastAsia="Times New Roman" w:hAnsi="Cambria Math" w:cs="Arial"/>
                <w:sz w:val="24"/>
                <w:szCs w:val="24"/>
              </w:rPr>
              <m:t>n</m:t>
            </m:r>
          </m:sub>
          <m:sup>
            <m:r>
              <w:rPr>
                <w:rFonts w:ascii="Cambria Math" w:eastAsia="Times New Roman" w:hAnsi="Cambria Math" w:cs="Arial"/>
                <w:sz w:val="24"/>
                <w:szCs w:val="24"/>
              </w:rPr>
              <m:t xml:space="preserve"> </m:t>
            </m:r>
          </m:sup>
          <m:e>
            <m:sSub>
              <m:sSubPr>
                <m:ctrlPr>
                  <w:rPr>
                    <w:rFonts w:ascii="Cambria Math" w:eastAsia="Times New Roman" w:hAnsi="Cambria Math" w:cs="Arial"/>
                    <w:i/>
                    <w:sz w:val="24"/>
                    <w:szCs w:val="24"/>
                  </w:rPr>
                </m:ctrlPr>
              </m:sSubPr>
              <m:e>
                <m:sSubSup>
                  <m:sSubSupPr>
                    <m:ctrlPr>
                      <w:rPr>
                        <w:rFonts w:ascii="Cambria Math" w:eastAsia="Times New Roman" w:hAnsi="Cambria Math" w:cs="Arial"/>
                        <w:i/>
                        <w:sz w:val="24"/>
                        <w:szCs w:val="24"/>
                      </w:rPr>
                    </m:ctrlPr>
                  </m:sSubSupPr>
                  <m:e>
                    <m:r>
                      <w:rPr>
                        <w:rFonts w:ascii="Cambria Math" w:eastAsia="Times New Roman" w:hAnsi="Cambria Math" w:cs="Arial"/>
                        <w:sz w:val="24"/>
                        <w:szCs w:val="24"/>
                      </w:rPr>
                      <m:t>L</m:t>
                    </m:r>
                  </m:e>
                  <m:sub>
                    <m:r>
                      <w:rPr>
                        <w:rFonts w:ascii="Cambria Math" w:eastAsia="Times New Roman" w:hAnsi="Cambria Math" w:cs="Arial"/>
                        <w:sz w:val="24"/>
                        <w:szCs w:val="24"/>
                      </w:rPr>
                      <m:t>x</m:t>
                    </m:r>
                  </m:sub>
                  <m:sup>
                    <m:r>
                      <w:rPr>
                        <w:rFonts w:ascii="Cambria Math" w:eastAsia="Times New Roman" w:hAnsi="Cambria Math" w:cs="Arial"/>
                        <w:sz w:val="24"/>
                        <w:szCs w:val="24"/>
                      </w:rPr>
                      <m:t>i</m:t>
                    </m:r>
                  </m:sup>
                </m:sSubSup>
              </m:e>
              <m:sub>
                <m:r>
                  <w:rPr>
                    <w:rFonts w:ascii="Cambria Math" w:eastAsia="Times New Roman" w:hAnsi="Cambria Math" w:cs="Arial"/>
                    <w:sz w:val="24"/>
                    <w:szCs w:val="24"/>
                  </w:rPr>
                  <m:t xml:space="preserve"> </m:t>
                </m:r>
              </m:sub>
            </m:sSub>
          </m:e>
        </m:sPre>
      </m:oMath>
      <w:r w:rsidRPr="000B11C8">
        <w:rPr>
          <w:rFonts w:ascii="Arial" w:eastAsia="Times New Roman" w:hAnsi="Arial" w:cs="Arial"/>
          <w:sz w:val="24"/>
          <w:szCs w:val="24"/>
        </w:rPr>
        <w:t>) is calculated as,</w:t>
      </w:r>
    </w:p>
    <w:p w14:paraId="57B9AB9B" w14:textId="77777777" w:rsidR="000B11C8" w:rsidRPr="000B11C8" w:rsidRDefault="000B11C8" w:rsidP="000B11C8">
      <w:pPr>
        <w:spacing w:after="0"/>
        <w:rPr>
          <w:rFonts w:ascii="Arial" w:eastAsia="Times New Roman" w:hAnsi="Arial" w:cs="Arial"/>
          <w:sz w:val="24"/>
          <w:szCs w:val="24"/>
        </w:rPr>
      </w:pPr>
    </w:p>
    <w:p w14:paraId="08F94CA0" w14:textId="77777777" w:rsidR="000B11C8" w:rsidRPr="000B11C8" w:rsidRDefault="000B11C8" w:rsidP="000B11C8">
      <w:pPr>
        <w:spacing w:line="360" w:lineRule="auto"/>
        <w:rPr>
          <w:rFonts w:ascii="Arial" w:eastAsia="Times New Roman" w:hAnsi="Arial" w:cs="Arial"/>
          <w:sz w:val="24"/>
          <w:szCs w:val="24"/>
        </w:rPr>
      </w:pPr>
      <m:oMathPara>
        <m:oMath>
          <m:eqArr>
            <m:eqArrPr>
              <m:maxDist m:val="1"/>
              <m:ctrlPr>
                <w:rPr>
                  <w:rFonts w:ascii="Cambria Math" w:eastAsia="Times New Roman" w:hAnsi="Cambria Math" w:cs="Arial"/>
                  <w:i/>
                  <w:sz w:val="24"/>
                  <w:szCs w:val="24"/>
                </w:rPr>
              </m:ctrlPr>
            </m:eqArrPr>
            <m:e>
              <m:sPre>
                <m:sPrePr>
                  <m:ctrlPr>
                    <w:rPr>
                      <w:rFonts w:ascii="Cambria Math" w:eastAsia="Times New Roman" w:hAnsi="Cambria Math" w:cs="Arial"/>
                      <w:i/>
                      <w:sz w:val="24"/>
                      <w:szCs w:val="24"/>
                    </w:rPr>
                  </m:ctrlPr>
                </m:sPrePr>
                <m:sub>
                  <m:r>
                    <w:rPr>
                      <w:rFonts w:ascii="Cambria Math" w:eastAsia="Times New Roman" w:hAnsi="Cambria Math" w:cs="Arial"/>
                      <w:sz w:val="24"/>
                      <w:szCs w:val="24"/>
                    </w:rPr>
                    <m:t>n</m:t>
                  </m:r>
                </m:sub>
                <m:sup>
                  <m:r>
                    <w:rPr>
                      <w:rFonts w:ascii="Cambria Math" w:eastAsia="Times New Roman" w:hAnsi="Cambria Math" w:cs="Arial"/>
                      <w:sz w:val="24"/>
                      <w:szCs w:val="24"/>
                    </w:rPr>
                    <m:t xml:space="preserve"> </m:t>
                  </m:r>
                </m:sup>
                <m:e>
                  <m:sSub>
                    <m:sSubPr>
                      <m:ctrlPr>
                        <w:rPr>
                          <w:rFonts w:ascii="Cambria Math" w:eastAsia="Times New Roman" w:hAnsi="Cambria Math" w:cs="Arial"/>
                          <w:i/>
                          <w:sz w:val="24"/>
                          <w:szCs w:val="24"/>
                        </w:rPr>
                      </m:ctrlPr>
                    </m:sSubPr>
                    <m:e>
                      <m:sSubSup>
                        <m:sSubSupPr>
                          <m:ctrlPr>
                            <w:rPr>
                              <w:rFonts w:ascii="Cambria Math" w:eastAsia="Times New Roman" w:hAnsi="Cambria Math" w:cs="Arial"/>
                              <w:i/>
                              <w:sz w:val="24"/>
                              <w:szCs w:val="24"/>
                            </w:rPr>
                          </m:ctrlPr>
                        </m:sSubSupPr>
                        <m:e>
                          <m:r>
                            <w:rPr>
                              <w:rFonts w:ascii="Cambria Math" w:eastAsia="Times New Roman" w:hAnsi="Cambria Math" w:cs="Arial"/>
                              <w:sz w:val="24"/>
                              <w:szCs w:val="24"/>
                            </w:rPr>
                            <m:t>L</m:t>
                          </m:r>
                        </m:e>
                        <m:sub>
                          <m:r>
                            <w:rPr>
                              <w:rFonts w:ascii="Cambria Math" w:eastAsia="Times New Roman" w:hAnsi="Cambria Math" w:cs="Arial"/>
                              <w:sz w:val="24"/>
                              <w:szCs w:val="24"/>
                            </w:rPr>
                            <m:t>x</m:t>
                          </m:r>
                        </m:sub>
                        <m:sup>
                          <m:r>
                            <w:rPr>
                              <w:rFonts w:ascii="Cambria Math" w:eastAsia="Times New Roman" w:hAnsi="Cambria Math" w:cs="Arial"/>
                              <w:sz w:val="24"/>
                              <w:szCs w:val="24"/>
                            </w:rPr>
                            <m:t>i</m:t>
                          </m:r>
                        </m:sup>
                      </m:sSubSup>
                    </m:e>
                    <m:sub>
                      <m:r>
                        <w:rPr>
                          <w:rFonts w:ascii="Cambria Math" w:eastAsia="Times New Roman" w:hAnsi="Cambria Math" w:cs="Arial"/>
                          <w:sz w:val="24"/>
                          <w:szCs w:val="24"/>
                        </w:rPr>
                        <m:t xml:space="preserve"> </m:t>
                      </m:r>
                    </m:sub>
                  </m:sSub>
                </m:e>
              </m:sPre>
              <m:r>
                <w:rPr>
                  <w:rFonts w:ascii="Cambria Math" w:eastAsia="Times New Roman" w:hAnsi="Cambria Math" w:cs="Arial"/>
                  <w:sz w:val="24"/>
                  <w:szCs w:val="24"/>
                </w:rPr>
                <m:t>=</m:t>
              </m:r>
              <m:sPre>
                <m:sPrePr>
                  <m:ctrlPr>
                    <w:rPr>
                      <w:rFonts w:ascii="Cambria Math" w:eastAsia="Times New Roman" w:hAnsi="Cambria Math" w:cs="Arial"/>
                      <w:i/>
                      <w:sz w:val="24"/>
                      <w:szCs w:val="24"/>
                    </w:rPr>
                  </m:ctrlPr>
                </m:sPrePr>
                <m:sub>
                  <m:r>
                    <w:rPr>
                      <w:rFonts w:ascii="Cambria Math" w:eastAsia="Times New Roman" w:hAnsi="Cambria Math" w:cs="Arial"/>
                      <w:sz w:val="24"/>
                      <w:szCs w:val="24"/>
                    </w:rPr>
                    <m:t>n</m:t>
                  </m:r>
                </m:sub>
                <m:sup>
                  <m:r>
                    <w:rPr>
                      <w:rFonts w:ascii="Cambria Math" w:eastAsia="Times New Roman" w:hAnsi="Cambria Math" w:cs="Arial"/>
                      <w:sz w:val="24"/>
                      <w:szCs w:val="24"/>
                    </w:rPr>
                    <m:t xml:space="preserve"> </m:t>
                  </m:r>
                </m:sup>
                <m:e>
                  <m:sSub>
                    <m:sSubPr>
                      <m:ctrlPr>
                        <w:rPr>
                          <w:rFonts w:ascii="Cambria Math" w:eastAsia="Times New Roman" w:hAnsi="Cambria Math" w:cs="Arial"/>
                          <w:i/>
                          <w:sz w:val="24"/>
                          <w:szCs w:val="24"/>
                        </w:rPr>
                      </m:ctrlPr>
                    </m:sSubPr>
                    <m:e>
                      <m:sSubSup>
                        <m:sSubSupPr>
                          <m:ctrlPr>
                            <w:rPr>
                              <w:rFonts w:ascii="Cambria Math" w:eastAsia="Times New Roman" w:hAnsi="Cambria Math" w:cs="Arial"/>
                              <w:i/>
                              <w:sz w:val="24"/>
                              <w:szCs w:val="24"/>
                            </w:rPr>
                          </m:ctrlPr>
                        </m:sSubSupPr>
                        <m:e>
                          <m:r>
                            <w:rPr>
                              <w:rFonts w:ascii="Cambria Math" w:eastAsia="Times New Roman" w:hAnsi="Cambria Math" w:cs="Arial"/>
                              <w:sz w:val="24"/>
                              <w:szCs w:val="24"/>
                            </w:rPr>
                            <m:t>L</m:t>
                          </m:r>
                        </m:e>
                        <m:sub>
                          <m:r>
                            <w:rPr>
                              <w:rFonts w:ascii="Cambria Math" w:eastAsia="Times New Roman" w:hAnsi="Cambria Math" w:cs="Arial"/>
                              <w:sz w:val="24"/>
                              <w:szCs w:val="24"/>
                            </w:rPr>
                            <m:t>x</m:t>
                          </m:r>
                        </m:sub>
                        <m:sup>
                          <m:r>
                            <w:rPr>
                              <w:rFonts w:ascii="Cambria Math" w:eastAsia="Times New Roman" w:hAnsi="Cambria Math" w:cs="Arial"/>
                              <w:sz w:val="24"/>
                              <w:szCs w:val="24"/>
                            </w:rPr>
                            <m:t xml:space="preserve"> </m:t>
                          </m:r>
                        </m:sup>
                      </m:sSubSup>
                    </m:e>
                    <m:sub>
                      <m:r>
                        <w:rPr>
                          <w:rFonts w:ascii="Cambria Math" w:eastAsia="Times New Roman" w:hAnsi="Cambria Math" w:cs="Arial"/>
                          <w:sz w:val="24"/>
                          <w:szCs w:val="24"/>
                        </w:rPr>
                        <m:t xml:space="preserve"> </m:t>
                      </m:r>
                    </m:sub>
                  </m:sSub>
                  <m:d>
                    <m:dPr>
                      <m:ctrlPr>
                        <w:rPr>
                          <w:rFonts w:ascii="Cambria Math" w:eastAsia="Times New Roman" w:hAnsi="Cambria Math" w:cs="Arial"/>
                          <w:i/>
                          <w:sz w:val="24"/>
                          <w:szCs w:val="24"/>
                        </w:rPr>
                      </m:ctrlPr>
                    </m:dPr>
                    <m:e>
                      <m:r>
                        <w:rPr>
                          <w:rFonts w:ascii="Cambria Math" w:eastAsia="Times New Roman" w:hAnsi="Cambria Math" w:cs="Arial"/>
                          <w:sz w:val="24"/>
                          <w:szCs w:val="24"/>
                        </w:rPr>
                        <m:t>1-</m:t>
                      </m:r>
                      <m:sPre>
                        <m:sPrePr>
                          <m:ctrlPr>
                            <w:rPr>
                              <w:rFonts w:ascii="Cambria Math" w:eastAsia="Times New Roman" w:hAnsi="Cambria Math" w:cs="Arial"/>
                              <w:i/>
                              <w:sz w:val="24"/>
                              <w:szCs w:val="24"/>
                            </w:rPr>
                          </m:ctrlPr>
                        </m:sPrePr>
                        <m:sub>
                          <m:r>
                            <w:rPr>
                              <w:rFonts w:ascii="Cambria Math" w:eastAsia="Times New Roman" w:hAnsi="Cambria Math" w:cs="Arial"/>
                              <w:sz w:val="24"/>
                              <w:szCs w:val="24"/>
                            </w:rPr>
                            <m:t>n</m:t>
                          </m:r>
                        </m:sub>
                        <m:sup>
                          <m:r>
                            <w:rPr>
                              <w:rFonts w:ascii="Cambria Math" w:eastAsia="Times New Roman" w:hAnsi="Cambria Math" w:cs="Arial"/>
                              <w:sz w:val="24"/>
                              <w:szCs w:val="24"/>
                            </w:rPr>
                            <m:t xml:space="preserve"> </m:t>
                          </m:r>
                        </m:sup>
                        <m:e>
                          <m:sSub>
                            <m:sSubPr>
                              <m:ctrlPr>
                                <w:rPr>
                                  <w:rFonts w:ascii="Cambria Math" w:eastAsia="Times New Roman" w:hAnsi="Cambria Math" w:cs="Arial"/>
                                  <w:i/>
                                  <w:sz w:val="24"/>
                                  <w:szCs w:val="24"/>
                                </w:rPr>
                              </m:ctrlPr>
                            </m:sSubPr>
                            <m:e>
                              <m:sSubSup>
                                <m:sSubSupPr>
                                  <m:ctrlPr>
                                    <w:rPr>
                                      <w:rFonts w:ascii="Cambria Math" w:eastAsia="Times New Roman" w:hAnsi="Cambria Math" w:cs="Arial"/>
                                      <w:i/>
                                      <w:sz w:val="24"/>
                                      <w:szCs w:val="24"/>
                                    </w:rPr>
                                  </m:ctrlPr>
                                </m:sSubSupPr>
                                <m:e>
                                  <m:r>
                                    <w:rPr>
                                      <w:rFonts w:ascii="Cambria Math" w:eastAsia="Times New Roman" w:hAnsi="Cambria Math" w:cs="Arial"/>
                                      <w:sz w:val="24"/>
                                      <w:szCs w:val="24"/>
                                    </w:rPr>
                                    <m:t>π</m:t>
                                  </m:r>
                                </m:e>
                                <m:sub>
                                  <m:r>
                                    <w:rPr>
                                      <w:rFonts w:ascii="Cambria Math" w:eastAsia="Times New Roman" w:hAnsi="Cambria Math" w:cs="Arial"/>
                                      <w:sz w:val="24"/>
                                      <w:szCs w:val="24"/>
                                    </w:rPr>
                                    <m:t>x</m:t>
                                  </m:r>
                                </m:sub>
                                <m:sup>
                                  <m:r>
                                    <w:rPr>
                                      <w:rFonts w:ascii="Cambria Math" w:eastAsia="Times New Roman" w:hAnsi="Cambria Math" w:cs="Arial"/>
                                      <w:sz w:val="24"/>
                                      <w:szCs w:val="24"/>
                                    </w:rPr>
                                    <m:t xml:space="preserve"> </m:t>
                                  </m:r>
                                </m:sup>
                              </m:sSubSup>
                            </m:e>
                            <m:sub>
                              <m:r>
                                <w:rPr>
                                  <w:rFonts w:ascii="Cambria Math" w:eastAsia="Times New Roman" w:hAnsi="Cambria Math" w:cs="Arial"/>
                                  <w:sz w:val="24"/>
                                  <w:szCs w:val="24"/>
                                </w:rPr>
                                <m:t xml:space="preserve"> </m:t>
                              </m:r>
                            </m:sub>
                          </m:sSub>
                        </m:e>
                      </m:sPre>
                    </m:e>
                  </m:d>
                </m:e>
              </m:sPre>
              <m:r>
                <w:rPr>
                  <w:rFonts w:ascii="Cambria Math" w:eastAsia="Times New Roman" w:hAnsi="Cambria Math" w:cs="Arial"/>
                  <w:sz w:val="24"/>
                  <w:szCs w:val="24"/>
                </w:rPr>
                <m:t>#(1)</m:t>
              </m:r>
            </m:e>
          </m:eqArr>
        </m:oMath>
      </m:oMathPara>
    </w:p>
    <w:p w14:paraId="5EFD5E81" w14:textId="77777777" w:rsidR="000B11C8" w:rsidRPr="000B11C8" w:rsidRDefault="000B11C8" w:rsidP="000B11C8">
      <w:pPr>
        <w:spacing w:line="360" w:lineRule="auto"/>
        <w:rPr>
          <w:rFonts w:ascii="Arial" w:eastAsia="Times New Roman" w:hAnsi="Arial" w:cs="Arial"/>
          <w:sz w:val="24"/>
          <w:szCs w:val="24"/>
        </w:rPr>
      </w:pPr>
    </w:p>
    <w:p w14:paraId="391F6689" w14:textId="77777777" w:rsidR="000B11C8" w:rsidRPr="000B11C8" w:rsidRDefault="000B11C8" w:rsidP="000B11C8">
      <w:pPr>
        <w:spacing w:after="0"/>
        <w:rPr>
          <w:rFonts w:ascii="Arial" w:eastAsia="Times New Roman" w:hAnsi="Arial" w:cs="Arial"/>
          <w:sz w:val="24"/>
          <w:szCs w:val="24"/>
        </w:rPr>
      </w:pPr>
    </w:p>
    <w:p w14:paraId="04AD7049" w14:textId="77777777" w:rsidR="000B11C8" w:rsidRPr="000B11C8" w:rsidRDefault="000B11C8" w:rsidP="000B11C8">
      <w:pPr>
        <w:spacing w:after="0"/>
        <w:jc w:val="center"/>
        <w:rPr>
          <w:rFonts w:ascii="Arial" w:eastAsia="Times New Roman" w:hAnsi="Arial" w:cs="Arial"/>
          <w:sz w:val="24"/>
          <w:szCs w:val="24"/>
        </w:rPr>
      </w:pPr>
    </w:p>
    <w:p w14:paraId="20CEE952" w14:textId="3CD9AE1B" w:rsidR="006A1FC7" w:rsidRPr="000B11C8" w:rsidRDefault="000B11C8" w:rsidP="000B11C8">
      <w:pPr>
        <w:spacing w:line="360" w:lineRule="auto"/>
        <w:jc w:val="both"/>
        <w:rPr>
          <w:rFonts w:ascii="Arial" w:eastAsia="Times New Roman" w:hAnsi="Arial" w:cs="Arial"/>
          <w:sz w:val="24"/>
          <w:szCs w:val="24"/>
        </w:rPr>
      </w:pPr>
      <w:r w:rsidRPr="000B11C8">
        <w:rPr>
          <w:rFonts w:ascii="Arial" w:eastAsia="Times New Roman" w:hAnsi="Arial" w:cs="Arial"/>
          <w:sz w:val="24"/>
          <w:szCs w:val="24"/>
        </w:rPr>
        <w:t xml:space="preserve">where </w:t>
      </w:r>
      <w:proofErr w:type="spellStart"/>
      <w:proofErr w:type="gramStart"/>
      <w:r w:rsidRPr="000B11C8">
        <w:rPr>
          <w:rFonts w:ascii="Arial" w:eastAsia="Times New Roman" w:hAnsi="Arial" w:cs="Arial"/>
          <w:i/>
          <w:sz w:val="24"/>
          <w:szCs w:val="24"/>
          <w:vertAlign w:val="subscript"/>
        </w:rPr>
        <w:t>n</w:t>
      </w:r>
      <w:r w:rsidRPr="000B11C8">
        <w:rPr>
          <w:rFonts w:ascii="Arial" w:eastAsia="Times New Roman" w:hAnsi="Arial" w:cs="Arial"/>
          <w:i/>
          <w:sz w:val="24"/>
          <w:szCs w:val="24"/>
        </w:rPr>
        <w:t>L</w:t>
      </w:r>
      <w:r w:rsidRPr="000B11C8">
        <w:rPr>
          <w:rFonts w:ascii="Arial" w:eastAsia="Times New Roman" w:hAnsi="Arial" w:cs="Arial"/>
          <w:i/>
          <w:sz w:val="24"/>
          <w:szCs w:val="24"/>
          <w:vertAlign w:val="subscript"/>
        </w:rPr>
        <w:t>x</w:t>
      </w:r>
      <w:r w:rsidRPr="000B11C8">
        <w:rPr>
          <w:rFonts w:ascii="Arial" w:eastAsia="Times New Roman" w:hAnsi="Arial" w:cs="Arial"/>
          <w:i/>
          <w:sz w:val="24"/>
          <w:szCs w:val="24"/>
          <w:vertAlign w:val="superscript"/>
        </w:rPr>
        <w:t>i</w:t>
      </w:r>
      <w:proofErr w:type="spellEnd"/>
      <w:r w:rsidRPr="000B11C8">
        <w:rPr>
          <w:rFonts w:ascii="Arial" w:eastAsia="Times New Roman" w:hAnsi="Arial" w:cs="Arial"/>
          <w:i/>
          <w:sz w:val="24"/>
          <w:szCs w:val="24"/>
        </w:rPr>
        <w:t xml:space="preserve"> </w:t>
      </w:r>
      <w:r w:rsidRPr="000B11C8">
        <w:rPr>
          <w:rFonts w:ascii="Arial" w:eastAsia="Times New Roman" w:hAnsi="Arial" w:cs="Arial"/>
          <w:sz w:val="24"/>
          <w:szCs w:val="24"/>
        </w:rPr>
        <w:t xml:space="preserve"> is</w:t>
      </w:r>
      <w:proofErr w:type="gramEnd"/>
      <w:r w:rsidRPr="000B11C8">
        <w:rPr>
          <w:rFonts w:ascii="Arial" w:eastAsia="Times New Roman" w:hAnsi="Arial" w:cs="Arial"/>
          <w:sz w:val="24"/>
          <w:szCs w:val="24"/>
        </w:rPr>
        <w:t xml:space="preserve"> the number of person-years lived without disability between ages</w:t>
      </w:r>
      <w:r w:rsidRPr="000B11C8">
        <w:rPr>
          <w:rFonts w:ascii="Arial" w:eastAsia="Times New Roman" w:hAnsi="Arial" w:cs="Arial"/>
          <w:i/>
          <w:sz w:val="24"/>
          <w:szCs w:val="24"/>
        </w:rPr>
        <w:t xml:space="preserve"> x</w:t>
      </w:r>
      <w:r w:rsidRPr="000B11C8">
        <w:rPr>
          <w:rFonts w:ascii="Arial" w:eastAsia="Times New Roman" w:hAnsi="Arial" w:cs="Arial"/>
          <w:sz w:val="24"/>
          <w:szCs w:val="24"/>
        </w:rPr>
        <w:t xml:space="preserve"> and </w:t>
      </w:r>
      <w:proofErr w:type="spellStart"/>
      <w:r w:rsidRPr="000B11C8">
        <w:rPr>
          <w:rFonts w:ascii="Arial" w:eastAsia="Times New Roman" w:hAnsi="Arial" w:cs="Arial"/>
          <w:i/>
          <w:sz w:val="24"/>
          <w:szCs w:val="24"/>
        </w:rPr>
        <w:t>x+n</w:t>
      </w:r>
      <w:proofErr w:type="spellEnd"/>
      <w:r w:rsidRPr="000B11C8">
        <w:rPr>
          <w:rFonts w:ascii="Arial" w:eastAsia="Times New Roman" w:hAnsi="Arial" w:cs="Arial"/>
          <w:sz w:val="24"/>
          <w:szCs w:val="24"/>
        </w:rPr>
        <w:t xml:space="preserve">, </w:t>
      </w:r>
      <w:proofErr w:type="spellStart"/>
      <w:r w:rsidRPr="000B11C8">
        <w:rPr>
          <w:rFonts w:ascii="Arial" w:eastAsia="Times New Roman" w:hAnsi="Arial" w:cs="Arial"/>
          <w:i/>
          <w:sz w:val="24"/>
          <w:szCs w:val="24"/>
          <w:vertAlign w:val="subscript"/>
        </w:rPr>
        <w:t>n</w:t>
      </w:r>
      <w:r w:rsidRPr="000B11C8">
        <w:rPr>
          <w:rFonts w:ascii="Arial" w:eastAsia="Times New Roman" w:hAnsi="Arial" w:cs="Arial"/>
          <w:i/>
          <w:sz w:val="24"/>
          <w:szCs w:val="24"/>
        </w:rPr>
        <w:t>L</w:t>
      </w:r>
      <w:r w:rsidRPr="000B11C8">
        <w:rPr>
          <w:rFonts w:ascii="Arial" w:eastAsia="Times New Roman" w:hAnsi="Arial" w:cs="Arial"/>
          <w:i/>
          <w:sz w:val="24"/>
          <w:szCs w:val="24"/>
          <w:vertAlign w:val="subscript"/>
        </w:rPr>
        <w:t>x</w:t>
      </w:r>
      <w:proofErr w:type="spellEnd"/>
      <w:r w:rsidRPr="000B11C8">
        <w:rPr>
          <w:rFonts w:ascii="Arial" w:eastAsia="Times New Roman" w:hAnsi="Arial" w:cs="Arial"/>
          <w:sz w:val="24"/>
          <w:szCs w:val="24"/>
        </w:rPr>
        <w:t xml:space="preserve"> is the total number of person-years lived in the age group </w:t>
      </w:r>
      <w:r w:rsidRPr="000B11C8">
        <w:rPr>
          <w:rFonts w:ascii="Arial" w:eastAsia="Times New Roman" w:hAnsi="Arial" w:cs="Arial"/>
          <w:i/>
          <w:sz w:val="24"/>
          <w:szCs w:val="24"/>
        </w:rPr>
        <w:t>x</w:t>
      </w:r>
      <w:r w:rsidRPr="000B11C8">
        <w:rPr>
          <w:rFonts w:ascii="Arial" w:eastAsia="Times New Roman" w:hAnsi="Arial" w:cs="Arial"/>
          <w:sz w:val="24"/>
          <w:szCs w:val="24"/>
        </w:rPr>
        <w:t xml:space="preserve"> and </w:t>
      </w:r>
      <w:proofErr w:type="spellStart"/>
      <w:r w:rsidRPr="000B11C8">
        <w:rPr>
          <w:rFonts w:ascii="Arial" w:eastAsia="Times New Roman" w:hAnsi="Arial" w:cs="Arial"/>
          <w:i/>
          <w:sz w:val="24"/>
          <w:szCs w:val="24"/>
        </w:rPr>
        <w:t>x+n</w:t>
      </w:r>
      <w:proofErr w:type="spellEnd"/>
      <w:r w:rsidRPr="000B11C8">
        <w:rPr>
          <w:rFonts w:ascii="Arial" w:eastAsia="Times New Roman" w:hAnsi="Arial" w:cs="Arial"/>
          <w:sz w:val="24"/>
          <w:szCs w:val="24"/>
        </w:rPr>
        <w:t xml:space="preserve">, and </w:t>
      </w:r>
      <w:r w:rsidRPr="000B11C8">
        <w:rPr>
          <w:rFonts w:ascii="Arial" w:eastAsia="Times New Roman" w:hAnsi="Arial" w:cs="Arial"/>
          <w:i/>
          <w:sz w:val="24"/>
          <w:szCs w:val="24"/>
          <w:vertAlign w:val="subscript"/>
        </w:rPr>
        <w:t>n</w:t>
      </w:r>
      <w:r w:rsidRPr="000B11C8">
        <w:rPr>
          <w:rFonts w:ascii="Arial" w:eastAsia="Times New Roman" w:hAnsi="Arial" w:cs="Arial"/>
          <w:i/>
          <w:sz w:val="24"/>
          <w:szCs w:val="24"/>
        </w:rPr>
        <w:t>π</w:t>
      </w:r>
      <w:r w:rsidRPr="000B11C8">
        <w:rPr>
          <w:rFonts w:ascii="Arial" w:eastAsia="Times New Roman" w:hAnsi="Arial" w:cs="Arial"/>
          <w:i/>
          <w:sz w:val="24"/>
          <w:szCs w:val="24"/>
          <w:vertAlign w:val="subscript"/>
        </w:rPr>
        <w:t>x</w:t>
      </w:r>
      <w:r w:rsidRPr="000B11C8">
        <w:rPr>
          <w:rFonts w:ascii="Arial" w:eastAsia="Times New Roman" w:hAnsi="Arial" w:cs="Arial"/>
          <w:sz w:val="24"/>
          <w:szCs w:val="24"/>
        </w:rPr>
        <w:t xml:space="preserve"> is the proportion of disabled individuals in the age group </w:t>
      </w:r>
      <w:r w:rsidRPr="000B11C8">
        <w:rPr>
          <w:rFonts w:ascii="Arial" w:eastAsia="Times New Roman" w:hAnsi="Arial" w:cs="Arial"/>
          <w:i/>
          <w:sz w:val="24"/>
          <w:szCs w:val="24"/>
        </w:rPr>
        <w:t xml:space="preserve">x </w:t>
      </w:r>
      <w:r w:rsidRPr="000B11C8">
        <w:rPr>
          <w:rFonts w:ascii="Arial" w:eastAsia="Times New Roman" w:hAnsi="Arial" w:cs="Arial"/>
          <w:sz w:val="24"/>
          <w:szCs w:val="24"/>
        </w:rPr>
        <w:t xml:space="preserve">and </w:t>
      </w:r>
      <w:proofErr w:type="spellStart"/>
      <w:r w:rsidRPr="000B11C8">
        <w:rPr>
          <w:rFonts w:ascii="Arial" w:eastAsia="Times New Roman" w:hAnsi="Arial" w:cs="Arial"/>
          <w:i/>
          <w:sz w:val="24"/>
          <w:szCs w:val="24"/>
        </w:rPr>
        <w:t>x+n</w:t>
      </w:r>
      <w:proofErr w:type="spellEnd"/>
      <w:r w:rsidRPr="000B11C8">
        <w:rPr>
          <w:rFonts w:ascii="Arial" w:eastAsia="Times New Roman" w:hAnsi="Arial" w:cs="Arial"/>
          <w:sz w:val="24"/>
          <w:szCs w:val="24"/>
        </w:rPr>
        <w:t xml:space="preserve">. The same is for chronic-free person-years lived, however with the prevalence for at least one chronic condition instead of prevalence of ADLs, and we call the person-years derived by the same process as </w:t>
      </w:r>
      <m:oMath>
        <m:sPre>
          <m:sPrePr>
            <m:ctrlPr>
              <w:rPr>
                <w:rFonts w:ascii="Cambria Math" w:eastAsia="Times New Roman" w:hAnsi="Cambria Math" w:cs="Arial"/>
                <w:i/>
                <w:sz w:val="24"/>
                <w:szCs w:val="24"/>
              </w:rPr>
            </m:ctrlPr>
          </m:sPrePr>
          <m:sub>
            <m:r>
              <w:rPr>
                <w:rFonts w:ascii="Cambria Math" w:eastAsia="Times New Roman" w:hAnsi="Cambria Math" w:cs="Arial"/>
                <w:sz w:val="24"/>
                <w:szCs w:val="24"/>
              </w:rPr>
              <m:t>n</m:t>
            </m:r>
          </m:sub>
          <m:sup>
            <m:r>
              <w:rPr>
                <w:rFonts w:ascii="Cambria Math" w:eastAsia="Times New Roman" w:hAnsi="Cambria Math" w:cs="Arial"/>
                <w:sz w:val="24"/>
                <w:szCs w:val="24"/>
              </w:rPr>
              <m:t xml:space="preserve"> </m:t>
            </m:r>
          </m:sup>
          <m:e>
            <m:r>
              <w:rPr>
                <w:rFonts w:ascii="Cambria Math" w:eastAsia="Times New Roman" w:hAnsi="Cambria Math" w:cs="Arial"/>
                <w:sz w:val="24"/>
                <w:szCs w:val="24"/>
              </w:rPr>
              <m:t>L</m:t>
            </m:r>
          </m:e>
        </m:sPre>
        <m:sSubSup>
          <m:sSubSupPr>
            <m:ctrlPr>
              <w:rPr>
                <w:rFonts w:ascii="Cambria Math" w:eastAsia="Times New Roman" w:hAnsi="Cambria Math" w:cs="Arial"/>
                <w:i/>
                <w:sz w:val="24"/>
                <w:szCs w:val="24"/>
              </w:rPr>
            </m:ctrlPr>
          </m:sSubSupPr>
          <m:e>
            <m:r>
              <w:rPr>
                <w:rFonts w:ascii="Cambria Math" w:eastAsia="Times New Roman" w:hAnsi="Cambria Math" w:cs="Arial"/>
                <w:sz w:val="24"/>
                <w:szCs w:val="24"/>
              </w:rPr>
              <m:t xml:space="preserve"> </m:t>
            </m:r>
          </m:e>
          <m:sub>
            <m:r>
              <w:rPr>
                <w:rFonts w:ascii="Cambria Math" w:eastAsia="Times New Roman" w:hAnsi="Cambria Math" w:cs="Arial"/>
                <w:sz w:val="24"/>
                <w:szCs w:val="24"/>
              </w:rPr>
              <m:t>k</m:t>
            </m:r>
          </m:sub>
          <m:sup>
            <m:r>
              <w:rPr>
                <w:rFonts w:ascii="Cambria Math" w:eastAsia="Times New Roman" w:hAnsi="Cambria Math" w:cs="Arial"/>
                <w:sz w:val="24"/>
                <w:szCs w:val="24"/>
              </w:rPr>
              <m:t>c</m:t>
            </m:r>
          </m:sup>
        </m:sSubSup>
      </m:oMath>
      <w:r w:rsidRPr="000B11C8">
        <w:rPr>
          <w:rFonts w:ascii="Arial" w:eastAsia="Times New Roman" w:hAnsi="Arial" w:cs="Arial"/>
          <w:sz w:val="24"/>
          <w:szCs w:val="24"/>
        </w:rPr>
        <w:t>.</w:t>
      </w:r>
    </w:p>
    <w:p w14:paraId="3F451360" w14:textId="77777777" w:rsidR="000B11C8" w:rsidRPr="000B11C8" w:rsidRDefault="000B11C8" w:rsidP="000B11C8">
      <w:pPr>
        <w:spacing w:line="360" w:lineRule="auto"/>
        <w:jc w:val="both"/>
        <w:rPr>
          <w:rFonts w:ascii="Arial" w:eastAsia="Times New Roman" w:hAnsi="Arial" w:cs="Arial"/>
          <w:sz w:val="24"/>
          <w:szCs w:val="24"/>
        </w:rPr>
      </w:pPr>
      <w:r w:rsidRPr="000B11C8">
        <w:rPr>
          <w:rFonts w:ascii="Arial" w:eastAsia="Times New Roman" w:hAnsi="Arial" w:cs="Arial"/>
          <w:sz w:val="24"/>
          <w:szCs w:val="24"/>
        </w:rPr>
        <w:t>Then, life expectancy free of disability (</w:t>
      </w:r>
      <w:r w:rsidRPr="000B11C8">
        <w:rPr>
          <w:rFonts w:ascii="Arial" w:eastAsia="Times New Roman" w:hAnsi="Arial" w:cs="Arial"/>
          <w:i/>
          <w:sz w:val="24"/>
          <w:szCs w:val="24"/>
        </w:rPr>
        <w:t>DFLE</w:t>
      </w:r>
      <w:r w:rsidRPr="000B11C8">
        <w:rPr>
          <w:rFonts w:ascii="Arial" w:eastAsia="Times New Roman" w:hAnsi="Arial" w:cs="Arial"/>
          <w:sz w:val="24"/>
          <w:szCs w:val="24"/>
        </w:rPr>
        <w:t>) is calculated as:</w:t>
      </w:r>
    </w:p>
    <w:p w14:paraId="58051B79" w14:textId="77777777" w:rsidR="000B11C8" w:rsidRPr="000B11C8" w:rsidRDefault="000B11C8" w:rsidP="000B11C8">
      <w:pPr>
        <w:spacing w:line="360" w:lineRule="auto"/>
        <w:jc w:val="both"/>
        <w:rPr>
          <w:rFonts w:ascii="Arial" w:eastAsia="Times New Roman" w:hAnsi="Arial" w:cs="Arial"/>
          <w:sz w:val="24"/>
          <w:szCs w:val="24"/>
        </w:rPr>
      </w:pPr>
      <m:oMathPara>
        <m:oMath>
          <m:eqArr>
            <m:eqArrPr>
              <m:maxDist m:val="1"/>
              <m:ctrlPr>
                <w:rPr>
                  <w:rFonts w:ascii="Cambria Math" w:eastAsia="Times New Roman" w:hAnsi="Cambria Math" w:cs="Arial"/>
                  <w:i/>
                  <w:sz w:val="24"/>
                  <w:szCs w:val="24"/>
                </w:rPr>
              </m:ctrlPr>
            </m:eqArrPr>
            <m:e>
              <m:sSubSup>
                <m:sSubSupPr>
                  <m:ctrlPr>
                    <w:rPr>
                      <w:rFonts w:ascii="Cambria Math" w:eastAsia="Times New Roman" w:hAnsi="Cambria Math" w:cs="Arial"/>
                      <w:i/>
                      <w:sz w:val="24"/>
                      <w:szCs w:val="24"/>
                    </w:rPr>
                  </m:ctrlPr>
                </m:sSubSupPr>
                <m:e>
                  <m:r>
                    <w:rPr>
                      <w:rFonts w:ascii="Cambria Math" w:eastAsia="Times New Roman" w:hAnsi="Cambria Math" w:cs="Arial"/>
                      <w:sz w:val="24"/>
                      <w:szCs w:val="24"/>
                    </w:rPr>
                    <m:t>DFLE</m:t>
                  </m:r>
                </m:e>
                <m:sub>
                  <m:r>
                    <w:rPr>
                      <w:rFonts w:ascii="Cambria Math" w:eastAsia="Times New Roman" w:hAnsi="Cambria Math" w:cs="Arial"/>
                      <w:sz w:val="24"/>
                      <w:szCs w:val="24"/>
                    </w:rPr>
                    <m:t>x</m:t>
                  </m:r>
                </m:sub>
                <m:sup>
                  <m:r>
                    <w:rPr>
                      <w:rFonts w:ascii="Cambria Math" w:eastAsia="Times New Roman" w:hAnsi="Cambria Math" w:cs="Arial"/>
                      <w:sz w:val="24"/>
                      <w:szCs w:val="24"/>
                    </w:rPr>
                    <m:t xml:space="preserve"> </m:t>
                  </m:r>
                </m:sup>
              </m:sSubSup>
              <m:r>
                <w:rPr>
                  <w:rFonts w:ascii="Cambria Math" w:eastAsia="Times New Roman" w:hAnsi="Cambria Math" w:cs="Arial"/>
                  <w:sz w:val="24"/>
                  <w:szCs w:val="24"/>
                </w:rPr>
                <m:t>=</m:t>
              </m:r>
              <m:f>
                <m:fPr>
                  <m:ctrlPr>
                    <w:rPr>
                      <w:rFonts w:ascii="Cambria Math" w:eastAsia="Times New Roman" w:hAnsi="Cambria Math" w:cs="Arial"/>
                      <w:i/>
                      <w:sz w:val="24"/>
                      <w:szCs w:val="24"/>
                    </w:rPr>
                  </m:ctrlPr>
                </m:fPr>
                <m:num>
                  <m:nary>
                    <m:naryPr>
                      <m:chr m:val="∑"/>
                      <m:limLoc m:val="undOvr"/>
                      <m:ctrlPr>
                        <w:rPr>
                          <w:rFonts w:ascii="Cambria Math" w:eastAsia="Times New Roman" w:hAnsi="Cambria Math" w:cs="Arial"/>
                          <w:i/>
                          <w:sz w:val="24"/>
                          <w:szCs w:val="24"/>
                        </w:rPr>
                      </m:ctrlPr>
                    </m:naryPr>
                    <m:sub>
                      <m:r>
                        <w:rPr>
                          <w:rFonts w:ascii="Cambria Math" w:eastAsia="Times New Roman" w:hAnsi="Cambria Math" w:cs="Arial"/>
                          <w:sz w:val="24"/>
                          <w:szCs w:val="24"/>
                        </w:rPr>
                        <m:t>k=x</m:t>
                      </m:r>
                    </m:sub>
                    <m:sup>
                      <m:r>
                        <w:rPr>
                          <w:rFonts w:ascii="Cambria Math" w:eastAsia="Times New Roman" w:hAnsi="Cambria Math" w:cs="Arial"/>
                          <w:sz w:val="24"/>
                          <w:szCs w:val="24"/>
                        </w:rPr>
                        <m:t>w</m:t>
                      </m:r>
                    </m:sup>
                    <m:e>
                      <m:d>
                        <m:dPr>
                          <m:ctrlPr>
                            <w:rPr>
                              <w:rFonts w:ascii="Cambria Math" w:eastAsia="Times New Roman" w:hAnsi="Cambria Math" w:cs="Arial"/>
                              <w:i/>
                              <w:sz w:val="24"/>
                              <w:szCs w:val="24"/>
                            </w:rPr>
                          </m:ctrlPr>
                        </m:dPr>
                        <m:e>
                          <m:sPre>
                            <m:sPrePr>
                              <m:ctrlPr>
                                <w:rPr>
                                  <w:rFonts w:ascii="Cambria Math" w:eastAsia="Times New Roman" w:hAnsi="Cambria Math" w:cs="Arial"/>
                                  <w:i/>
                                  <w:sz w:val="24"/>
                                  <w:szCs w:val="24"/>
                                </w:rPr>
                              </m:ctrlPr>
                            </m:sPrePr>
                            <m:sub>
                              <m:r>
                                <w:rPr>
                                  <w:rFonts w:ascii="Cambria Math" w:eastAsia="Times New Roman" w:hAnsi="Cambria Math" w:cs="Arial"/>
                                  <w:sz w:val="24"/>
                                  <w:szCs w:val="24"/>
                                </w:rPr>
                                <m:t>n</m:t>
                              </m:r>
                            </m:sub>
                            <m:sup>
                              <m:r>
                                <w:rPr>
                                  <w:rFonts w:ascii="Cambria Math" w:eastAsia="Times New Roman" w:hAnsi="Cambria Math" w:cs="Arial"/>
                                  <w:sz w:val="24"/>
                                  <w:szCs w:val="24"/>
                                </w:rPr>
                                <m:t xml:space="preserve"> </m:t>
                              </m:r>
                            </m:sup>
                            <m:e>
                              <m:r>
                                <w:rPr>
                                  <w:rFonts w:ascii="Cambria Math" w:eastAsia="Times New Roman" w:hAnsi="Cambria Math" w:cs="Arial"/>
                                  <w:sz w:val="24"/>
                                  <w:szCs w:val="24"/>
                                </w:rPr>
                                <m:t>L</m:t>
                              </m:r>
                            </m:e>
                          </m:sPre>
                          <m:sSubSup>
                            <m:sSubSupPr>
                              <m:ctrlPr>
                                <w:rPr>
                                  <w:rFonts w:ascii="Cambria Math" w:eastAsia="Times New Roman" w:hAnsi="Cambria Math" w:cs="Arial"/>
                                  <w:i/>
                                  <w:sz w:val="24"/>
                                  <w:szCs w:val="24"/>
                                </w:rPr>
                              </m:ctrlPr>
                            </m:sSubSupPr>
                            <m:e>
                              <m:r>
                                <w:rPr>
                                  <w:rFonts w:ascii="Cambria Math" w:eastAsia="Times New Roman" w:hAnsi="Cambria Math" w:cs="Arial"/>
                                  <w:sz w:val="24"/>
                                  <w:szCs w:val="24"/>
                                </w:rPr>
                                <m:t xml:space="preserve"> </m:t>
                              </m:r>
                            </m:e>
                            <m:sub>
                              <m:r>
                                <w:rPr>
                                  <w:rFonts w:ascii="Cambria Math" w:eastAsia="Times New Roman" w:hAnsi="Cambria Math" w:cs="Arial"/>
                                  <w:sz w:val="24"/>
                                  <w:szCs w:val="24"/>
                                </w:rPr>
                                <m:t>k</m:t>
                              </m:r>
                            </m:sub>
                            <m:sup>
                              <m:r>
                                <w:rPr>
                                  <w:rFonts w:ascii="Cambria Math" w:eastAsia="Times New Roman" w:hAnsi="Cambria Math" w:cs="Arial"/>
                                  <w:sz w:val="24"/>
                                  <w:szCs w:val="24"/>
                                </w:rPr>
                                <m:t>i</m:t>
                              </m:r>
                            </m:sup>
                          </m:sSubSup>
                        </m:e>
                      </m:d>
                    </m:e>
                  </m:nary>
                </m:num>
                <m:den>
                  <m:sSub>
                    <m:sSubPr>
                      <m:ctrlPr>
                        <w:rPr>
                          <w:rFonts w:ascii="Cambria Math" w:eastAsia="Times New Roman" w:hAnsi="Cambria Math" w:cs="Arial"/>
                          <w:i/>
                          <w:sz w:val="24"/>
                          <w:szCs w:val="24"/>
                        </w:rPr>
                      </m:ctrlPr>
                    </m:sSubPr>
                    <m:e>
                      <m:r>
                        <w:rPr>
                          <w:rFonts w:ascii="Cambria Math" w:eastAsia="Times New Roman" w:hAnsi="Cambria Math" w:cs="Arial"/>
                          <w:sz w:val="24"/>
                          <w:szCs w:val="24"/>
                        </w:rPr>
                        <m:t>l</m:t>
                      </m:r>
                    </m:e>
                    <m:sub>
                      <m:r>
                        <w:rPr>
                          <w:rFonts w:ascii="Cambria Math" w:eastAsia="Times New Roman" w:hAnsi="Cambria Math" w:cs="Arial"/>
                          <w:sz w:val="24"/>
                          <w:szCs w:val="24"/>
                        </w:rPr>
                        <m:t>x</m:t>
                      </m:r>
                    </m:sub>
                  </m:sSub>
                </m:den>
              </m:f>
              <m:r>
                <w:rPr>
                  <w:rFonts w:ascii="Cambria Math" w:eastAsia="Times New Roman" w:hAnsi="Cambria Math" w:cs="Arial"/>
                  <w:sz w:val="24"/>
                  <w:szCs w:val="24"/>
                </w:rPr>
                <m:t>#(2)</m:t>
              </m:r>
            </m:e>
          </m:eqArr>
        </m:oMath>
      </m:oMathPara>
    </w:p>
    <w:p w14:paraId="56FBC361" w14:textId="77777777" w:rsidR="000B11C8" w:rsidRPr="000B11C8" w:rsidRDefault="000B11C8" w:rsidP="000B11C8">
      <w:pPr>
        <w:spacing w:line="360" w:lineRule="auto"/>
        <w:jc w:val="both"/>
        <w:rPr>
          <w:rFonts w:ascii="Arial" w:eastAsia="Times New Roman" w:hAnsi="Arial" w:cs="Arial"/>
          <w:sz w:val="24"/>
          <w:szCs w:val="24"/>
        </w:rPr>
      </w:pPr>
      <w:r w:rsidRPr="000B11C8">
        <w:rPr>
          <w:rFonts w:ascii="Arial" w:eastAsia="Times New Roman" w:hAnsi="Arial" w:cs="Arial"/>
          <w:sz w:val="24"/>
          <w:szCs w:val="24"/>
        </w:rPr>
        <w:t>With its equivalent life expectancy free of chronic disease (</w:t>
      </w:r>
      <w:r w:rsidRPr="000B11C8">
        <w:rPr>
          <w:rFonts w:ascii="Arial" w:eastAsia="Times New Roman" w:hAnsi="Arial" w:cs="Arial"/>
          <w:i/>
          <w:sz w:val="24"/>
          <w:szCs w:val="24"/>
        </w:rPr>
        <w:t>CFLE</w:t>
      </w:r>
      <w:r w:rsidRPr="000B11C8">
        <w:rPr>
          <w:rFonts w:ascii="Arial" w:eastAsia="Times New Roman" w:hAnsi="Arial" w:cs="Arial"/>
          <w:sz w:val="24"/>
          <w:szCs w:val="24"/>
        </w:rPr>
        <w:t>):</w:t>
      </w:r>
    </w:p>
    <w:p w14:paraId="13833296" w14:textId="77777777" w:rsidR="000B11C8" w:rsidRPr="00E30BDE" w:rsidRDefault="000B11C8" w:rsidP="000B11C8">
      <w:pPr>
        <w:spacing w:line="360" w:lineRule="auto"/>
        <w:jc w:val="both"/>
        <w:rPr>
          <w:rFonts w:ascii="Georgia" w:eastAsia="Times New Roman" w:hAnsi="Georgia" w:cs="Times New Roman"/>
          <w:sz w:val="24"/>
          <w:szCs w:val="24"/>
        </w:rPr>
      </w:pPr>
      <m:oMathPara>
        <m:oMath>
          <m:eqArr>
            <m:eqArrPr>
              <m:maxDist m:val="1"/>
              <m:ctrlPr>
                <w:rPr>
                  <w:rFonts w:ascii="Cambria Math" w:eastAsia="Times New Roman" w:hAnsi="Cambria Math" w:cs="Times New Roman"/>
                  <w:i/>
                  <w:sz w:val="24"/>
                  <w:szCs w:val="24"/>
                </w:rPr>
              </m:ctrlPr>
            </m:eqArr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CFLE</m:t>
                  </m:r>
                </m:e>
                <m:sub>
                  <m:r>
                    <w:rPr>
                      <w:rFonts w:ascii="Cambria Math" w:eastAsia="Times New Roman" w:hAnsi="Cambria Math" w:cs="Times New Roman"/>
                      <w:sz w:val="24"/>
                      <w:szCs w:val="24"/>
                    </w:rPr>
                    <m:t>x</m:t>
                  </m:r>
                </m:sub>
                <m:sup>
                  <m:r>
                    <w:rPr>
                      <w:rFonts w:ascii="Cambria Math" w:eastAsia="Times New Roman" w:hAnsi="Cambria Math" w:cs="Times New Roman"/>
                      <w:sz w:val="24"/>
                      <w:szCs w:val="24"/>
                    </w:rPr>
                    <m:t xml:space="preserve"> </m:t>
                  </m:r>
                </m:sup>
              </m:sSubSup>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k=x</m:t>
                      </m:r>
                    </m:sub>
                    <m:sup>
                      <m:r>
                        <w:rPr>
                          <w:rFonts w:ascii="Cambria Math" w:eastAsia="Times New Roman" w:hAnsi="Cambria Math" w:cs="Times New Roman"/>
                          <w:sz w:val="24"/>
                          <w:szCs w:val="24"/>
                        </w:rPr>
                        <m:t>w</m:t>
                      </m:r>
                    </m:sup>
                    <m:e>
                      <m:d>
                        <m:dPr>
                          <m:ctrlPr>
                            <w:rPr>
                              <w:rFonts w:ascii="Cambria Math" w:eastAsia="Times New Roman" w:hAnsi="Cambria Math" w:cs="Times New Roman"/>
                              <w:i/>
                              <w:sz w:val="24"/>
                              <w:szCs w:val="24"/>
                            </w:rPr>
                          </m:ctrlPr>
                        </m:dPr>
                        <m:e>
                          <m:sPre>
                            <m:sPrePr>
                              <m:ctrlPr>
                                <w:rPr>
                                  <w:rFonts w:ascii="Cambria Math" w:eastAsia="Times New Roman" w:hAnsi="Cambria Math" w:cs="Times New Roman"/>
                                  <w:i/>
                                  <w:sz w:val="24"/>
                                  <w:szCs w:val="24"/>
                                </w:rPr>
                              </m:ctrlPr>
                            </m:sPrePr>
                            <m:sub>
                              <m:r>
                                <w:rPr>
                                  <w:rFonts w:ascii="Cambria Math" w:eastAsia="Times New Roman" w:hAnsi="Cambria Math" w:cs="Times New Roman"/>
                                  <w:sz w:val="24"/>
                                  <w:szCs w:val="24"/>
                                </w:rPr>
                                <m:t>n</m:t>
                              </m:r>
                            </m:sub>
                            <m:sup>
                              <m:r>
                                <w:rPr>
                                  <w:rFonts w:ascii="Cambria Math" w:eastAsia="Times New Roman" w:hAnsi="Cambria Math" w:cs="Times New Roman"/>
                                  <w:sz w:val="24"/>
                                  <w:szCs w:val="24"/>
                                </w:rPr>
                                <m:t xml:space="preserve"> </m:t>
                              </m:r>
                            </m:sup>
                            <m:e>
                              <m:r>
                                <w:rPr>
                                  <w:rFonts w:ascii="Cambria Math" w:eastAsia="Times New Roman" w:hAnsi="Cambria Math" w:cs="Times New Roman"/>
                                  <w:sz w:val="24"/>
                                  <w:szCs w:val="24"/>
                                </w:rPr>
                                <m:t>L</m:t>
                              </m:r>
                            </m:e>
                          </m:sPr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 xml:space="preserve"> </m:t>
                              </m:r>
                            </m:e>
                            <m:sub>
                              <m:r>
                                <w:rPr>
                                  <w:rFonts w:ascii="Cambria Math" w:eastAsia="Times New Roman" w:hAnsi="Cambria Math" w:cs="Times New Roman"/>
                                  <w:sz w:val="24"/>
                                  <w:szCs w:val="24"/>
                                </w:rPr>
                                <m:t>k</m:t>
                              </m:r>
                            </m:sub>
                            <m:sup>
                              <m:r>
                                <w:rPr>
                                  <w:rFonts w:ascii="Cambria Math" w:eastAsia="Times New Roman" w:hAnsi="Cambria Math" w:cs="Times New Roman"/>
                                  <w:sz w:val="24"/>
                                  <w:szCs w:val="24"/>
                                </w:rPr>
                                <m:t>c</m:t>
                              </m:r>
                            </m:sup>
                          </m:sSubSup>
                        </m:e>
                      </m:d>
                    </m:e>
                  </m:nary>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x</m:t>
                      </m:r>
                    </m:sub>
                  </m:sSub>
                </m:den>
              </m:f>
              <m:r>
                <w:rPr>
                  <w:rFonts w:ascii="Cambria Math" w:eastAsia="Times New Roman" w:hAnsi="Cambria Math" w:cs="Times New Roman"/>
                  <w:sz w:val="24"/>
                  <w:szCs w:val="24"/>
                </w:rPr>
                <m:t>#(3)</m:t>
              </m:r>
            </m:e>
          </m:eqArr>
        </m:oMath>
      </m:oMathPara>
    </w:p>
    <w:p w14:paraId="2B386FDF" w14:textId="77777777" w:rsidR="000B11C8" w:rsidRPr="000B11C8" w:rsidRDefault="000B11C8" w:rsidP="000B11C8">
      <w:pPr>
        <w:spacing w:line="360" w:lineRule="auto"/>
        <w:rPr>
          <w:rFonts w:ascii="Arial" w:eastAsia="Times New Roman" w:hAnsi="Arial" w:cs="Arial"/>
          <w:sz w:val="24"/>
          <w:szCs w:val="24"/>
        </w:rPr>
      </w:pPr>
    </w:p>
    <w:p w14:paraId="2F288D83" w14:textId="412184B7" w:rsidR="000B11C8" w:rsidRPr="000B11C8" w:rsidRDefault="000B11C8" w:rsidP="000B11C8">
      <w:pPr>
        <w:spacing w:line="360" w:lineRule="auto"/>
        <w:jc w:val="both"/>
        <w:rPr>
          <w:rFonts w:ascii="Arial" w:eastAsia="Times New Roman" w:hAnsi="Arial" w:cs="Arial"/>
          <w:sz w:val="24"/>
          <w:szCs w:val="24"/>
        </w:rPr>
      </w:pPr>
      <w:r w:rsidRPr="000B11C8">
        <w:rPr>
          <w:rFonts w:ascii="Arial" w:eastAsia="Times New Roman" w:hAnsi="Arial" w:cs="Arial"/>
          <w:sz w:val="24"/>
          <w:szCs w:val="24"/>
        </w:rPr>
        <w:t xml:space="preserve">where </w:t>
      </w:r>
      <m:oMath>
        <m:sSubSup>
          <m:sSubSupPr>
            <m:ctrlPr>
              <w:rPr>
                <w:rFonts w:ascii="Cambria Math" w:eastAsia="Times New Roman" w:hAnsi="Cambria Math" w:cs="Arial"/>
                <w:i/>
                <w:sz w:val="24"/>
                <w:szCs w:val="24"/>
              </w:rPr>
            </m:ctrlPr>
          </m:sSubSupPr>
          <m:e>
            <m:r>
              <w:rPr>
                <w:rFonts w:ascii="Cambria Math" w:eastAsia="Times New Roman" w:hAnsi="Cambria Math" w:cs="Arial"/>
                <w:sz w:val="24"/>
                <w:szCs w:val="24"/>
              </w:rPr>
              <m:t>DFLE</m:t>
            </m:r>
          </m:e>
          <m:sub>
            <m:r>
              <w:rPr>
                <w:rFonts w:ascii="Cambria Math" w:eastAsia="Times New Roman" w:hAnsi="Cambria Math" w:cs="Arial"/>
                <w:sz w:val="24"/>
                <w:szCs w:val="24"/>
              </w:rPr>
              <m:t>x</m:t>
            </m:r>
          </m:sub>
          <m:sup>
            <m:r>
              <w:rPr>
                <w:rFonts w:ascii="Cambria Math" w:eastAsia="Times New Roman" w:hAnsi="Cambria Math" w:cs="Arial"/>
                <w:sz w:val="24"/>
                <w:szCs w:val="24"/>
              </w:rPr>
              <m:t xml:space="preserve"> </m:t>
            </m:r>
          </m:sup>
        </m:sSubSup>
      </m:oMath>
      <w:r w:rsidRPr="000B11C8">
        <w:rPr>
          <w:rFonts w:ascii="Arial" w:eastAsia="Times New Roman" w:hAnsi="Arial" w:cs="Arial"/>
          <w:sz w:val="24"/>
          <w:szCs w:val="24"/>
        </w:rPr>
        <w:t xml:space="preserve"> is the number of years lived without disability at age </w:t>
      </w:r>
      <w:r w:rsidRPr="000B11C8">
        <w:rPr>
          <w:rFonts w:ascii="Arial" w:eastAsia="Times New Roman" w:hAnsi="Arial" w:cs="Arial"/>
          <w:i/>
          <w:sz w:val="24"/>
          <w:szCs w:val="24"/>
        </w:rPr>
        <w:t>x</w:t>
      </w:r>
      <w:r w:rsidRPr="000B11C8">
        <w:rPr>
          <w:rFonts w:ascii="Arial" w:eastAsia="Times New Roman" w:hAnsi="Arial" w:cs="Arial"/>
          <w:sz w:val="24"/>
          <w:szCs w:val="24"/>
        </w:rPr>
        <w:t xml:space="preserve">, </w:t>
      </w:r>
      <w:r w:rsidRPr="000B11C8">
        <w:rPr>
          <w:rFonts w:ascii="Arial" w:eastAsia="Times New Roman" w:hAnsi="Arial" w:cs="Arial"/>
          <w:i/>
          <w:sz w:val="24"/>
          <w:szCs w:val="24"/>
        </w:rPr>
        <w:t>w</w:t>
      </w:r>
      <w:r w:rsidRPr="000B11C8">
        <w:rPr>
          <w:rFonts w:ascii="Arial" w:eastAsia="Times New Roman" w:hAnsi="Arial" w:cs="Arial"/>
          <w:sz w:val="24"/>
          <w:szCs w:val="24"/>
        </w:rPr>
        <w:t xml:space="preserve"> is the starting age of the open age interval, and </w:t>
      </w:r>
      <w:r w:rsidRPr="000B11C8">
        <w:rPr>
          <w:rFonts w:ascii="Arial" w:eastAsia="Times New Roman" w:hAnsi="Arial" w:cs="Arial"/>
          <w:i/>
          <w:sz w:val="24"/>
          <w:szCs w:val="24"/>
        </w:rPr>
        <w:t>l</w:t>
      </w:r>
      <w:r w:rsidRPr="000B11C8">
        <w:rPr>
          <w:rFonts w:ascii="Arial" w:eastAsia="Times New Roman" w:hAnsi="Arial" w:cs="Arial"/>
          <w:sz w:val="24"/>
          <w:szCs w:val="24"/>
          <w:vertAlign w:val="subscript"/>
        </w:rPr>
        <w:t>x</w:t>
      </w:r>
      <w:r w:rsidRPr="000B11C8">
        <w:rPr>
          <w:rFonts w:ascii="Arial" w:eastAsia="Times New Roman" w:hAnsi="Arial" w:cs="Arial"/>
          <w:sz w:val="24"/>
          <w:szCs w:val="24"/>
        </w:rPr>
        <w:t xml:space="preserve"> is the number of survivors at age </w:t>
      </w:r>
      <w:r w:rsidRPr="000B11C8">
        <w:rPr>
          <w:rFonts w:ascii="Arial" w:eastAsia="Times New Roman" w:hAnsi="Arial" w:cs="Arial"/>
          <w:i/>
          <w:sz w:val="24"/>
          <w:szCs w:val="24"/>
        </w:rPr>
        <w:t>x</w:t>
      </w:r>
      <w:r w:rsidRPr="000B11C8">
        <w:rPr>
          <w:rFonts w:ascii="Arial" w:eastAsia="Times New Roman" w:hAnsi="Arial" w:cs="Arial"/>
          <w:sz w:val="24"/>
          <w:szCs w:val="24"/>
        </w:rPr>
        <w:t xml:space="preserve">. Similarly, </w:t>
      </w:r>
      <m:oMath>
        <m:sSubSup>
          <m:sSubSupPr>
            <m:ctrlPr>
              <w:rPr>
                <w:rFonts w:ascii="Cambria Math" w:eastAsia="Times New Roman" w:hAnsi="Cambria Math" w:cs="Arial"/>
                <w:i/>
                <w:sz w:val="24"/>
                <w:szCs w:val="24"/>
              </w:rPr>
            </m:ctrlPr>
          </m:sSubSupPr>
          <m:e>
            <m:r>
              <w:rPr>
                <w:rFonts w:ascii="Cambria Math" w:eastAsia="Times New Roman" w:hAnsi="Cambria Math" w:cs="Arial"/>
                <w:sz w:val="24"/>
                <w:szCs w:val="24"/>
              </w:rPr>
              <m:t>CFLE</m:t>
            </m:r>
          </m:e>
          <m:sub>
            <m:r>
              <w:rPr>
                <w:rFonts w:ascii="Cambria Math" w:eastAsia="Times New Roman" w:hAnsi="Cambria Math" w:cs="Arial"/>
                <w:sz w:val="24"/>
                <w:szCs w:val="24"/>
              </w:rPr>
              <m:t>x</m:t>
            </m:r>
          </m:sub>
          <m:sup>
            <m:r>
              <w:rPr>
                <w:rFonts w:ascii="Cambria Math" w:eastAsia="Times New Roman" w:hAnsi="Cambria Math" w:cs="Arial"/>
                <w:sz w:val="24"/>
                <w:szCs w:val="24"/>
              </w:rPr>
              <m:t xml:space="preserve"> </m:t>
            </m:r>
          </m:sup>
        </m:sSubSup>
      </m:oMath>
      <w:r w:rsidRPr="000B11C8">
        <w:rPr>
          <w:rFonts w:ascii="Arial" w:eastAsia="Times New Roman" w:hAnsi="Arial" w:cs="Arial"/>
          <w:sz w:val="24"/>
          <w:szCs w:val="24"/>
        </w:rPr>
        <w:t xml:space="preserve"> is the number of years lived without chronic conditions at age </w:t>
      </w:r>
      <w:r w:rsidRPr="000B11C8">
        <w:rPr>
          <w:rFonts w:ascii="Arial" w:eastAsia="Times New Roman" w:hAnsi="Arial" w:cs="Arial"/>
          <w:i/>
          <w:sz w:val="24"/>
          <w:szCs w:val="24"/>
        </w:rPr>
        <w:t>x</w:t>
      </w:r>
      <w:r w:rsidRPr="000B11C8">
        <w:rPr>
          <w:rFonts w:ascii="Arial" w:eastAsia="Times New Roman" w:hAnsi="Arial" w:cs="Arial"/>
          <w:sz w:val="24"/>
          <w:szCs w:val="24"/>
        </w:rPr>
        <w:t xml:space="preserve">, </w:t>
      </w:r>
      <w:r w:rsidRPr="000B11C8">
        <w:rPr>
          <w:rFonts w:ascii="Arial" w:eastAsia="Times New Roman" w:hAnsi="Arial" w:cs="Arial"/>
          <w:i/>
          <w:sz w:val="24"/>
          <w:szCs w:val="24"/>
        </w:rPr>
        <w:t>w</w:t>
      </w:r>
      <w:r w:rsidRPr="000B11C8">
        <w:rPr>
          <w:rFonts w:ascii="Arial" w:eastAsia="Times New Roman" w:hAnsi="Arial" w:cs="Arial"/>
          <w:sz w:val="24"/>
          <w:szCs w:val="24"/>
        </w:rPr>
        <w:t xml:space="preserve"> is the starting age of the open age interval, and </w:t>
      </w:r>
      <w:r w:rsidRPr="000B11C8">
        <w:rPr>
          <w:rFonts w:ascii="Arial" w:eastAsia="Times New Roman" w:hAnsi="Arial" w:cs="Arial"/>
          <w:i/>
          <w:sz w:val="24"/>
          <w:szCs w:val="24"/>
        </w:rPr>
        <w:t>l</w:t>
      </w:r>
      <w:r w:rsidRPr="000B11C8">
        <w:rPr>
          <w:rFonts w:ascii="Arial" w:eastAsia="Times New Roman" w:hAnsi="Arial" w:cs="Arial"/>
          <w:sz w:val="24"/>
          <w:szCs w:val="24"/>
          <w:vertAlign w:val="subscript"/>
        </w:rPr>
        <w:t>x</w:t>
      </w:r>
      <w:r w:rsidRPr="000B11C8">
        <w:rPr>
          <w:rFonts w:ascii="Arial" w:eastAsia="Times New Roman" w:hAnsi="Arial" w:cs="Arial"/>
          <w:sz w:val="24"/>
          <w:szCs w:val="24"/>
        </w:rPr>
        <w:t xml:space="preserve"> is the number of survivors at age </w:t>
      </w:r>
      <w:r w:rsidRPr="000B11C8">
        <w:rPr>
          <w:rFonts w:ascii="Arial" w:eastAsia="Times New Roman" w:hAnsi="Arial" w:cs="Arial"/>
          <w:i/>
          <w:sz w:val="24"/>
          <w:szCs w:val="24"/>
        </w:rPr>
        <w:t>x</w:t>
      </w:r>
      <w:r w:rsidRPr="000B11C8">
        <w:rPr>
          <w:rFonts w:ascii="Arial" w:eastAsia="Times New Roman" w:hAnsi="Arial" w:cs="Arial"/>
          <w:sz w:val="24"/>
          <w:szCs w:val="24"/>
        </w:rPr>
        <w:t>.</w:t>
      </w:r>
    </w:p>
    <w:p w14:paraId="41C9A9B7" w14:textId="77777777" w:rsidR="000B11C8" w:rsidRPr="000B11C8" w:rsidRDefault="000B11C8" w:rsidP="000B11C8">
      <w:pPr>
        <w:spacing w:line="360" w:lineRule="auto"/>
        <w:jc w:val="both"/>
        <w:rPr>
          <w:rFonts w:ascii="Arial" w:eastAsia="Times New Roman" w:hAnsi="Arial" w:cs="Arial"/>
          <w:sz w:val="24"/>
          <w:szCs w:val="24"/>
        </w:rPr>
      </w:pPr>
      <w:r w:rsidRPr="000B11C8">
        <w:rPr>
          <w:rFonts w:ascii="Arial" w:eastAsia="Times New Roman" w:hAnsi="Arial" w:cs="Arial"/>
          <w:sz w:val="24"/>
          <w:szCs w:val="24"/>
        </w:rPr>
        <w:t xml:space="preserve">We then calculate gender gap in </w:t>
      </w:r>
      <w:r w:rsidRPr="000B11C8">
        <w:rPr>
          <w:rFonts w:ascii="Arial" w:eastAsia="Times New Roman" w:hAnsi="Arial" w:cs="Arial"/>
          <w:i/>
          <w:sz w:val="24"/>
          <w:szCs w:val="24"/>
        </w:rPr>
        <w:t xml:space="preserve">DFLE </w:t>
      </w:r>
      <w:r w:rsidRPr="000B11C8">
        <w:rPr>
          <w:rFonts w:ascii="Arial" w:eastAsia="Times New Roman" w:hAnsi="Arial" w:cs="Arial"/>
          <w:sz w:val="24"/>
          <w:szCs w:val="24"/>
        </w:rPr>
        <w:t>as:</w:t>
      </w:r>
    </w:p>
    <w:p w14:paraId="7080A420" w14:textId="77777777" w:rsidR="000B11C8" w:rsidRPr="000B11C8" w:rsidRDefault="000B11C8" w:rsidP="000B11C8">
      <w:pPr>
        <w:spacing w:line="360" w:lineRule="auto"/>
        <w:jc w:val="both"/>
        <w:rPr>
          <w:rFonts w:ascii="Arial" w:eastAsia="Times New Roman" w:hAnsi="Arial" w:cs="Arial"/>
          <w:sz w:val="24"/>
          <w:szCs w:val="24"/>
        </w:rPr>
      </w:pPr>
      <m:oMathPara>
        <m:oMath>
          <m:eqArr>
            <m:eqArrPr>
              <m:maxDist m:val="1"/>
              <m:ctrlPr>
                <w:rPr>
                  <w:rFonts w:ascii="Cambria Math" w:eastAsia="Times New Roman" w:hAnsi="Cambria Math" w:cs="Arial"/>
                  <w:i/>
                  <w:sz w:val="24"/>
                  <w:szCs w:val="24"/>
                </w:rPr>
              </m:ctrlPr>
            </m:eqArrPr>
            <m:e>
              <m:sSubSup>
                <m:sSubSupPr>
                  <m:ctrlPr>
                    <w:rPr>
                      <w:rFonts w:ascii="Cambria Math" w:eastAsia="Times New Roman" w:hAnsi="Cambria Math" w:cs="Arial"/>
                      <w:i/>
                      <w:sz w:val="24"/>
                      <w:szCs w:val="24"/>
                    </w:rPr>
                  </m:ctrlPr>
                </m:sSubSupPr>
                <m:e>
                  <m:r>
                    <w:rPr>
                      <w:rFonts w:ascii="Cambria Math" w:eastAsia="Times New Roman" w:hAnsi="Cambria Math" w:cs="Arial"/>
                      <w:sz w:val="24"/>
                      <w:szCs w:val="24"/>
                    </w:rPr>
                    <m:t>∆</m:t>
                  </m:r>
                </m:e>
                <m:sub>
                  <m:r>
                    <w:rPr>
                      <w:rFonts w:ascii="Cambria Math" w:eastAsia="Times New Roman" w:hAnsi="Cambria Math" w:cs="Arial"/>
                      <w:sz w:val="24"/>
                      <w:szCs w:val="24"/>
                    </w:rPr>
                    <m:t>xDFLE</m:t>
                  </m:r>
                </m:sub>
                <m:sup>
                  <m:r>
                    <w:rPr>
                      <w:rFonts w:ascii="Cambria Math" w:eastAsia="Times New Roman" w:hAnsi="Cambria Math" w:cs="Arial"/>
                      <w:sz w:val="24"/>
                      <w:szCs w:val="24"/>
                    </w:rPr>
                    <m:t xml:space="preserve"> </m:t>
                  </m:r>
                </m:sup>
              </m:sSubSup>
              <m:r>
                <w:rPr>
                  <w:rFonts w:ascii="Cambria Math" w:eastAsia="Times New Roman" w:hAnsi="Cambria Math" w:cs="Arial"/>
                  <w:sz w:val="24"/>
                  <w:szCs w:val="24"/>
                </w:rPr>
                <m:t>=</m:t>
              </m:r>
              <m:sSubSup>
                <m:sSubSupPr>
                  <m:ctrlPr>
                    <w:rPr>
                      <w:rFonts w:ascii="Cambria Math" w:eastAsia="Times New Roman" w:hAnsi="Cambria Math" w:cs="Arial"/>
                      <w:i/>
                      <w:sz w:val="24"/>
                      <w:szCs w:val="24"/>
                    </w:rPr>
                  </m:ctrlPr>
                </m:sSubSupPr>
                <m:e>
                  <m:r>
                    <w:rPr>
                      <w:rFonts w:ascii="Cambria Math" w:eastAsia="Times New Roman" w:hAnsi="Cambria Math" w:cs="Arial"/>
                      <w:sz w:val="24"/>
                      <w:szCs w:val="24"/>
                    </w:rPr>
                    <m:t>DFLE</m:t>
                  </m:r>
                </m:e>
                <m:sub>
                  <m:r>
                    <w:rPr>
                      <w:rFonts w:ascii="Cambria Math" w:eastAsia="Times New Roman" w:hAnsi="Cambria Math" w:cs="Arial"/>
                      <w:sz w:val="24"/>
                      <w:szCs w:val="24"/>
                    </w:rPr>
                    <m:t>x</m:t>
                  </m:r>
                </m:sub>
                <m:sup>
                  <m:r>
                    <w:rPr>
                      <w:rFonts w:ascii="Cambria Math" w:eastAsia="Times New Roman" w:hAnsi="Cambria Math" w:cs="Arial"/>
                      <w:sz w:val="24"/>
                      <w:szCs w:val="24"/>
                    </w:rPr>
                    <m:t>Women</m:t>
                  </m:r>
                </m:sup>
              </m:sSubSup>
              <m:r>
                <w:rPr>
                  <w:rFonts w:ascii="Cambria Math" w:eastAsia="Times New Roman" w:hAnsi="Cambria Math" w:cs="Arial"/>
                  <w:sz w:val="24"/>
                  <w:szCs w:val="24"/>
                </w:rPr>
                <m:t>-</m:t>
              </m:r>
              <m:sSubSup>
                <m:sSubSupPr>
                  <m:ctrlPr>
                    <w:rPr>
                      <w:rFonts w:ascii="Cambria Math" w:eastAsia="Times New Roman" w:hAnsi="Cambria Math" w:cs="Arial"/>
                      <w:i/>
                      <w:sz w:val="24"/>
                      <w:szCs w:val="24"/>
                    </w:rPr>
                  </m:ctrlPr>
                </m:sSubSupPr>
                <m:e>
                  <m:r>
                    <w:rPr>
                      <w:rFonts w:ascii="Cambria Math" w:eastAsia="Times New Roman" w:hAnsi="Cambria Math" w:cs="Arial"/>
                      <w:sz w:val="24"/>
                      <w:szCs w:val="24"/>
                    </w:rPr>
                    <m:t>DFLE</m:t>
                  </m:r>
                </m:e>
                <m:sub>
                  <m:r>
                    <w:rPr>
                      <w:rFonts w:ascii="Cambria Math" w:eastAsia="Times New Roman" w:hAnsi="Cambria Math" w:cs="Arial"/>
                      <w:sz w:val="24"/>
                      <w:szCs w:val="24"/>
                    </w:rPr>
                    <m:t>x</m:t>
                  </m:r>
                </m:sub>
                <m:sup>
                  <m:r>
                    <w:rPr>
                      <w:rFonts w:ascii="Cambria Math" w:eastAsia="Times New Roman" w:hAnsi="Cambria Math" w:cs="Arial"/>
                      <w:sz w:val="24"/>
                      <w:szCs w:val="24"/>
                    </w:rPr>
                    <m:t>Men</m:t>
                  </m:r>
                </m:sup>
              </m:sSubSup>
              <m:r>
                <w:rPr>
                  <w:rFonts w:ascii="Cambria Math" w:eastAsia="Times New Roman" w:hAnsi="Cambria Math" w:cs="Arial"/>
                  <w:sz w:val="24"/>
                  <w:szCs w:val="24"/>
                </w:rPr>
                <m:t>#(4)</m:t>
              </m:r>
            </m:e>
          </m:eqArr>
        </m:oMath>
      </m:oMathPara>
    </w:p>
    <w:p w14:paraId="122546E1" w14:textId="77777777" w:rsidR="000B11C8" w:rsidRPr="000B11C8" w:rsidRDefault="000B11C8" w:rsidP="000B11C8">
      <w:pPr>
        <w:spacing w:line="360" w:lineRule="auto"/>
        <w:jc w:val="both"/>
        <w:rPr>
          <w:rFonts w:ascii="Arial" w:eastAsia="Times New Roman" w:hAnsi="Arial" w:cs="Arial"/>
          <w:sz w:val="24"/>
          <w:szCs w:val="24"/>
        </w:rPr>
      </w:pPr>
      <w:r w:rsidRPr="000B11C8">
        <w:rPr>
          <w:rFonts w:ascii="Arial" w:eastAsia="Times New Roman" w:hAnsi="Arial" w:cs="Arial"/>
          <w:sz w:val="24"/>
          <w:szCs w:val="24"/>
        </w:rPr>
        <w:t xml:space="preserve">And the gender gap in </w:t>
      </w:r>
      <w:r w:rsidRPr="000B11C8">
        <w:rPr>
          <w:rFonts w:ascii="Arial" w:eastAsia="Times New Roman" w:hAnsi="Arial" w:cs="Arial"/>
          <w:i/>
          <w:sz w:val="24"/>
          <w:szCs w:val="24"/>
        </w:rPr>
        <w:t xml:space="preserve">CFLE </w:t>
      </w:r>
      <w:r w:rsidRPr="000B11C8">
        <w:rPr>
          <w:rFonts w:ascii="Arial" w:eastAsia="Times New Roman" w:hAnsi="Arial" w:cs="Arial"/>
          <w:sz w:val="24"/>
          <w:szCs w:val="24"/>
        </w:rPr>
        <w:t>as:</w:t>
      </w:r>
    </w:p>
    <w:p w14:paraId="3B1CE4E7" w14:textId="77777777" w:rsidR="000B11C8" w:rsidRPr="000B11C8" w:rsidRDefault="000B11C8" w:rsidP="000B11C8">
      <w:pPr>
        <w:spacing w:line="360" w:lineRule="auto"/>
        <w:jc w:val="both"/>
        <w:rPr>
          <w:rFonts w:ascii="Arial" w:eastAsia="Times New Roman" w:hAnsi="Arial" w:cs="Arial"/>
          <w:sz w:val="24"/>
          <w:szCs w:val="24"/>
        </w:rPr>
      </w:pPr>
      <m:oMathPara>
        <m:oMath>
          <m:eqArr>
            <m:eqArrPr>
              <m:maxDist m:val="1"/>
              <m:ctrlPr>
                <w:rPr>
                  <w:rFonts w:ascii="Cambria Math" w:eastAsia="Times New Roman" w:hAnsi="Cambria Math" w:cs="Arial"/>
                  <w:i/>
                  <w:sz w:val="24"/>
                  <w:szCs w:val="24"/>
                </w:rPr>
              </m:ctrlPr>
            </m:eqArrPr>
            <m:e>
              <m:sSubSup>
                <m:sSubSupPr>
                  <m:ctrlPr>
                    <w:rPr>
                      <w:rFonts w:ascii="Cambria Math" w:eastAsia="Times New Roman" w:hAnsi="Cambria Math" w:cs="Arial"/>
                      <w:i/>
                      <w:sz w:val="24"/>
                      <w:szCs w:val="24"/>
                    </w:rPr>
                  </m:ctrlPr>
                </m:sSubSupPr>
                <m:e>
                  <m:r>
                    <w:rPr>
                      <w:rFonts w:ascii="Cambria Math" w:eastAsia="Times New Roman" w:hAnsi="Cambria Math" w:cs="Arial"/>
                      <w:sz w:val="24"/>
                      <w:szCs w:val="24"/>
                    </w:rPr>
                    <m:t>∆</m:t>
                  </m:r>
                </m:e>
                <m:sub>
                  <m:r>
                    <w:rPr>
                      <w:rFonts w:ascii="Cambria Math" w:eastAsia="Times New Roman" w:hAnsi="Cambria Math" w:cs="Arial"/>
                      <w:sz w:val="24"/>
                      <w:szCs w:val="24"/>
                    </w:rPr>
                    <m:t>xCFLE</m:t>
                  </m:r>
                </m:sub>
                <m:sup>
                  <m:r>
                    <w:rPr>
                      <w:rFonts w:ascii="Cambria Math" w:eastAsia="Times New Roman" w:hAnsi="Cambria Math" w:cs="Arial"/>
                      <w:sz w:val="24"/>
                      <w:szCs w:val="24"/>
                    </w:rPr>
                    <m:t xml:space="preserve"> </m:t>
                  </m:r>
                </m:sup>
              </m:sSubSup>
              <m:r>
                <w:rPr>
                  <w:rFonts w:ascii="Cambria Math" w:eastAsia="Times New Roman" w:hAnsi="Cambria Math" w:cs="Arial"/>
                  <w:sz w:val="24"/>
                  <w:szCs w:val="24"/>
                </w:rPr>
                <m:t>=</m:t>
              </m:r>
              <m:sSubSup>
                <m:sSubSupPr>
                  <m:ctrlPr>
                    <w:rPr>
                      <w:rFonts w:ascii="Cambria Math" w:eastAsia="Times New Roman" w:hAnsi="Cambria Math" w:cs="Arial"/>
                      <w:i/>
                      <w:sz w:val="24"/>
                      <w:szCs w:val="24"/>
                    </w:rPr>
                  </m:ctrlPr>
                </m:sSubSupPr>
                <m:e>
                  <m:r>
                    <w:rPr>
                      <w:rFonts w:ascii="Cambria Math" w:eastAsia="Times New Roman" w:hAnsi="Cambria Math" w:cs="Arial"/>
                      <w:sz w:val="24"/>
                      <w:szCs w:val="24"/>
                    </w:rPr>
                    <m:t>CFLE</m:t>
                  </m:r>
                </m:e>
                <m:sub>
                  <m:r>
                    <w:rPr>
                      <w:rFonts w:ascii="Cambria Math" w:eastAsia="Times New Roman" w:hAnsi="Cambria Math" w:cs="Arial"/>
                      <w:sz w:val="24"/>
                      <w:szCs w:val="24"/>
                    </w:rPr>
                    <m:t>x</m:t>
                  </m:r>
                </m:sub>
                <m:sup>
                  <m:r>
                    <w:rPr>
                      <w:rFonts w:ascii="Cambria Math" w:eastAsia="Times New Roman" w:hAnsi="Cambria Math" w:cs="Arial"/>
                      <w:sz w:val="24"/>
                      <w:szCs w:val="24"/>
                    </w:rPr>
                    <m:t>Women</m:t>
                  </m:r>
                </m:sup>
              </m:sSubSup>
              <m:r>
                <w:rPr>
                  <w:rFonts w:ascii="Cambria Math" w:eastAsia="Times New Roman" w:hAnsi="Cambria Math" w:cs="Arial"/>
                  <w:sz w:val="24"/>
                  <w:szCs w:val="24"/>
                </w:rPr>
                <m:t>-</m:t>
              </m:r>
              <m:sSubSup>
                <m:sSubSupPr>
                  <m:ctrlPr>
                    <w:rPr>
                      <w:rFonts w:ascii="Cambria Math" w:eastAsia="Times New Roman" w:hAnsi="Cambria Math" w:cs="Arial"/>
                      <w:i/>
                      <w:sz w:val="24"/>
                      <w:szCs w:val="24"/>
                    </w:rPr>
                  </m:ctrlPr>
                </m:sSubSupPr>
                <m:e>
                  <m:r>
                    <w:rPr>
                      <w:rFonts w:ascii="Cambria Math" w:eastAsia="Times New Roman" w:hAnsi="Cambria Math" w:cs="Arial"/>
                      <w:sz w:val="24"/>
                      <w:szCs w:val="24"/>
                    </w:rPr>
                    <m:t>CFLE</m:t>
                  </m:r>
                </m:e>
                <m:sub>
                  <m:r>
                    <w:rPr>
                      <w:rFonts w:ascii="Cambria Math" w:eastAsia="Times New Roman" w:hAnsi="Cambria Math" w:cs="Arial"/>
                      <w:sz w:val="24"/>
                      <w:szCs w:val="24"/>
                    </w:rPr>
                    <m:t>x</m:t>
                  </m:r>
                </m:sub>
                <m:sup>
                  <m:r>
                    <w:rPr>
                      <w:rFonts w:ascii="Cambria Math" w:eastAsia="Times New Roman" w:hAnsi="Cambria Math" w:cs="Arial"/>
                      <w:sz w:val="24"/>
                      <w:szCs w:val="24"/>
                    </w:rPr>
                    <m:t>Men</m:t>
                  </m:r>
                </m:sup>
              </m:sSubSup>
              <m:r>
                <w:rPr>
                  <w:rFonts w:ascii="Cambria Math" w:eastAsia="Times New Roman" w:hAnsi="Cambria Math" w:cs="Arial"/>
                  <w:sz w:val="24"/>
                  <w:szCs w:val="24"/>
                </w:rPr>
                <m:t>#(4)</m:t>
              </m:r>
            </m:e>
          </m:eqArr>
        </m:oMath>
      </m:oMathPara>
    </w:p>
    <w:p w14:paraId="5E86507A" w14:textId="77777777" w:rsidR="000B11C8" w:rsidRPr="008F0B62" w:rsidRDefault="000B11C8" w:rsidP="000B11C8">
      <w:pPr>
        <w:spacing w:line="360" w:lineRule="auto"/>
        <w:jc w:val="both"/>
        <w:rPr>
          <w:rFonts w:ascii="Georgia" w:eastAsia="Times New Roman" w:hAnsi="Georgia" w:cs="Times New Roman"/>
          <w:sz w:val="24"/>
          <w:szCs w:val="24"/>
        </w:rPr>
      </w:pPr>
    </w:p>
    <w:p w14:paraId="61CA3B00" w14:textId="0CEABC81" w:rsidR="000B11C8" w:rsidRPr="000B11C8" w:rsidRDefault="000B11C8" w:rsidP="000B11C8">
      <w:pPr>
        <w:spacing w:line="360" w:lineRule="auto"/>
        <w:jc w:val="both"/>
        <w:rPr>
          <w:rFonts w:ascii="Arial" w:hAnsi="Arial" w:cs="Arial"/>
          <w:color w:val="000000"/>
          <w:sz w:val="24"/>
          <w:szCs w:val="24"/>
          <w:shd w:val="clear" w:color="auto" w:fill="FFFFFF"/>
        </w:rPr>
      </w:pPr>
      <w:r w:rsidRPr="000B11C8">
        <w:rPr>
          <w:rFonts w:ascii="Arial" w:eastAsia="Times New Roman" w:hAnsi="Arial" w:cs="Arial"/>
          <w:sz w:val="24"/>
          <w:szCs w:val="24"/>
        </w:rPr>
        <w:lastRenderedPageBreak/>
        <w:t xml:space="preserve">We later split the gender differences in </w:t>
      </w:r>
      <w:r w:rsidRPr="000B11C8">
        <w:rPr>
          <w:rFonts w:ascii="Arial" w:eastAsia="Times New Roman" w:hAnsi="Arial" w:cs="Arial"/>
          <w:i/>
          <w:sz w:val="24"/>
          <w:szCs w:val="24"/>
        </w:rPr>
        <w:t>DFLE</w:t>
      </w:r>
      <w:r w:rsidRPr="000B11C8">
        <w:rPr>
          <w:rFonts w:ascii="Arial" w:eastAsia="Times New Roman" w:hAnsi="Arial" w:cs="Arial"/>
          <w:sz w:val="24"/>
          <w:szCs w:val="24"/>
        </w:rPr>
        <w:t xml:space="preserve"> and </w:t>
      </w:r>
      <w:r w:rsidRPr="000B11C8">
        <w:rPr>
          <w:rFonts w:ascii="Arial" w:eastAsia="Times New Roman" w:hAnsi="Arial" w:cs="Arial"/>
          <w:i/>
          <w:sz w:val="24"/>
          <w:szCs w:val="24"/>
        </w:rPr>
        <w:t>CFLE</w:t>
      </w:r>
      <w:r w:rsidRPr="000B11C8">
        <w:rPr>
          <w:rFonts w:ascii="Arial" w:eastAsia="Times New Roman" w:hAnsi="Arial" w:cs="Arial"/>
          <w:sz w:val="24"/>
          <w:szCs w:val="24"/>
        </w:rPr>
        <w:t xml:space="preserve"> at age </w:t>
      </w:r>
      <w:r w:rsidRPr="000B11C8">
        <w:rPr>
          <w:rFonts w:ascii="Arial" w:eastAsia="Times New Roman" w:hAnsi="Arial" w:cs="Arial"/>
          <w:i/>
          <w:sz w:val="24"/>
          <w:szCs w:val="24"/>
        </w:rPr>
        <w:t>x</w:t>
      </w:r>
      <w:r w:rsidRPr="000B11C8">
        <w:rPr>
          <w:rFonts w:ascii="Arial" w:eastAsia="Times New Roman" w:hAnsi="Arial" w:cs="Arial"/>
          <w:sz w:val="24"/>
          <w:szCs w:val="24"/>
        </w:rPr>
        <w:t xml:space="preserve"> into mortality and disability/chronic effects by five-year age groups. To decompose the gap, we apply the continuous change decomposition method that was developed by Horiuchi et al.</w:t>
      </w:r>
      <w:r w:rsidR="00153966">
        <w:rPr>
          <w:rFonts w:ascii="Arial" w:eastAsia="Times New Roman" w:hAnsi="Arial" w:cs="Arial"/>
          <w:sz w:val="24"/>
          <w:szCs w:val="24"/>
        </w:rPr>
        <w:t xml:space="preserve"> </w:t>
      </w:r>
      <w:r w:rsidR="00153966">
        <w:rPr>
          <w:rFonts w:ascii="Arial" w:eastAsia="Times New Roman" w:hAnsi="Arial" w:cs="Arial"/>
          <w:sz w:val="24"/>
          <w:szCs w:val="24"/>
        </w:rPr>
        <w:fldChar w:fldCharType="begin" w:fldLock="1"/>
      </w:r>
      <w:r w:rsidR="007C55AA">
        <w:rPr>
          <w:rFonts w:ascii="Arial" w:eastAsia="Times New Roman" w:hAnsi="Arial" w:cs="Arial"/>
          <w:sz w:val="24"/>
          <w:szCs w:val="24"/>
        </w:rPr>
        <w:instrText>ADDIN CSL_CITATION {"citationItems":[{"id":"ITEM-1","itemData":{"DOI":"10.1353/dem.0.0033","ISSN":"0070-3370","PMID":"19110897","abstract":"A demographic measure is often expressed as a deterministic or stochastic function of multiple variables (covariates), and a general problem (the decomposition problem) is to assess contributions of individual covariates to a difference in the demographic measure (dependent variable) between two populations. We propose a method of decomposition analysis based on an assumption that covariates change continuously along an actual or hypothetical dimension. This assumption leads to a general model that logically justifies the additivity of covariate effects and the elimination of interaction terms, even if the dependent variable itself is a nonadditive function. A comparison with earlier methods illustrates other practical advantages of the method: in addition to an absence of residuals or interaction terms, the method can easily handle a large number of covariates and does not require a logically meaningful ordering of covariates. Two empirical examples show that the method can be applied flexibly to a wide variety of decomposition problems. This study also suggests that when data are available at multiple time points over a long interval, it is more accurate to compute an aggregated decomposition based on multiple subintervals than to compute a single decomposition for the entire study period.","author":[{"dropping-particle":"","family":"Horiuchi","given":"Shiro","non-dropping-particle":"","parse-names":false,"suffix":""},{"dropping-particle":"","family":"Wilmoth","given":"John R","non-dropping-particle":"","parse-names":false,"suffix":""},{"dropping-particle":"","family":"Pletcher","given":"Scott D","non-dropping-particle":"","parse-names":false,"suffix":""}],"container-title":"Demography","id":"ITEM-1","issue":"4","issued":{"date-parts":[["2008"]]},"page":"785-801","title":"A decomposition method based on a model of continuous change.","type":"article-journal","volume":"45"},"uris":["http://www.mendeley.com/documents/?uuid=fea51e1d-bc0d-45e0-8554-6c5ff4eed755"]}],"mendeley":{"formattedCitation":"(27)","plainTextFormattedCitation":"(27)","previouslyFormattedCitation":"(27)"},"properties":{"noteIndex":0},"schema":"https://github.com/citation-style-language/schema/raw/master/csl-citation.json"}</w:instrText>
      </w:r>
      <w:r w:rsidR="00153966">
        <w:rPr>
          <w:rFonts w:ascii="Arial" w:eastAsia="Times New Roman" w:hAnsi="Arial" w:cs="Arial"/>
          <w:sz w:val="24"/>
          <w:szCs w:val="24"/>
        </w:rPr>
        <w:fldChar w:fldCharType="separate"/>
      </w:r>
      <w:r w:rsidR="006E3374" w:rsidRPr="006E3374">
        <w:rPr>
          <w:rFonts w:ascii="Arial" w:eastAsia="Times New Roman" w:hAnsi="Arial" w:cs="Arial"/>
          <w:noProof/>
          <w:sz w:val="24"/>
          <w:szCs w:val="24"/>
        </w:rPr>
        <w:t>(27)</w:t>
      </w:r>
      <w:r w:rsidR="00153966">
        <w:rPr>
          <w:rFonts w:ascii="Arial" w:eastAsia="Times New Roman" w:hAnsi="Arial" w:cs="Arial"/>
          <w:sz w:val="24"/>
          <w:szCs w:val="24"/>
        </w:rPr>
        <w:fldChar w:fldCharType="end"/>
      </w:r>
      <w:r w:rsidRPr="000B11C8">
        <w:rPr>
          <w:rFonts w:ascii="Arial" w:eastAsia="Times New Roman" w:hAnsi="Arial" w:cs="Arial"/>
          <w:sz w:val="24"/>
          <w:szCs w:val="24"/>
        </w:rPr>
        <w:t xml:space="preserve"> and implemented in R by Riffe </w:t>
      </w:r>
      <w:r w:rsidR="00877C0C">
        <w:rPr>
          <w:rFonts w:ascii="Arial" w:eastAsia="Times New Roman" w:hAnsi="Arial" w:cs="Arial"/>
          <w:sz w:val="24"/>
          <w:szCs w:val="24"/>
        </w:rPr>
        <w:fldChar w:fldCharType="begin" w:fldLock="1"/>
      </w:r>
      <w:r w:rsidR="007C55AA">
        <w:rPr>
          <w:rFonts w:ascii="Arial" w:eastAsia="Times New Roman" w:hAnsi="Arial" w:cs="Arial"/>
          <w:sz w:val="24"/>
          <w:szCs w:val="24"/>
        </w:rPr>
        <w:instrText>ADDIN CSL_CITATION {"citationItems":[{"id":"ITEM-1","itemData":{"DOI":"10.1353/dem.0.0033","author":[{"dropping-particle":"","family":"Riffe","given":"Tim","non-dropping-particle":"","parse-names":false,"suffix":""}],"id":"ITEM-1","issued":{"date-parts":[["2018"]]},"title":"Package 'DemoDecomp' Type Package Title Decompose Demographic Functions","type":"article-journal"},"uris":["http://www.mendeley.com/documents/?uuid=c4f25388-2553-3bf6-8752-093bf4fed107"]}],"mendeley":{"formattedCitation":"(28)","plainTextFormattedCitation":"(28)","previouslyFormattedCitation":"(28)"},"properties":{"noteIndex":0},"schema":"https://github.com/citation-style-language/schema/raw/master/csl-citation.json"}</w:instrText>
      </w:r>
      <w:r w:rsidR="00877C0C">
        <w:rPr>
          <w:rFonts w:ascii="Arial" w:eastAsia="Times New Roman" w:hAnsi="Arial" w:cs="Arial"/>
          <w:sz w:val="24"/>
          <w:szCs w:val="24"/>
        </w:rPr>
        <w:fldChar w:fldCharType="separate"/>
      </w:r>
      <w:r w:rsidR="006E3374" w:rsidRPr="006E3374">
        <w:rPr>
          <w:rFonts w:ascii="Arial" w:eastAsia="Times New Roman" w:hAnsi="Arial" w:cs="Arial"/>
          <w:noProof/>
          <w:sz w:val="24"/>
          <w:szCs w:val="24"/>
        </w:rPr>
        <w:t>(28)</w:t>
      </w:r>
      <w:r w:rsidR="00877C0C">
        <w:rPr>
          <w:rFonts w:ascii="Arial" w:eastAsia="Times New Roman" w:hAnsi="Arial" w:cs="Arial"/>
          <w:sz w:val="24"/>
          <w:szCs w:val="24"/>
        </w:rPr>
        <w:fldChar w:fldCharType="end"/>
      </w:r>
      <w:r w:rsidR="00877C0C">
        <w:rPr>
          <w:rFonts w:ascii="Arial" w:eastAsia="Times New Roman" w:hAnsi="Arial" w:cs="Arial"/>
          <w:sz w:val="24"/>
          <w:szCs w:val="24"/>
        </w:rPr>
        <w:t xml:space="preserve">. </w:t>
      </w:r>
      <w:r w:rsidRPr="000B11C8">
        <w:rPr>
          <w:rFonts w:ascii="Arial" w:eastAsia="Times New Roman" w:hAnsi="Arial" w:cs="Arial"/>
          <w:sz w:val="24"/>
          <w:szCs w:val="24"/>
        </w:rPr>
        <w:t xml:space="preserve">The continuous change decomposition method assumes that covariates (e.g., age-specific mortality rates and age-specific prevalence of disability) change continuously along an actual or hypothetical dimension, such as between two periods or between two populations, thereby modifying aggregate measures such as life expectancy and healthy life expectancy. Each of these tiny changes in the aggregate indices can be approximated by a linear combination of </w:t>
      </w:r>
      <w:r w:rsidRPr="000B11C8">
        <w:rPr>
          <w:rFonts w:ascii="Arial" w:eastAsia="Times New Roman" w:hAnsi="Arial" w:cs="Arial"/>
          <w:i/>
          <w:sz w:val="24"/>
          <w:szCs w:val="24"/>
        </w:rPr>
        <w:t>n</w:t>
      </w:r>
      <w:r w:rsidRPr="000B11C8">
        <w:rPr>
          <w:rFonts w:ascii="Arial" w:eastAsia="Times New Roman" w:hAnsi="Arial" w:cs="Arial"/>
          <w:sz w:val="24"/>
          <w:szCs w:val="24"/>
        </w:rPr>
        <w:t xml:space="preserve"> partial derivatives of the function with respect to the covariates</w:t>
      </w:r>
      <w:r w:rsidR="00FF40BE">
        <w:rPr>
          <w:rFonts w:ascii="Arial" w:eastAsia="Times New Roman" w:hAnsi="Arial" w:cs="Arial"/>
          <w:sz w:val="24"/>
          <w:szCs w:val="24"/>
        </w:rPr>
        <w:t xml:space="preserve"> </w:t>
      </w:r>
      <w:r w:rsidR="00FF40BE">
        <w:rPr>
          <w:rFonts w:ascii="Arial" w:eastAsia="Times New Roman" w:hAnsi="Arial" w:cs="Arial"/>
          <w:sz w:val="24"/>
          <w:szCs w:val="24"/>
        </w:rPr>
        <w:fldChar w:fldCharType="begin" w:fldLock="1"/>
      </w:r>
      <w:r w:rsidR="007C55AA">
        <w:rPr>
          <w:rFonts w:ascii="Arial" w:eastAsia="Times New Roman" w:hAnsi="Arial" w:cs="Arial"/>
          <w:sz w:val="24"/>
          <w:szCs w:val="24"/>
        </w:rPr>
        <w:instrText>ADDIN CSL_CITATION {"citationItems":[{"id":"ITEM-1","itemData":{"DOI":"10.1353/dem.0.0033","ISSN":"0070-3370","PMID":"19110897","abstract":"A demographic measure is often expressed as a deterministic or stochastic function of multiple variables (covariates), and a general problem (the decomposition problem) is to assess contributions of individual covariates to a difference in the demographic measure (dependent variable) between two populations. We propose a method of decomposition analysis based on an assumption that covariates change continuously along an actual or hypothetical dimension. This assumption leads to a general model that logically justifies the additivity of covariate effects and the elimination of interaction terms, even if the dependent variable itself is a nonadditive function. A comparison with earlier methods illustrates other practical advantages of the method: in addition to an absence of residuals or interaction terms, the method can easily handle a large number of covariates and does not require a logically meaningful ordering of covariates. Two empirical examples show that the method can be applied flexibly to a wide variety of decomposition problems. This study also suggests that when data are available at multiple time points over a long interval, it is more accurate to compute an aggregated decomposition based on multiple subintervals than to compute a single decomposition for the entire study period.","author":[{"dropping-particle":"","family":"Horiuchi","given":"Shiro","non-dropping-particle":"","parse-names":false,"suffix":""},{"dropping-particle":"","family":"Wilmoth","given":"John R","non-dropping-particle":"","parse-names":false,"suffix":""},{"dropping-particle":"","family":"Pletcher","given":"Scott D","non-dropping-particle":"","parse-names":false,"suffix":""}],"container-title":"Demography","id":"ITEM-1","issue":"4","issued":{"date-parts":[["2008"]]},"page":"785-801","title":"A decomposition method based on a model of continuous change.","type":"article-journal","volume":"45"},"uris":["http://www.mendeley.com/documents/?uuid=fea51e1d-bc0d-45e0-8554-6c5ff4eed755"]}],"mendeley":{"formattedCitation":"(27)","plainTextFormattedCitation":"(27)","previouslyFormattedCitation":"(27)"},"properties":{"noteIndex":0},"schema":"https://github.com/citation-style-language/schema/raw/master/csl-citation.json"}</w:instrText>
      </w:r>
      <w:r w:rsidR="00FF40BE">
        <w:rPr>
          <w:rFonts w:ascii="Arial" w:eastAsia="Times New Roman" w:hAnsi="Arial" w:cs="Arial"/>
          <w:sz w:val="24"/>
          <w:szCs w:val="24"/>
        </w:rPr>
        <w:fldChar w:fldCharType="separate"/>
      </w:r>
      <w:r w:rsidR="006E3374" w:rsidRPr="006E3374">
        <w:rPr>
          <w:rFonts w:ascii="Arial" w:eastAsia="Times New Roman" w:hAnsi="Arial" w:cs="Arial"/>
          <w:noProof/>
          <w:sz w:val="24"/>
          <w:szCs w:val="24"/>
        </w:rPr>
        <w:t>(27)</w:t>
      </w:r>
      <w:r w:rsidR="00FF40BE">
        <w:rPr>
          <w:rFonts w:ascii="Arial" w:eastAsia="Times New Roman" w:hAnsi="Arial" w:cs="Arial"/>
          <w:sz w:val="24"/>
          <w:szCs w:val="24"/>
        </w:rPr>
        <w:fldChar w:fldCharType="end"/>
      </w:r>
      <w:r w:rsidR="00FF40BE">
        <w:rPr>
          <w:rFonts w:ascii="Arial" w:eastAsia="Times New Roman" w:hAnsi="Arial" w:cs="Arial"/>
          <w:sz w:val="24"/>
          <w:szCs w:val="24"/>
        </w:rPr>
        <w:t xml:space="preserve">. </w:t>
      </w:r>
      <w:r w:rsidRPr="000B11C8">
        <w:rPr>
          <w:rFonts w:ascii="Arial" w:eastAsia="Times New Roman" w:hAnsi="Arial" w:cs="Arial"/>
          <w:sz w:val="24"/>
          <w:szCs w:val="24"/>
        </w:rPr>
        <w:t xml:space="preserve">Then, numerical integration is used to obtain the total contribution of the covariates for the variation of the aggregate measure. </w:t>
      </w:r>
      <w:r w:rsidRPr="000B11C8">
        <w:rPr>
          <w:rFonts w:ascii="Arial" w:hAnsi="Arial" w:cs="Arial"/>
          <w:color w:val="000000"/>
          <w:sz w:val="24"/>
          <w:szCs w:val="24"/>
          <w:shd w:val="clear" w:color="auto" w:fill="FFFFFF"/>
        </w:rPr>
        <w:t xml:space="preserve">This allows us to estimate the contribution of disability and chronic conditions to explaining gender inequality.  In addition, the </w:t>
      </w:r>
      <w:r w:rsidRPr="000B11C8">
        <w:rPr>
          <w:rFonts w:ascii="Arial" w:eastAsia="Times New Roman" w:hAnsi="Arial" w:cs="Arial"/>
          <w:sz w:val="24"/>
          <w:szCs w:val="24"/>
        </w:rPr>
        <w:t xml:space="preserve">method is very flexible, and can be used for decomposing gaps in different aggregate measures, including healthy life expectancy, as presented by van Raalte and Nepomuceno </w:t>
      </w:r>
      <w:r w:rsidR="00F60B99">
        <w:rPr>
          <w:rFonts w:ascii="Arial" w:eastAsia="Times New Roman" w:hAnsi="Arial" w:cs="Arial"/>
          <w:sz w:val="24"/>
          <w:szCs w:val="24"/>
        </w:rPr>
        <w:fldChar w:fldCharType="begin" w:fldLock="1"/>
      </w:r>
      <w:r w:rsidR="007C55AA">
        <w:rPr>
          <w:rFonts w:ascii="Arial" w:eastAsia="Times New Roman" w:hAnsi="Arial" w:cs="Arial"/>
          <w:sz w:val="24"/>
          <w:szCs w:val="24"/>
        </w:rPr>
        <w:instrText>ADDIN CSL_CITATION {"citationItems":[{"id":"ITEM-1","itemData":{"DOI":"10.1007/978-3-030-37668-0_7","author":[{"dropping-particle":"","family":"Raalte","given":"Alyson A.","non-dropping-particle":"van","parse-names":false,"suffix":""},{"dropping-particle":"","family":"Nepomuceno","given":"Marília R.","non-dropping-particle":"","parse-names":false,"suffix":""}],"id":"ITEM-1","issued":{"date-parts":[["2020"]]},"page":"107-122","title":"Decomposing Gaps in Healthy Life Expectancy","type":"chapter"},"uris":["http://www.mendeley.com/documents/?uuid=917c8c59-1e6e-3d3e-b8f6-7a93bf969289"]}],"mendeley":{"formattedCitation":"(29)","plainTextFormattedCitation":"(29)","previouslyFormattedCitation":"(29)"},"properties":{"noteIndex":0},"schema":"https://github.com/citation-style-language/schema/raw/master/csl-citation.json"}</w:instrText>
      </w:r>
      <w:r w:rsidR="00F60B99">
        <w:rPr>
          <w:rFonts w:ascii="Arial" w:eastAsia="Times New Roman" w:hAnsi="Arial" w:cs="Arial"/>
          <w:sz w:val="24"/>
          <w:szCs w:val="24"/>
        </w:rPr>
        <w:fldChar w:fldCharType="separate"/>
      </w:r>
      <w:r w:rsidR="006E3374" w:rsidRPr="006E3374">
        <w:rPr>
          <w:rFonts w:ascii="Arial" w:eastAsia="Times New Roman" w:hAnsi="Arial" w:cs="Arial"/>
          <w:noProof/>
          <w:sz w:val="24"/>
          <w:szCs w:val="24"/>
        </w:rPr>
        <w:t>(29)</w:t>
      </w:r>
      <w:r w:rsidR="00F60B99">
        <w:rPr>
          <w:rFonts w:ascii="Arial" w:eastAsia="Times New Roman" w:hAnsi="Arial" w:cs="Arial"/>
          <w:sz w:val="24"/>
          <w:szCs w:val="24"/>
        </w:rPr>
        <w:fldChar w:fldCharType="end"/>
      </w:r>
      <w:r w:rsidRPr="000B11C8">
        <w:rPr>
          <w:rFonts w:ascii="Arial" w:eastAsia="Times New Roman" w:hAnsi="Arial" w:cs="Arial"/>
          <w:sz w:val="24"/>
          <w:szCs w:val="24"/>
        </w:rPr>
        <w:t>. Previous research has employed the methodology to estimate gaps in disability for LAC countries</w:t>
      </w:r>
      <w:r w:rsidR="00404535">
        <w:rPr>
          <w:rFonts w:ascii="Arial" w:eastAsia="Times New Roman" w:hAnsi="Arial" w:cs="Arial"/>
          <w:sz w:val="24"/>
          <w:szCs w:val="24"/>
        </w:rPr>
        <w:t xml:space="preserve"> </w:t>
      </w:r>
      <w:r w:rsidR="00404535">
        <w:rPr>
          <w:rFonts w:ascii="Arial" w:eastAsia="Times New Roman" w:hAnsi="Arial" w:cs="Arial"/>
          <w:sz w:val="24"/>
          <w:szCs w:val="24"/>
        </w:rPr>
        <w:fldChar w:fldCharType="begin" w:fldLock="1"/>
      </w:r>
      <w:r w:rsidR="007C55AA">
        <w:rPr>
          <w:rFonts w:ascii="Arial" w:eastAsia="Times New Roman" w:hAnsi="Arial" w:cs="Arial"/>
          <w:sz w:val="24"/>
          <w:szCs w:val="24"/>
        </w:rPr>
        <w:instrText>ADDIN CSL_CITATION {"citationItems":[{"id":"ITEM-1","itemData":{"DOI":"10.1553/populationyearbook2021.res2.1","ISSN":"17284414","abstract":"Women live longer but can expect to spend more years in poorer health compared to men. In the context of population aging and declining gender ratios at older ages, there are increasing concerns about how this disadvantage in female health will affect well-being and sustainability, particularly in developing regions that are rapidly aging. Our study compares differences in health expectancies at older ages for men and women in order to assess gender disparities in health.We use data from the Survey on Health, Well-Being, and Aging in Latin America and the Caribbean to decompose the gender gap into total and age-specific mortality and disability effects in seven cities in the region. Our results show that at older ages, higher disability rates among women reduced the gender gap in healthy life expectancy by offsetting women’s mortality advantage. In addition, we find that women’s mortality advantage decreased almost systematically with age, which reduced the contribution of the mortality effect to the gender gap at older ages. Although the gender gap in health followed a similar pattern across the region, its decomposition into mortality and disability effects reveals that there was substantial variation among cities. Thus, across the region, the implications of the gender gap in health for well-being vary, and the policies aimed at reducing this gap should also differ.","author":[{"dropping-particle":"","family":"Nepomuceno","given":"Marília R.","non-dropping-particle":"","parse-names":false,"suffix":""},{"dropping-particle":"","family":"Lego","given":"Vanessa","non-dropping-particle":"di","parse-names":false,"suffix":""},{"dropping-particle":"","family":"Turra","given":"Cássio M.","non-dropping-particle":"","parse-names":false,"suffix":""}],"container-title":"Vienna Yearbook of Population Research","id":"ITEM-1","issued":{"date-parts":[["2021","12","12"]]},"title":"Gender disparities in health at older ages and their consequences for well-being in Latin America and the Caribbean","type":"article-journal","volume":"19"},"uris":["http://www.mendeley.com/documents/?uuid=c9f59e07-0450-4b7b-98ce-801d1088c88b"]}],"mendeley":{"formattedCitation":"(22)","plainTextFormattedCitation":"(22)","previouslyFormattedCitation":"(22)"},"properties":{"noteIndex":0},"schema":"https://github.com/citation-style-language/schema/raw/master/csl-citation.json"}</w:instrText>
      </w:r>
      <w:r w:rsidR="00404535">
        <w:rPr>
          <w:rFonts w:ascii="Arial" w:eastAsia="Times New Roman" w:hAnsi="Arial" w:cs="Arial"/>
          <w:sz w:val="24"/>
          <w:szCs w:val="24"/>
        </w:rPr>
        <w:fldChar w:fldCharType="separate"/>
      </w:r>
      <w:r w:rsidR="006E3374" w:rsidRPr="006E3374">
        <w:rPr>
          <w:rFonts w:ascii="Arial" w:eastAsia="Times New Roman" w:hAnsi="Arial" w:cs="Arial"/>
          <w:noProof/>
          <w:sz w:val="24"/>
          <w:szCs w:val="24"/>
        </w:rPr>
        <w:t>(22)</w:t>
      </w:r>
      <w:r w:rsidR="00404535">
        <w:rPr>
          <w:rFonts w:ascii="Arial" w:eastAsia="Times New Roman" w:hAnsi="Arial" w:cs="Arial"/>
          <w:sz w:val="24"/>
          <w:szCs w:val="24"/>
        </w:rPr>
        <w:fldChar w:fldCharType="end"/>
      </w:r>
      <w:r w:rsidRPr="000B11C8">
        <w:rPr>
          <w:rFonts w:ascii="Arial" w:eastAsia="Times New Roman" w:hAnsi="Arial" w:cs="Arial"/>
          <w:sz w:val="24"/>
          <w:szCs w:val="24"/>
        </w:rPr>
        <w:t>.</w:t>
      </w:r>
    </w:p>
    <w:p w14:paraId="346E6C37" w14:textId="77777777" w:rsidR="000B11C8" w:rsidRPr="00F649EE" w:rsidRDefault="000B11C8" w:rsidP="00F649EE">
      <w:pPr>
        <w:pBdr>
          <w:top w:val="nil"/>
          <w:left w:val="nil"/>
          <w:bottom w:val="nil"/>
          <w:right w:val="nil"/>
          <w:between w:val="nil"/>
        </w:pBdr>
        <w:spacing w:after="0"/>
        <w:contextualSpacing/>
        <w:rPr>
          <w:rFonts w:ascii="Arial" w:hAnsi="Arial" w:cs="Arial"/>
          <w:b/>
          <w:color w:val="000000"/>
          <w:sz w:val="20"/>
          <w:szCs w:val="20"/>
        </w:rPr>
      </w:pPr>
    </w:p>
    <w:p w14:paraId="2E4CAF39" w14:textId="77777777" w:rsidR="00E6133D" w:rsidRDefault="00E6133D" w:rsidP="00E6133D">
      <w:pPr>
        <w:pBdr>
          <w:top w:val="nil"/>
          <w:left w:val="nil"/>
          <w:bottom w:val="nil"/>
          <w:right w:val="nil"/>
          <w:between w:val="nil"/>
        </w:pBdr>
        <w:contextualSpacing/>
        <w:rPr>
          <w:rFonts w:ascii="Arial" w:hAnsi="Arial" w:cs="Arial"/>
          <w:color w:val="000000"/>
          <w:sz w:val="20"/>
          <w:szCs w:val="20"/>
        </w:rPr>
      </w:pPr>
    </w:p>
    <w:p w14:paraId="4EEAE8C9" w14:textId="77777777" w:rsidR="00980C22" w:rsidRPr="00980C22" w:rsidRDefault="00980C22" w:rsidP="00E6133D">
      <w:pPr>
        <w:pBdr>
          <w:top w:val="nil"/>
          <w:left w:val="nil"/>
          <w:bottom w:val="nil"/>
          <w:right w:val="nil"/>
          <w:between w:val="nil"/>
        </w:pBdr>
        <w:contextualSpacing/>
        <w:rPr>
          <w:rFonts w:ascii="Arial" w:hAnsi="Arial" w:cs="Arial"/>
          <w:color w:val="000000"/>
          <w:sz w:val="20"/>
          <w:szCs w:val="20"/>
        </w:rPr>
      </w:pPr>
    </w:p>
    <w:p w14:paraId="24F14103" w14:textId="77777777" w:rsidR="00E6133D" w:rsidRPr="001B3BCA" w:rsidRDefault="00E6133D" w:rsidP="00E6133D">
      <w:pPr>
        <w:pBdr>
          <w:top w:val="nil"/>
          <w:left w:val="nil"/>
          <w:bottom w:val="nil"/>
          <w:right w:val="nil"/>
          <w:between w:val="nil"/>
        </w:pBdr>
        <w:contextualSpacing/>
        <w:rPr>
          <w:rFonts w:ascii="Arial" w:hAnsi="Arial" w:cs="Arial"/>
          <w:b/>
          <w:color w:val="000000"/>
          <w:sz w:val="24"/>
          <w:szCs w:val="24"/>
        </w:rPr>
      </w:pPr>
      <w:r w:rsidRPr="001B3BCA">
        <w:rPr>
          <w:rFonts w:ascii="Arial" w:hAnsi="Arial" w:cs="Arial"/>
          <w:b/>
          <w:color w:val="000000"/>
          <w:sz w:val="24"/>
          <w:szCs w:val="24"/>
        </w:rPr>
        <w:t>Acknowledgments</w:t>
      </w:r>
    </w:p>
    <w:p w14:paraId="5657C956" w14:textId="77777777" w:rsidR="00E6133D" w:rsidRPr="00980C22" w:rsidRDefault="00E6133D" w:rsidP="00E6133D">
      <w:pPr>
        <w:pBdr>
          <w:top w:val="nil"/>
          <w:left w:val="nil"/>
          <w:bottom w:val="nil"/>
          <w:right w:val="nil"/>
          <w:between w:val="nil"/>
        </w:pBdr>
        <w:contextualSpacing/>
        <w:rPr>
          <w:rFonts w:ascii="Arial" w:hAnsi="Arial" w:cs="Arial"/>
          <w:b/>
          <w:color w:val="000000"/>
          <w:sz w:val="20"/>
          <w:szCs w:val="20"/>
        </w:rPr>
      </w:pPr>
    </w:p>
    <w:p w14:paraId="00D3B965" w14:textId="4A833DF1" w:rsidR="00E6133D" w:rsidRDefault="00E6133D" w:rsidP="00E6133D">
      <w:pPr>
        <w:pBdr>
          <w:top w:val="nil"/>
          <w:left w:val="nil"/>
          <w:bottom w:val="nil"/>
          <w:right w:val="nil"/>
          <w:between w:val="nil"/>
        </w:pBdr>
        <w:contextualSpacing/>
        <w:rPr>
          <w:rFonts w:ascii="Arial" w:hAnsi="Arial" w:cs="Arial"/>
          <w:color w:val="000000"/>
          <w:sz w:val="20"/>
          <w:szCs w:val="20"/>
        </w:rPr>
      </w:pPr>
      <w:r w:rsidRPr="00980C22">
        <w:rPr>
          <w:rFonts w:ascii="Arial" w:hAnsi="Arial" w:cs="Arial"/>
          <w:color w:val="000000"/>
          <w:sz w:val="20"/>
          <w:szCs w:val="20"/>
        </w:rPr>
        <w:t>P</w:t>
      </w:r>
      <w:r w:rsidRPr="00F649EE">
        <w:rPr>
          <w:rFonts w:ascii="Arial" w:hAnsi="Arial" w:cs="Arial"/>
          <w:color w:val="000000"/>
          <w:sz w:val="20"/>
          <w:szCs w:val="20"/>
        </w:rPr>
        <w:t>aste your acknowledgments here.</w:t>
      </w:r>
    </w:p>
    <w:p w14:paraId="557C004D" w14:textId="77777777" w:rsidR="00980C22" w:rsidRPr="00980C22" w:rsidRDefault="00980C22" w:rsidP="00E6133D">
      <w:pPr>
        <w:pBdr>
          <w:top w:val="nil"/>
          <w:left w:val="nil"/>
          <w:bottom w:val="nil"/>
          <w:right w:val="nil"/>
          <w:between w:val="nil"/>
        </w:pBdr>
        <w:contextualSpacing/>
        <w:rPr>
          <w:rFonts w:ascii="Arial" w:hAnsi="Arial" w:cs="Arial"/>
          <w:color w:val="000000"/>
          <w:sz w:val="20"/>
          <w:szCs w:val="20"/>
        </w:rPr>
      </w:pPr>
    </w:p>
    <w:p w14:paraId="1124750D" w14:textId="77777777" w:rsidR="00E6133D" w:rsidRPr="00AE6AF3" w:rsidRDefault="00E6133D" w:rsidP="00E6133D">
      <w:pPr>
        <w:pBdr>
          <w:top w:val="nil"/>
          <w:left w:val="nil"/>
          <w:bottom w:val="nil"/>
          <w:right w:val="nil"/>
          <w:between w:val="nil"/>
        </w:pBdr>
        <w:contextualSpacing/>
        <w:rPr>
          <w:rFonts w:ascii="Arial" w:hAnsi="Arial" w:cs="Arial"/>
          <w:color w:val="000000"/>
          <w:sz w:val="24"/>
          <w:szCs w:val="24"/>
        </w:rPr>
      </w:pPr>
    </w:p>
    <w:p w14:paraId="3EAB21F4" w14:textId="5047DA58" w:rsidR="00E6133D" w:rsidRPr="00AE6AF3" w:rsidRDefault="00E6133D" w:rsidP="00E6133D">
      <w:pPr>
        <w:pBdr>
          <w:top w:val="nil"/>
          <w:left w:val="nil"/>
          <w:bottom w:val="nil"/>
          <w:right w:val="nil"/>
          <w:between w:val="nil"/>
        </w:pBdr>
        <w:contextualSpacing/>
        <w:rPr>
          <w:rFonts w:ascii="Arial" w:hAnsi="Arial" w:cs="Arial"/>
          <w:b/>
          <w:color w:val="000000"/>
          <w:sz w:val="24"/>
          <w:szCs w:val="24"/>
        </w:rPr>
      </w:pPr>
      <w:r w:rsidRPr="00AE6AF3">
        <w:rPr>
          <w:rFonts w:ascii="Arial" w:hAnsi="Arial" w:cs="Arial"/>
          <w:b/>
          <w:color w:val="000000"/>
          <w:sz w:val="24"/>
          <w:szCs w:val="24"/>
        </w:rPr>
        <w:t>References</w:t>
      </w:r>
    </w:p>
    <w:p w14:paraId="6F904DDD" w14:textId="77777777" w:rsidR="00F50ECE" w:rsidRPr="00980C22" w:rsidRDefault="00F50ECE" w:rsidP="00E6133D">
      <w:pPr>
        <w:pBdr>
          <w:top w:val="nil"/>
          <w:left w:val="nil"/>
          <w:bottom w:val="nil"/>
          <w:right w:val="nil"/>
          <w:between w:val="nil"/>
        </w:pBdr>
        <w:contextualSpacing/>
        <w:rPr>
          <w:rFonts w:ascii="Arial" w:hAnsi="Arial" w:cs="Arial"/>
          <w:color w:val="000000"/>
          <w:sz w:val="20"/>
          <w:szCs w:val="20"/>
        </w:rPr>
      </w:pPr>
    </w:p>
    <w:p w14:paraId="22CAB52C" w14:textId="7E2300A5" w:rsidR="00C57849" w:rsidRPr="00C57849" w:rsidRDefault="00F50ECE" w:rsidP="00C57849">
      <w:pPr>
        <w:widowControl w:val="0"/>
        <w:autoSpaceDE w:val="0"/>
        <w:autoSpaceDN w:val="0"/>
        <w:adjustRightInd w:val="0"/>
        <w:ind w:left="640" w:hanging="640"/>
        <w:rPr>
          <w:rFonts w:ascii="Arial" w:hAnsi="Arial" w:cs="Arial"/>
          <w:noProof/>
          <w:sz w:val="20"/>
          <w:szCs w:val="24"/>
        </w:rPr>
      </w:pPr>
      <w:r>
        <w:rPr>
          <w:rFonts w:ascii="Arial" w:hAnsi="Arial" w:cs="Arial"/>
          <w:color w:val="000000"/>
          <w:sz w:val="20"/>
          <w:szCs w:val="20"/>
        </w:rPr>
        <w:fldChar w:fldCharType="begin" w:fldLock="1"/>
      </w:r>
      <w:r>
        <w:rPr>
          <w:rFonts w:ascii="Arial" w:hAnsi="Arial" w:cs="Arial"/>
          <w:color w:val="000000"/>
          <w:sz w:val="20"/>
          <w:szCs w:val="20"/>
        </w:rPr>
        <w:instrText xml:space="preserve">ADDIN Mendeley Bibliography CSL_BIBLIOGRAPHY </w:instrText>
      </w:r>
      <w:r>
        <w:rPr>
          <w:rFonts w:ascii="Arial" w:hAnsi="Arial" w:cs="Arial"/>
          <w:color w:val="000000"/>
          <w:sz w:val="20"/>
          <w:szCs w:val="20"/>
        </w:rPr>
        <w:fldChar w:fldCharType="separate"/>
      </w:r>
      <w:r w:rsidR="00C57849" w:rsidRPr="00C57849">
        <w:rPr>
          <w:rFonts w:ascii="Arial" w:hAnsi="Arial" w:cs="Arial"/>
          <w:noProof/>
          <w:sz w:val="20"/>
          <w:szCs w:val="24"/>
        </w:rPr>
        <w:t xml:space="preserve">1. </w:t>
      </w:r>
      <w:r w:rsidR="00C57849" w:rsidRPr="00C57849">
        <w:rPr>
          <w:rFonts w:ascii="Arial" w:hAnsi="Arial" w:cs="Arial"/>
          <w:noProof/>
          <w:sz w:val="20"/>
          <w:szCs w:val="24"/>
        </w:rPr>
        <w:tab/>
        <w:t>World Economic Forum, “The Global Gender Gap Report 2021” (2021).</w:t>
      </w:r>
    </w:p>
    <w:p w14:paraId="559511DB" w14:textId="77777777" w:rsidR="00C57849" w:rsidRPr="00C57849" w:rsidRDefault="00C57849" w:rsidP="00C57849">
      <w:pPr>
        <w:widowControl w:val="0"/>
        <w:autoSpaceDE w:val="0"/>
        <w:autoSpaceDN w:val="0"/>
        <w:adjustRightInd w:val="0"/>
        <w:ind w:left="640" w:hanging="640"/>
        <w:rPr>
          <w:rFonts w:ascii="Arial" w:hAnsi="Arial" w:cs="Arial"/>
          <w:noProof/>
          <w:sz w:val="20"/>
          <w:szCs w:val="24"/>
        </w:rPr>
      </w:pPr>
      <w:r w:rsidRPr="00C57849">
        <w:rPr>
          <w:rFonts w:ascii="Arial" w:hAnsi="Arial" w:cs="Arial"/>
          <w:noProof/>
          <w:sz w:val="20"/>
          <w:szCs w:val="24"/>
        </w:rPr>
        <w:t xml:space="preserve">2. </w:t>
      </w:r>
      <w:r w:rsidRPr="00C57849">
        <w:rPr>
          <w:rFonts w:ascii="Arial" w:hAnsi="Arial" w:cs="Arial"/>
          <w:noProof/>
          <w:sz w:val="20"/>
          <w:szCs w:val="24"/>
        </w:rPr>
        <w:tab/>
        <w:t>WHO (World Health Organization), “Understanding the drivers of health equity: the power of political participation” (2020).</w:t>
      </w:r>
    </w:p>
    <w:p w14:paraId="52DAD33A" w14:textId="77777777" w:rsidR="00C57849" w:rsidRPr="00C57849" w:rsidRDefault="00C57849" w:rsidP="00C57849">
      <w:pPr>
        <w:widowControl w:val="0"/>
        <w:autoSpaceDE w:val="0"/>
        <w:autoSpaceDN w:val="0"/>
        <w:adjustRightInd w:val="0"/>
        <w:ind w:left="640" w:hanging="640"/>
        <w:rPr>
          <w:rFonts w:ascii="Arial" w:hAnsi="Arial" w:cs="Arial"/>
          <w:noProof/>
          <w:sz w:val="20"/>
          <w:szCs w:val="24"/>
        </w:rPr>
      </w:pPr>
      <w:r w:rsidRPr="00C57849">
        <w:rPr>
          <w:rFonts w:ascii="Arial" w:hAnsi="Arial" w:cs="Arial"/>
          <w:noProof/>
          <w:sz w:val="20"/>
          <w:szCs w:val="24"/>
        </w:rPr>
        <w:t xml:space="preserve">3. </w:t>
      </w:r>
      <w:r w:rsidRPr="00C57849">
        <w:rPr>
          <w:rFonts w:ascii="Arial" w:hAnsi="Arial" w:cs="Arial"/>
          <w:noProof/>
          <w:sz w:val="20"/>
          <w:szCs w:val="24"/>
        </w:rPr>
        <w:tab/>
        <w:t>European Institute for Gender Equality, “Gender Equality Index 2021: Health” (2021) https:/doi.org/10.2839/633501.</w:t>
      </w:r>
    </w:p>
    <w:p w14:paraId="2FE63BA7" w14:textId="77777777" w:rsidR="00C57849" w:rsidRPr="00C57849" w:rsidRDefault="00C57849" w:rsidP="00C57849">
      <w:pPr>
        <w:widowControl w:val="0"/>
        <w:autoSpaceDE w:val="0"/>
        <w:autoSpaceDN w:val="0"/>
        <w:adjustRightInd w:val="0"/>
        <w:ind w:left="640" w:hanging="640"/>
        <w:rPr>
          <w:rFonts w:ascii="Arial" w:hAnsi="Arial" w:cs="Arial"/>
          <w:noProof/>
          <w:sz w:val="20"/>
          <w:szCs w:val="24"/>
        </w:rPr>
      </w:pPr>
      <w:r w:rsidRPr="00C57849">
        <w:rPr>
          <w:rFonts w:ascii="Arial" w:hAnsi="Arial" w:cs="Arial"/>
          <w:noProof/>
          <w:sz w:val="20"/>
          <w:szCs w:val="24"/>
        </w:rPr>
        <w:t xml:space="preserve">4. </w:t>
      </w:r>
      <w:r w:rsidRPr="00C57849">
        <w:rPr>
          <w:rFonts w:ascii="Arial" w:hAnsi="Arial" w:cs="Arial"/>
          <w:noProof/>
          <w:sz w:val="20"/>
          <w:szCs w:val="24"/>
        </w:rPr>
        <w:tab/>
        <w:t xml:space="preserve">A. Case, C. Paxson, Sex Differences in Morbidity and Mortality. </w:t>
      </w:r>
      <w:r w:rsidRPr="00C57849">
        <w:rPr>
          <w:rFonts w:ascii="Arial" w:hAnsi="Arial" w:cs="Arial"/>
          <w:i/>
          <w:iCs/>
          <w:noProof/>
          <w:sz w:val="20"/>
          <w:szCs w:val="24"/>
        </w:rPr>
        <w:t>Demography</w:t>
      </w:r>
      <w:r w:rsidRPr="00C57849">
        <w:rPr>
          <w:rFonts w:ascii="Arial" w:hAnsi="Arial" w:cs="Arial"/>
          <w:noProof/>
          <w:sz w:val="20"/>
          <w:szCs w:val="24"/>
        </w:rPr>
        <w:t xml:space="preserve"> </w:t>
      </w:r>
      <w:r w:rsidRPr="00C57849">
        <w:rPr>
          <w:rFonts w:ascii="Arial" w:hAnsi="Arial" w:cs="Arial"/>
          <w:b/>
          <w:bCs/>
          <w:noProof/>
          <w:sz w:val="20"/>
          <w:szCs w:val="24"/>
        </w:rPr>
        <w:t>42</w:t>
      </w:r>
      <w:r w:rsidRPr="00C57849">
        <w:rPr>
          <w:rFonts w:ascii="Arial" w:hAnsi="Arial" w:cs="Arial"/>
          <w:noProof/>
          <w:sz w:val="20"/>
          <w:szCs w:val="24"/>
        </w:rPr>
        <w:t>, 189–214 (2005).</w:t>
      </w:r>
    </w:p>
    <w:p w14:paraId="2E8B3881" w14:textId="77777777" w:rsidR="00C57849" w:rsidRPr="00C57849" w:rsidRDefault="00C57849" w:rsidP="00C57849">
      <w:pPr>
        <w:widowControl w:val="0"/>
        <w:autoSpaceDE w:val="0"/>
        <w:autoSpaceDN w:val="0"/>
        <w:adjustRightInd w:val="0"/>
        <w:ind w:left="640" w:hanging="640"/>
        <w:rPr>
          <w:rFonts w:ascii="Arial" w:hAnsi="Arial" w:cs="Arial"/>
          <w:noProof/>
          <w:sz w:val="20"/>
          <w:szCs w:val="24"/>
        </w:rPr>
      </w:pPr>
      <w:r w:rsidRPr="00C57849">
        <w:rPr>
          <w:rFonts w:ascii="Arial" w:hAnsi="Arial" w:cs="Arial"/>
          <w:noProof/>
          <w:sz w:val="20"/>
          <w:szCs w:val="24"/>
        </w:rPr>
        <w:lastRenderedPageBreak/>
        <w:t xml:space="preserve">5. </w:t>
      </w:r>
      <w:r w:rsidRPr="00C57849">
        <w:rPr>
          <w:rFonts w:ascii="Arial" w:hAnsi="Arial" w:cs="Arial"/>
          <w:noProof/>
          <w:sz w:val="20"/>
          <w:szCs w:val="24"/>
        </w:rPr>
        <w:tab/>
        <w:t xml:space="preserve">E. M. Crimmins, J. K. Kim, A. Solé-Auró, Gender differences in health: results from SHARE, ELSA and HRS. </w:t>
      </w:r>
      <w:r w:rsidRPr="00C57849">
        <w:rPr>
          <w:rFonts w:ascii="Arial" w:hAnsi="Arial" w:cs="Arial"/>
          <w:i/>
          <w:iCs/>
          <w:noProof/>
          <w:sz w:val="20"/>
          <w:szCs w:val="24"/>
        </w:rPr>
        <w:t>Eur. J. Public Health</w:t>
      </w:r>
      <w:r w:rsidRPr="00C57849">
        <w:rPr>
          <w:rFonts w:ascii="Arial" w:hAnsi="Arial" w:cs="Arial"/>
          <w:noProof/>
          <w:sz w:val="20"/>
          <w:szCs w:val="24"/>
        </w:rPr>
        <w:t xml:space="preserve"> </w:t>
      </w:r>
      <w:r w:rsidRPr="00C57849">
        <w:rPr>
          <w:rFonts w:ascii="Arial" w:hAnsi="Arial" w:cs="Arial"/>
          <w:b/>
          <w:bCs/>
          <w:noProof/>
          <w:sz w:val="20"/>
          <w:szCs w:val="24"/>
        </w:rPr>
        <w:t>21</w:t>
      </w:r>
      <w:r w:rsidRPr="00C57849">
        <w:rPr>
          <w:rFonts w:ascii="Arial" w:hAnsi="Arial" w:cs="Arial"/>
          <w:noProof/>
          <w:sz w:val="20"/>
          <w:szCs w:val="24"/>
        </w:rPr>
        <w:t>, 81–91 (2011).</w:t>
      </w:r>
    </w:p>
    <w:p w14:paraId="2E03879A" w14:textId="77777777" w:rsidR="00C57849" w:rsidRPr="00C57849" w:rsidRDefault="00C57849" w:rsidP="00C57849">
      <w:pPr>
        <w:widowControl w:val="0"/>
        <w:autoSpaceDE w:val="0"/>
        <w:autoSpaceDN w:val="0"/>
        <w:adjustRightInd w:val="0"/>
        <w:ind w:left="640" w:hanging="640"/>
        <w:rPr>
          <w:rFonts w:ascii="Arial" w:hAnsi="Arial" w:cs="Arial"/>
          <w:noProof/>
          <w:sz w:val="20"/>
          <w:szCs w:val="24"/>
        </w:rPr>
      </w:pPr>
      <w:r w:rsidRPr="00C57849">
        <w:rPr>
          <w:rFonts w:ascii="Arial" w:hAnsi="Arial" w:cs="Arial"/>
          <w:noProof/>
          <w:sz w:val="20"/>
          <w:szCs w:val="24"/>
        </w:rPr>
        <w:t xml:space="preserve">6. </w:t>
      </w:r>
      <w:r w:rsidRPr="00C57849">
        <w:rPr>
          <w:rFonts w:ascii="Arial" w:hAnsi="Arial" w:cs="Arial"/>
          <w:noProof/>
          <w:sz w:val="20"/>
          <w:szCs w:val="24"/>
        </w:rPr>
        <w:tab/>
        <w:t xml:space="preserve">L. M. Verbrugge, D. L. Wingard, Sex Differentials in Health and Mortality. </w:t>
      </w:r>
      <w:r w:rsidRPr="00C57849">
        <w:rPr>
          <w:rFonts w:ascii="Arial" w:hAnsi="Arial" w:cs="Arial"/>
          <w:i/>
          <w:iCs/>
          <w:noProof/>
          <w:sz w:val="20"/>
          <w:szCs w:val="24"/>
        </w:rPr>
        <w:t>Women Health</w:t>
      </w:r>
      <w:r w:rsidRPr="00C57849">
        <w:rPr>
          <w:rFonts w:ascii="Arial" w:hAnsi="Arial" w:cs="Arial"/>
          <w:noProof/>
          <w:sz w:val="20"/>
          <w:szCs w:val="24"/>
        </w:rPr>
        <w:t xml:space="preserve"> </w:t>
      </w:r>
      <w:r w:rsidRPr="00C57849">
        <w:rPr>
          <w:rFonts w:ascii="Arial" w:hAnsi="Arial" w:cs="Arial"/>
          <w:b/>
          <w:bCs/>
          <w:noProof/>
          <w:sz w:val="20"/>
          <w:szCs w:val="24"/>
        </w:rPr>
        <w:t>12</w:t>
      </w:r>
      <w:r w:rsidRPr="00C57849">
        <w:rPr>
          <w:rFonts w:ascii="Arial" w:hAnsi="Arial" w:cs="Arial"/>
          <w:noProof/>
          <w:sz w:val="20"/>
          <w:szCs w:val="24"/>
        </w:rPr>
        <w:t>, 103–145 (1987).</w:t>
      </w:r>
    </w:p>
    <w:p w14:paraId="5875F782" w14:textId="77777777" w:rsidR="00C57849" w:rsidRPr="00C57849" w:rsidRDefault="00C57849" w:rsidP="00C57849">
      <w:pPr>
        <w:widowControl w:val="0"/>
        <w:autoSpaceDE w:val="0"/>
        <w:autoSpaceDN w:val="0"/>
        <w:adjustRightInd w:val="0"/>
        <w:ind w:left="640" w:hanging="640"/>
        <w:rPr>
          <w:rFonts w:ascii="Arial" w:hAnsi="Arial" w:cs="Arial"/>
          <w:noProof/>
          <w:sz w:val="20"/>
          <w:szCs w:val="24"/>
        </w:rPr>
      </w:pPr>
      <w:r w:rsidRPr="00C57849">
        <w:rPr>
          <w:rFonts w:ascii="Arial" w:hAnsi="Arial" w:cs="Arial"/>
          <w:noProof/>
          <w:sz w:val="20"/>
          <w:szCs w:val="24"/>
        </w:rPr>
        <w:t xml:space="preserve">7. </w:t>
      </w:r>
      <w:r w:rsidRPr="00C57849">
        <w:rPr>
          <w:rFonts w:ascii="Arial" w:hAnsi="Arial" w:cs="Arial"/>
          <w:noProof/>
          <w:sz w:val="20"/>
          <w:szCs w:val="24"/>
        </w:rPr>
        <w:tab/>
        <w:t xml:space="preserve">G. Doblhammer, J. Gumà, </w:t>
      </w:r>
      <w:r w:rsidRPr="00C57849">
        <w:rPr>
          <w:rFonts w:ascii="Arial" w:hAnsi="Arial" w:cs="Arial"/>
          <w:i/>
          <w:iCs/>
          <w:noProof/>
          <w:sz w:val="20"/>
          <w:szCs w:val="24"/>
        </w:rPr>
        <w:t>A Demographic Perspective on Gender, Family and Health in Europe</w:t>
      </w:r>
      <w:r w:rsidRPr="00C57849">
        <w:rPr>
          <w:rFonts w:ascii="Arial" w:hAnsi="Arial" w:cs="Arial"/>
          <w:noProof/>
          <w:sz w:val="20"/>
          <w:szCs w:val="24"/>
        </w:rPr>
        <w:t>, G. Doblhammer, J. Gumà, Eds. (Springer International Publishing, 2018) https:/doi.org/10.1007/978-3-319-72356-3.</w:t>
      </w:r>
    </w:p>
    <w:p w14:paraId="40A52AE4" w14:textId="77777777" w:rsidR="00C57849" w:rsidRPr="00C57849" w:rsidRDefault="00C57849" w:rsidP="00C57849">
      <w:pPr>
        <w:widowControl w:val="0"/>
        <w:autoSpaceDE w:val="0"/>
        <w:autoSpaceDN w:val="0"/>
        <w:adjustRightInd w:val="0"/>
        <w:ind w:left="640" w:hanging="640"/>
        <w:rPr>
          <w:rFonts w:ascii="Arial" w:hAnsi="Arial" w:cs="Arial"/>
          <w:noProof/>
          <w:sz w:val="20"/>
          <w:szCs w:val="24"/>
        </w:rPr>
      </w:pPr>
      <w:r w:rsidRPr="00C57849">
        <w:rPr>
          <w:rFonts w:ascii="Arial" w:hAnsi="Arial" w:cs="Arial"/>
          <w:noProof/>
          <w:sz w:val="20"/>
          <w:szCs w:val="24"/>
        </w:rPr>
        <w:t xml:space="preserve">8. </w:t>
      </w:r>
      <w:r w:rsidRPr="00C57849">
        <w:rPr>
          <w:rFonts w:ascii="Arial" w:hAnsi="Arial" w:cs="Arial"/>
          <w:noProof/>
          <w:sz w:val="20"/>
          <w:szCs w:val="24"/>
        </w:rPr>
        <w:tab/>
        <w:t xml:space="preserve">V. Zarulli, </w:t>
      </w:r>
      <w:r w:rsidRPr="00C57849">
        <w:rPr>
          <w:rFonts w:ascii="Arial" w:hAnsi="Arial" w:cs="Arial"/>
          <w:i/>
          <w:iCs/>
          <w:noProof/>
          <w:sz w:val="20"/>
          <w:szCs w:val="24"/>
        </w:rPr>
        <w:t>et al.</w:t>
      </w:r>
      <w:r w:rsidRPr="00C57849">
        <w:rPr>
          <w:rFonts w:ascii="Arial" w:hAnsi="Arial" w:cs="Arial"/>
          <w:noProof/>
          <w:sz w:val="20"/>
          <w:szCs w:val="24"/>
        </w:rPr>
        <w:t xml:space="preserve">, Women live longer than men even during severe famines and epidemics. </w:t>
      </w:r>
      <w:r w:rsidRPr="00C57849">
        <w:rPr>
          <w:rFonts w:ascii="Arial" w:hAnsi="Arial" w:cs="Arial"/>
          <w:i/>
          <w:iCs/>
          <w:noProof/>
          <w:sz w:val="20"/>
          <w:szCs w:val="24"/>
        </w:rPr>
        <w:t>Proc. Natl. Acad. Sci.</w:t>
      </w:r>
      <w:r w:rsidRPr="00C57849">
        <w:rPr>
          <w:rFonts w:ascii="Arial" w:hAnsi="Arial" w:cs="Arial"/>
          <w:noProof/>
          <w:sz w:val="20"/>
          <w:szCs w:val="24"/>
        </w:rPr>
        <w:t xml:space="preserve"> (2018) https:/doi.org/10.1073/pnas.1701535115.</w:t>
      </w:r>
    </w:p>
    <w:p w14:paraId="1B6B3F8D" w14:textId="77777777" w:rsidR="00C57849" w:rsidRPr="00C57849" w:rsidRDefault="00C57849" w:rsidP="00C57849">
      <w:pPr>
        <w:widowControl w:val="0"/>
        <w:autoSpaceDE w:val="0"/>
        <w:autoSpaceDN w:val="0"/>
        <w:adjustRightInd w:val="0"/>
        <w:ind w:left="640" w:hanging="640"/>
        <w:rPr>
          <w:rFonts w:ascii="Arial" w:hAnsi="Arial" w:cs="Arial"/>
          <w:noProof/>
          <w:sz w:val="20"/>
          <w:szCs w:val="24"/>
        </w:rPr>
      </w:pPr>
      <w:r w:rsidRPr="00C57849">
        <w:rPr>
          <w:rFonts w:ascii="Arial" w:hAnsi="Arial" w:cs="Arial"/>
          <w:noProof/>
          <w:sz w:val="20"/>
          <w:szCs w:val="24"/>
        </w:rPr>
        <w:t xml:space="preserve">9. </w:t>
      </w:r>
      <w:r w:rsidRPr="00C57849">
        <w:rPr>
          <w:rFonts w:ascii="Arial" w:hAnsi="Arial" w:cs="Arial"/>
          <w:noProof/>
          <w:sz w:val="20"/>
          <w:szCs w:val="24"/>
        </w:rPr>
        <w:tab/>
        <w:t xml:space="preserve">F. C. Drumond Andrade, P. E. Guevara, M. L. Lebrão, Y. A. de Oliveira Duarte, J. L. F. Santos, Gender Differences in Life Expectancy and Disability-Free Life Expectancy Among Older Adults in São Paulo, Brazil. </w:t>
      </w:r>
      <w:r w:rsidRPr="00C57849">
        <w:rPr>
          <w:rFonts w:ascii="Arial" w:hAnsi="Arial" w:cs="Arial"/>
          <w:i/>
          <w:iCs/>
          <w:noProof/>
          <w:sz w:val="20"/>
          <w:szCs w:val="24"/>
        </w:rPr>
        <w:t>Women’s Heal. Issues</w:t>
      </w:r>
      <w:r w:rsidRPr="00C57849">
        <w:rPr>
          <w:rFonts w:ascii="Arial" w:hAnsi="Arial" w:cs="Arial"/>
          <w:noProof/>
          <w:sz w:val="20"/>
          <w:szCs w:val="24"/>
        </w:rPr>
        <w:t xml:space="preserve"> </w:t>
      </w:r>
      <w:r w:rsidRPr="00C57849">
        <w:rPr>
          <w:rFonts w:ascii="Arial" w:hAnsi="Arial" w:cs="Arial"/>
          <w:b/>
          <w:bCs/>
          <w:noProof/>
          <w:sz w:val="20"/>
          <w:szCs w:val="24"/>
        </w:rPr>
        <w:t>21</w:t>
      </w:r>
      <w:r w:rsidRPr="00C57849">
        <w:rPr>
          <w:rFonts w:ascii="Arial" w:hAnsi="Arial" w:cs="Arial"/>
          <w:noProof/>
          <w:sz w:val="20"/>
          <w:szCs w:val="24"/>
        </w:rPr>
        <w:t>, 64–70 (2011).</w:t>
      </w:r>
    </w:p>
    <w:p w14:paraId="7C71CC13" w14:textId="77777777" w:rsidR="00C57849" w:rsidRPr="00C57849" w:rsidRDefault="00C57849" w:rsidP="00C57849">
      <w:pPr>
        <w:widowControl w:val="0"/>
        <w:autoSpaceDE w:val="0"/>
        <w:autoSpaceDN w:val="0"/>
        <w:adjustRightInd w:val="0"/>
        <w:ind w:left="640" w:hanging="640"/>
        <w:rPr>
          <w:rFonts w:ascii="Arial" w:hAnsi="Arial" w:cs="Arial"/>
          <w:noProof/>
          <w:sz w:val="20"/>
          <w:szCs w:val="24"/>
        </w:rPr>
      </w:pPr>
      <w:r w:rsidRPr="00C57849">
        <w:rPr>
          <w:rFonts w:ascii="Arial" w:hAnsi="Arial" w:cs="Arial"/>
          <w:noProof/>
          <w:sz w:val="20"/>
          <w:szCs w:val="24"/>
        </w:rPr>
        <w:t xml:space="preserve">10. </w:t>
      </w:r>
      <w:r w:rsidRPr="00C57849">
        <w:rPr>
          <w:rFonts w:ascii="Arial" w:hAnsi="Arial" w:cs="Arial"/>
          <w:noProof/>
          <w:sz w:val="20"/>
          <w:szCs w:val="24"/>
        </w:rPr>
        <w:tab/>
        <w:t>V. Di Lego, P. Di Giulio, M. Luy, “Gender Differences in Healthy and Unhealthy Life Expectancy” in (2020), pp. 151–172.</w:t>
      </w:r>
    </w:p>
    <w:p w14:paraId="34AEFC86" w14:textId="77777777" w:rsidR="00C57849" w:rsidRPr="00C57849" w:rsidRDefault="00C57849" w:rsidP="00C57849">
      <w:pPr>
        <w:widowControl w:val="0"/>
        <w:autoSpaceDE w:val="0"/>
        <w:autoSpaceDN w:val="0"/>
        <w:adjustRightInd w:val="0"/>
        <w:ind w:left="640" w:hanging="640"/>
        <w:rPr>
          <w:rFonts w:ascii="Arial" w:hAnsi="Arial" w:cs="Arial"/>
          <w:noProof/>
          <w:sz w:val="20"/>
          <w:szCs w:val="24"/>
        </w:rPr>
      </w:pPr>
      <w:r w:rsidRPr="00C57849">
        <w:rPr>
          <w:rFonts w:ascii="Arial" w:hAnsi="Arial" w:cs="Arial"/>
          <w:noProof/>
          <w:sz w:val="20"/>
          <w:szCs w:val="24"/>
        </w:rPr>
        <w:t xml:space="preserve">11. </w:t>
      </w:r>
      <w:r w:rsidRPr="00C57849">
        <w:rPr>
          <w:rFonts w:ascii="Arial" w:hAnsi="Arial" w:cs="Arial"/>
          <w:noProof/>
          <w:sz w:val="20"/>
          <w:szCs w:val="24"/>
        </w:rPr>
        <w:tab/>
        <w:t xml:space="preserve">E. Grundy, “Gender and healthy aging” in </w:t>
      </w:r>
      <w:r w:rsidRPr="00C57849">
        <w:rPr>
          <w:rFonts w:ascii="Arial" w:hAnsi="Arial" w:cs="Arial"/>
          <w:i/>
          <w:iCs/>
          <w:noProof/>
          <w:sz w:val="20"/>
          <w:szCs w:val="24"/>
        </w:rPr>
        <w:t>Longer Life and Healthy Aging</w:t>
      </w:r>
      <w:r w:rsidRPr="00C57849">
        <w:rPr>
          <w:rFonts w:ascii="Arial" w:hAnsi="Arial" w:cs="Arial"/>
          <w:noProof/>
          <w:sz w:val="20"/>
          <w:szCs w:val="24"/>
        </w:rPr>
        <w:t>, (2006), pp. 173–199.</w:t>
      </w:r>
    </w:p>
    <w:p w14:paraId="381A71D4" w14:textId="77777777" w:rsidR="00C57849" w:rsidRPr="00C57849" w:rsidRDefault="00C57849" w:rsidP="00C57849">
      <w:pPr>
        <w:widowControl w:val="0"/>
        <w:autoSpaceDE w:val="0"/>
        <w:autoSpaceDN w:val="0"/>
        <w:adjustRightInd w:val="0"/>
        <w:ind w:left="640" w:hanging="640"/>
        <w:rPr>
          <w:rFonts w:ascii="Arial" w:hAnsi="Arial" w:cs="Arial"/>
          <w:noProof/>
          <w:sz w:val="20"/>
          <w:szCs w:val="24"/>
        </w:rPr>
      </w:pPr>
      <w:r w:rsidRPr="00C57849">
        <w:rPr>
          <w:rFonts w:ascii="Arial" w:hAnsi="Arial" w:cs="Arial"/>
          <w:noProof/>
          <w:sz w:val="20"/>
          <w:szCs w:val="24"/>
        </w:rPr>
        <w:t xml:space="preserve">12. </w:t>
      </w:r>
      <w:r w:rsidRPr="00C57849">
        <w:rPr>
          <w:rFonts w:ascii="Arial" w:hAnsi="Arial" w:cs="Arial"/>
          <w:noProof/>
          <w:sz w:val="20"/>
          <w:szCs w:val="24"/>
        </w:rPr>
        <w:tab/>
        <w:t xml:space="preserve">C. D. Mathers, R. Sadana, J. A. Salomon, C. J. L. Murray, A. D. Lopez, Healthy life expectancy in 191 countries, 1999. </w:t>
      </w:r>
      <w:r w:rsidRPr="00C57849">
        <w:rPr>
          <w:rFonts w:ascii="Arial" w:hAnsi="Arial" w:cs="Arial"/>
          <w:i/>
          <w:iCs/>
          <w:noProof/>
          <w:sz w:val="20"/>
          <w:szCs w:val="24"/>
        </w:rPr>
        <w:t>Lancet</w:t>
      </w:r>
      <w:r w:rsidRPr="00C57849">
        <w:rPr>
          <w:rFonts w:ascii="Arial" w:hAnsi="Arial" w:cs="Arial"/>
          <w:noProof/>
          <w:sz w:val="20"/>
          <w:szCs w:val="24"/>
        </w:rPr>
        <w:t xml:space="preserve"> </w:t>
      </w:r>
      <w:r w:rsidRPr="00C57849">
        <w:rPr>
          <w:rFonts w:ascii="Arial" w:hAnsi="Arial" w:cs="Arial"/>
          <w:b/>
          <w:bCs/>
          <w:noProof/>
          <w:sz w:val="20"/>
          <w:szCs w:val="24"/>
        </w:rPr>
        <w:t>357</w:t>
      </w:r>
      <w:r w:rsidRPr="00C57849">
        <w:rPr>
          <w:rFonts w:ascii="Arial" w:hAnsi="Arial" w:cs="Arial"/>
          <w:noProof/>
          <w:sz w:val="20"/>
          <w:szCs w:val="24"/>
        </w:rPr>
        <w:t>, 1685–1691 (2001).</w:t>
      </w:r>
    </w:p>
    <w:p w14:paraId="698DA0FD" w14:textId="77777777" w:rsidR="00C57849" w:rsidRPr="00C57849" w:rsidRDefault="00C57849" w:rsidP="00C57849">
      <w:pPr>
        <w:widowControl w:val="0"/>
        <w:autoSpaceDE w:val="0"/>
        <w:autoSpaceDN w:val="0"/>
        <w:adjustRightInd w:val="0"/>
        <w:ind w:left="640" w:hanging="640"/>
        <w:rPr>
          <w:rFonts w:ascii="Arial" w:hAnsi="Arial" w:cs="Arial"/>
          <w:noProof/>
          <w:sz w:val="20"/>
          <w:szCs w:val="24"/>
        </w:rPr>
      </w:pPr>
      <w:r w:rsidRPr="00C57849">
        <w:rPr>
          <w:rFonts w:ascii="Arial" w:hAnsi="Arial" w:cs="Arial"/>
          <w:noProof/>
          <w:sz w:val="20"/>
          <w:szCs w:val="24"/>
        </w:rPr>
        <w:t xml:space="preserve">13. </w:t>
      </w:r>
      <w:r w:rsidRPr="00C57849">
        <w:rPr>
          <w:rFonts w:ascii="Arial" w:hAnsi="Arial" w:cs="Arial"/>
          <w:noProof/>
          <w:sz w:val="20"/>
          <w:szCs w:val="24"/>
        </w:rPr>
        <w:tab/>
        <w:t xml:space="preserve">A. Oksuzyan, M. Shkolnikova, J. W. Vaupel, K. Christensen, V. M. Shkolnikov, Sex differences in health and mortality in Moscow and Denmark. </w:t>
      </w:r>
      <w:r w:rsidRPr="00C57849">
        <w:rPr>
          <w:rFonts w:ascii="Arial" w:hAnsi="Arial" w:cs="Arial"/>
          <w:i/>
          <w:iCs/>
          <w:noProof/>
          <w:sz w:val="20"/>
          <w:szCs w:val="24"/>
        </w:rPr>
        <w:t>Eur. J. Epidemiol.</w:t>
      </w:r>
      <w:r w:rsidRPr="00C57849">
        <w:rPr>
          <w:rFonts w:ascii="Arial" w:hAnsi="Arial" w:cs="Arial"/>
          <w:noProof/>
          <w:sz w:val="20"/>
          <w:szCs w:val="24"/>
        </w:rPr>
        <w:t xml:space="preserve"> </w:t>
      </w:r>
      <w:r w:rsidRPr="00C57849">
        <w:rPr>
          <w:rFonts w:ascii="Arial" w:hAnsi="Arial" w:cs="Arial"/>
          <w:b/>
          <w:bCs/>
          <w:noProof/>
          <w:sz w:val="20"/>
          <w:szCs w:val="24"/>
        </w:rPr>
        <w:t>29</w:t>
      </w:r>
      <w:r w:rsidRPr="00C57849">
        <w:rPr>
          <w:rFonts w:ascii="Arial" w:hAnsi="Arial" w:cs="Arial"/>
          <w:noProof/>
          <w:sz w:val="20"/>
          <w:szCs w:val="24"/>
        </w:rPr>
        <w:t>, 243–252 (2014).</w:t>
      </w:r>
    </w:p>
    <w:p w14:paraId="7965F4FB" w14:textId="77777777" w:rsidR="00C57849" w:rsidRPr="00C57849" w:rsidRDefault="00C57849" w:rsidP="00C57849">
      <w:pPr>
        <w:widowControl w:val="0"/>
        <w:autoSpaceDE w:val="0"/>
        <w:autoSpaceDN w:val="0"/>
        <w:adjustRightInd w:val="0"/>
        <w:ind w:left="640" w:hanging="640"/>
        <w:rPr>
          <w:rFonts w:ascii="Arial" w:hAnsi="Arial" w:cs="Arial"/>
          <w:noProof/>
          <w:sz w:val="20"/>
          <w:szCs w:val="24"/>
        </w:rPr>
      </w:pPr>
      <w:r w:rsidRPr="00C57849">
        <w:rPr>
          <w:rFonts w:ascii="Arial" w:hAnsi="Arial" w:cs="Arial"/>
          <w:noProof/>
          <w:sz w:val="20"/>
          <w:szCs w:val="24"/>
        </w:rPr>
        <w:t xml:space="preserve">14. </w:t>
      </w:r>
      <w:r w:rsidRPr="00C57849">
        <w:rPr>
          <w:rFonts w:ascii="Arial" w:hAnsi="Arial" w:cs="Arial"/>
          <w:noProof/>
          <w:sz w:val="20"/>
          <w:szCs w:val="24"/>
        </w:rPr>
        <w:tab/>
        <w:t xml:space="preserve">E. M. Crimmins, J. K. Kim, A. Hagedorn, Life With and Without Disease: Women Experience More of Both. </w:t>
      </w:r>
      <w:r w:rsidRPr="00C57849">
        <w:rPr>
          <w:rFonts w:ascii="Arial" w:hAnsi="Arial" w:cs="Arial"/>
          <w:i/>
          <w:iCs/>
          <w:noProof/>
          <w:sz w:val="20"/>
          <w:szCs w:val="24"/>
        </w:rPr>
        <w:t>J. Women Aging</w:t>
      </w:r>
      <w:r w:rsidRPr="00C57849">
        <w:rPr>
          <w:rFonts w:ascii="Arial" w:hAnsi="Arial" w:cs="Arial"/>
          <w:noProof/>
          <w:sz w:val="20"/>
          <w:szCs w:val="24"/>
        </w:rPr>
        <w:t xml:space="preserve"> </w:t>
      </w:r>
      <w:r w:rsidRPr="00C57849">
        <w:rPr>
          <w:rFonts w:ascii="Arial" w:hAnsi="Arial" w:cs="Arial"/>
          <w:b/>
          <w:bCs/>
          <w:noProof/>
          <w:sz w:val="20"/>
          <w:szCs w:val="24"/>
        </w:rPr>
        <w:t>14</w:t>
      </w:r>
      <w:r w:rsidRPr="00C57849">
        <w:rPr>
          <w:rFonts w:ascii="Arial" w:hAnsi="Arial" w:cs="Arial"/>
          <w:noProof/>
          <w:sz w:val="20"/>
          <w:szCs w:val="24"/>
        </w:rPr>
        <w:t>, 47–59 (2002).</w:t>
      </w:r>
    </w:p>
    <w:p w14:paraId="577430AD" w14:textId="77777777" w:rsidR="00C57849" w:rsidRPr="00C57849" w:rsidRDefault="00C57849" w:rsidP="00C57849">
      <w:pPr>
        <w:widowControl w:val="0"/>
        <w:autoSpaceDE w:val="0"/>
        <w:autoSpaceDN w:val="0"/>
        <w:adjustRightInd w:val="0"/>
        <w:ind w:left="640" w:hanging="640"/>
        <w:rPr>
          <w:rFonts w:ascii="Arial" w:hAnsi="Arial" w:cs="Arial"/>
          <w:noProof/>
          <w:sz w:val="20"/>
          <w:szCs w:val="24"/>
        </w:rPr>
      </w:pPr>
      <w:r w:rsidRPr="00C57849">
        <w:rPr>
          <w:rFonts w:ascii="Arial" w:hAnsi="Arial" w:cs="Arial"/>
          <w:noProof/>
          <w:sz w:val="20"/>
          <w:szCs w:val="24"/>
        </w:rPr>
        <w:t xml:space="preserve">15. </w:t>
      </w:r>
      <w:r w:rsidRPr="00C57849">
        <w:rPr>
          <w:rFonts w:ascii="Arial" w:hAnsi="Arial" w:cs="Arial"/>
          <w:noProof/>
          <w:sz w:val="20"/>
          <w:szCs w:val="24"/>
        </w:rPr>
        <w:tab/>
        <w:t xml:space="preserve">M. Luy, Y. Minagawa, Gender gaps--Life expectancy and proportion of life in poor health. </w:t>
      </w:r>
      <w:r w:rsidRPr="00C57849">
        <w:rPr>
          <w:rFonts w:ascii="Arial" w:hAnsi="Arial" w:cs="Arial"/>
          <w:i/>
          <w:iCs/>
          <w:noProof/>
          <w:sz w:val="20"/>
          <w:szCs w:val="24"/>
        </w:rPr>
        <w:t>Heal. reports</w:t>
      </w:r>
      <w:r w:rsidRPr="00C57849">
        <w:rPr>
          <w:rFonts w:ascii="Arial" w:hAnsi="Arial" w:cs="Arial"/>
          <w:noProof/>
          <w:sz w:val="20"/>
          <w:szCs w:val="24"/>
        </w:rPr>
        <w:t xml:space="preserve"> </w:t>
      </w:r>
      <w:r w:rsidRPr="00C57849">
        <w:rPr>
          <w:rFonts w:ascii="Arial" w:hAnsi="Arial" w:cs="Arial"/>
          <w:b/>
          <w:bCs/>
          <w:noProof/>
          <w:sz w:val="20"/>
          <w:szCs w:val="24"/>
        </w:rPr>
        <w:t>25</w:t>
      </w:r>
      <w:r w:rsidRPr="00C57849">
        <w:rPr>
          <w:rFonts w:ascii="Arial" w:hAnsi="Arial" w:cs="Arial"/>
          <w:noProof/>
          <w:sz w:val="20"/>
          <w:szCs w:val="24"/>
        </w:rPr>
        <w:t>, 12–9 (2014).</w:t>
      </w:r>
    </w:p>
    <w:p w14:paraId="1F7C417B" w14:textId="77777777" w:rsidR="00C57849" w:rsidRPr="00C57849" w:rsidRDefault="00C57849" w:rsidP="00C57849">
      <w:pPr>
        <w:widowControl w:val="0"/>
        <w:autoSpaceDE w:val="0"/>
        <w:autoSpaceDN w:val="0"/>
        <w:adjustRightInd w:val="0"/>
        <w:ind w:left="640" w:hanging="640"/>
        <w:rPr>
          <w:rFonts w:ascii="Arial" w:hAnsi="Arial" w:cs="Arial"/>
          <w:noProof/>
          <w:sz w:val="20"/>
          <w:szCs w:val="24"/>
        </w:rPr>
      </w:pPr>
      <w:r w:rsidRPr="00C57849">
        <w:rPr>
          <w:rFonts w:ascii="Arial" w:hAnsi="Arial" w:cs="Arial"/>
          <w:noProof/>
          <w:sz w:val="20"/>
          <w:szCs w:val="24"/>
        </w:rPr>
        <w:t xml:space="preserve">16. </w:t>
      </w:r>
      <w:r w:rsidRPr="00C57849">
        <w:rPr>
          <w:rFonts w:ascii="Arial" w:hAnsi="Arial" w:cs="Arial"/>
          <w:noProof/>
          <w:sz w:val="20"/>
          <w:szCs w:val="24"/>
        </w:rPr>
        <w:tab/>
        <w:t xml:space="preserve">J.-M. Robine, C. Jagger, I. Romieu, Disability-free life expectancies in the European Union countries: calculation and comparisons. </w:t>
      </w:r>
      <w:r w:rsidRPr="00C57849">
        <w:rPr>
          <w:rFonts w:ascii="Arial" w:hAnsi="Arial" w:cs="Arial"/>
          <w:i/>
          <w:iCs/>
          <w:noProof/>
          <w:sz w:val="20"/>
          <w:szCs w:val="24"/>
        </w:rPr>
        <w:t>Genus</w:t>
      </w:r>
      <w:r w:rsidRPr="00C57849">
        <w:rPr>
          <w:rFonts w:ascii="Arial" w:hAnsi="Arial" w:cs="Arial"/>
          <w:noProof/>
          <w:sz w:val="20"/>
          <w:szCs w:val="24"/>
        </w:rPr>
        <w:t xml:space="preserve"> </w:t>
      </w:r>
      <w:r w:rsidRPr="00C57849">
        <w:rPr>
          <w:rFonts w:ascii="Arial" w:hAnsi="Arial" w:cs="Arial"/>
          <w:b/>
          <w:bCs/>
          <w:noProof/>
          <w:sz w:val="20"/>
          <w:szCs w:val="24"/>
        </w:rPr>
        <w:t>57</w:t>
      </w:r>
      <w:r w:rsidRPr="00C57849">
        <w:rPr>
          <w:rFonts w:ascii="Arial" w:hAnsi="Arial" w:cs="Arial"/>
          <w:noProof/>
          <w:sz w:val="20"/>
          <w:szCs w:val="24"/>
        </w:rPr>
        <w:t>, 89–101 (2001).</w:t>
      </w:r>
    </w:p>
    <w:p w14:paraId="7CE8BCFC" w14:textId="77777777" w:rsidR="00C57849" w:rsidRPr="00C57849" w:rsidRDefault="00C57849" w:rsidP="00C57849">
      <w:pPr>
        <w:widowControl w:val="0"/>
        <w:autoSpaceDE w:val="0"/>
        <w:autoSpaceDN w:val="0"/>
        <w:adjustRightInd w:val="0"/>
        <w:ind w:left="640" w:hanging="640"/>
        <w:rPr>
          <w:rFonts w:ascii="Arial" w:hAnsi="Arial" w:cs="Arial"/>
          <w:noProof/>
          <w:sz w:val="20"/>
          <w:szCs w:val="24"/>
        </w:rPr>
      </w:pPr>
      <w:r w:rsidRPr="00C57849">
        <w:rPr>
          <w:rFonts w:ascii="Arial" w:hAnsi="Arial" w:cs="Arial"/>
          <w:noProof/>
          <w:sz w:val="20"/>
          <w:szCs w:val="24"/>
        </w:rPr>
        <w:t xml:space="preserve">17. </w:t>
      </w:r>
      <w:r w:rsidRPr="00C57849">
        <w:rPr>
          <w:rFonts w:ascii="Arial" w:hAnsi="Arial" w:cs="Arial"/>
          <w:noProof/>
          <w:sz w:val="20"/>
          <w:szCs w:val="24"/>
        </w:rPr>
        <w:tab/>
        <w:t>T. Riffe, A. A. van Raalte, M. J. Bijlsma, “Healthy life expectancy, mortality, and age prevalence of morbidity” (2017) https:/doi.org/10.4054/MPIDR-WP-2017-015.</w:t>
      </w:r>
    </w:p>
    <w:p w14:paraId="07A6FD52" w14:textId="77777777" w:rsidR="00C57849" w:rsidRPr="00C57849" w:rsidRDefault="00C57849" w:rsidP="00C57849">
      <w:pPr>
        <w:widowControl w:val="0"/>
        <w:autoSpaceDE w:val="0"/>
        <w:autoSpaceDN w:val="0"/>
        <w:adjustRightInd w:val="0"/>
        <w:ind w:left="640" w:hanging="640"/>
        <w:rPr>
          <w:rFonts w:ascii="Arial" w:hAnsi="Arial" w:cs="Arial"/>
          <w:noProof/>
          <w:sz w:val="20"/>
          <w:szCs w:val="24"/>
        </w:rPr>
      </w:pPr>
      <w:r w:rsidRPr="00C57849">
        <w:rPr>
          <w:rFonts w:ascii="Arial" w:hAnsi="Arial" w:cs="Arial"/>
          <w:noProof/>
          <w:sz w:val="20"/>
          <w:szCs w:val="24"/>
        </w:rPr>
        <w:t xml:space="preserve">18. </w:t>
      </w:r>
      <w:r w:rsidRPr="00C57849">
        <w:rPr>
          <w:rFonts w:ascii="Arial" w:hAnsi="Arial" w:cs="Arial"/>
          <w:noProof/>
          <w:sz w:val="20"/>
          <w:szCs w:val="24"/>
        </w:rPr>
        <w:tab/>
        <w:t xml:space="preserve">I. Mairey, P. Bjerregaard, H. Brønnum Hansen, Gender difference in health expectancy trends in Greenland. </w:t>
      </w:r>
      <w:r w:rsidRPr="00C57849">
        <w:rPr>
          <w:rFonts w:ascii="Arial" w:hAnsi="Arial" w:cs="Arial"/>
          <w:i/>
          <w:iCs/>
          <w:noProof/>
          <w:sz w:val="20"/>
          <w:szCs w:val="24"/>
        </w:rPr>
        <w:t>Scand. J. Public Health</w:t>
      </w:r>
      <w:r w:rsidRPr="00C57849">
        <w:rPr>
          <w:rFonts w:ascii="Arial" w:hAnsi="Arial" w:cs="Arial"/>
          <w:noProof/>
          <w:sz w:val="20"/>
          <w:szCs w:val="24"/>
        </w:rPr>
        <w:t xml:space="preserve"> </w:t>
      </w:r>
      <w:r w:rsidRPr="00C57849">
        <w:rPr>
          <w:rFonts w:ascii="Arial" w:hAnsi="Arial" w:cs="Arial"/>
          <w:b/>
          <w:bCs/>
          <w:noProof/>
          <w:sz w:val="20"/>
          <w:szCs w:val="24"/>
        </w:rPr>
        <w:t>42</w:t>
      </w:r>
      <w:r w:rsidRPr="00C57849">
        <w:rPr>
          <w:rFonts w:ascii="Arial" w:hAnsi="Arial" w:cs="Arial"/>
          <w:noProof/>
          <w:sz w:val="20"/>
          <w:szCs w:val="24"/>
        </w:rPr>
        <w:t>, 751–758 (2014).</w:t>
      </w:r>
    </w:p>
    <w:p w14:paraId="2C50EA50" w14:textId="77777777" w:rsidR="00C57849" w:rsidRPr="00C57849" w:rsidRDefault="00C57849" w:rsidP="00C57849">
      <w:pPr>
        <w:widowControl w:val="0"/>
        <w:autoSpaceDE w:val="0"/>
        <w:autoSpaceDN w:val="0"/>
        <w:adjustRightInd w:val="0"/>
        <w:ind w:left="640" w:hanging="640"/>
        <w:rPr>
          <w:rFonts w:ascii="Arial" w:hAnsi="Arial" w:cs="Arial"/>
          <w:noProof/>
          <w:sz w:val="20"/>
          <w:szCs w:val="24"/>
        </w:rPr>
      </w:pPr>
      <w:r w:rsidRPr="00C57849">
        <w:rPr>
          <w:rFonts w:ascii="Arial" w:hAnsi="Arial" w:cs="Arial"/>
          <w:noProof/>
          <w:sz w:val="20"/>
          <w:szCs w:val="24"/>
        </w:rPr>
        <w:t xml:space="preserve">19. </w:t>
      </w:r>
      <w:r w:rsidRPr="00C57849">
        <w:rPr>
          <w:rFonts w:ascii="Arial" w:hAnsi="Arial" w:cs="Arial"/>
          <w:noProof/>
          <w:sz w:val="20"/>
          <w:szCs w:val="24"/>
        </w:rPr>
        <w:tab/>
        <w:t xml:space="preserve">W. J. Nusselder, C. W. N. Looman, H. van Oyen, J. M. Robine, C. Jagger, Gender differences in health of EU10 and EU15 populations: the double burden of EU10 men. </w:t>
      </w:r>
      <w:r w:rsidRPr="00C57849">
        <w:rPr>
          <w:rFonts w:ascii="Arial" w:hAnsi="Arial" w:cs="Arial"/>
          <w:i/>
          <w:iCs/>
          <w:noProof/>
          <w:sz w:val="20"/>
          <w:szCs w:val="24"/>
        </w:rPr>
        <w:t>Eur. J. Ageing</w:t>
      </w:r>
      <w:r w:rsidRPr="00C57849">
        <w:rPr>
          <w:rFonts w:ascii="Arial" w:hAnsi="Arial" w:cs="Arial"/>
          <w:noProof/>
          <w:sz w:val="20"/>
          <w:szCs w:val="24"/>
        </w:rPr>
        <w:t xml:space="preserve"> </w:t>
      </w:r>
      <w:r w:rsidRPr="00C57849">
        <w:rPr>
          <w:rFonts w:ascii="Arial" w:hAnsi="Arial" w:cs="Arial"/>
          <w:b/>
          <w:bCs/>
          <w:noProof/>
          <w:sz w:val="20"/>
          <w:szCs w:val="24"/>
        </w:rPr>
        <w:t>7</w:t>
      </w:r>
      <w:r w:rsidRPr="00C57849">
        <w:rPr>
          <w:rFonts w:ascii="Arial" w:hAnsi="Arial" w:cs="Arial"/>
          <w:noProof/>
          <w:sz w:val="20"/>
          <w:szCs w:val="24"/>
        </w:rPr>
        <w:t>, 219–227 (2010).</w:t>
      </w:r>
    </w:p>
    <w:p w14:paraId="3739C964" w14:textId="77777777" w:rsidR="00C57849" w:rsidRPr="00C57849" w:rsidRDefault="00C57849" w:rsidP="00C57849">
      <w:pPr>
        <w:widowControl w:val="0"/>
        <w:autoSpaceDE w:val="0"/>
        <w:autoSpaceDN w:val="0"/>
        <w:adjustRightInd w:val="0"/>
        <w:ind w:left="640" w:hanging="640"/>
        <w:rPr>
          <w:rFonts w:ascii="Arial" w:hAnsi="Arial" w:cs="Arial"/>
          <w:noProof/>
          <w:sz w:val="20"/>
          <w:szCs w:val="24"/>
        </w:rPr>
      </w:pPr>
      <w:r w:rsidRPr="00C57849">
        <w:rPr>
          <w:rFonts w:ascii="Arial" w:hAnsi="Arial" w:cs="Arial"/>
          <w:noProof/>
          <w:sz w:val="20"/>
          <w:szCs w:val="24"/>
        </w:rPr>
        <w:t xml:space="preserve">20. </w:t>
      </w:r>
      <w:r w:rsidRPr="00C57849">
        <w:rPr>
          <w:rFonts w:ascii="Arial" w:hAnsi="Arial" w:cs="Arial"/>
          <w:noProof/>
          <w:sz w:val="20"/>
          <w:szCs w:val="24"/>
        </w:rPr>
        <w:tab/>
        <w:t xml:space="preserve">W. J. Nusselder, C. W. Looman, Decomposition of differences in health expectancy by cause. </w:t>
      </w:r>
      <w:r w:rsidRPr="00C57849">
        <w:rPr>
          <w:rFonts w:ascii="Arial" w:hAnsi="Arial" w:cs="Arial"/>
          <w:i/>
          <w:iCs/>
          <w:noProof/>
          <w:sz w:val="20"/>
          <w:szCs w:val="24"/>
        </w:rPr>
        <w:t>Demography</w:t>
      </w:r>
      <w:r w:rsidRPr="00C57849">
        <w:rPr>
          <w:rFonts w:ascii="Arial" w:hAnsi="Arial" w:cs="Arial"/>
          <w:noProof/>
          <w:sz w:val="20"/>
          <w:szCs w:val="24"/>
        </w:rPr>
        <w:t xml:space="preserve"> </w:t>
      </w:r>
      <w:r w:rsidRPr="00C57849">
        <w:rPr>
          <w:rFonts w:ascii="Arial" w:hAnsi="Arial" w:cs="Arial"/>
          <w:b/>
          <w:bCs/>
          <w:noProof/>
          <w:sz w:val="20"/>
          <w:szCs w:val="24"/>
        </w:rPr>
        <w:t>41</w:t>
      </w:r>
      <w:r w:rsidRPr="00C57849">
        <w:rPr>
          <w:rFonts w:ascii="Arial" w:hAnsi="Arial" w:cs="Arial"/>
          <w:noProof/>
          <w:sz w:val="20"/>
          <w:szCs w:val="24"/>
        </w:rPr>
        <w:t>, 315–34 (2004).</w:t>
      </w:r>
    </w:p>
    <w:p w14:paraId="3EEFE25C" w14:textId="77777777" w:rsidR="00C57849" w:rsidRPr="00C57849" w:rsidRDefault="00C57849" w:rsidP="00C57849">
      <w:pPr>
        <w:widowControl w:val="0"/>
        <w:autoSpaceDE w:val="0"/>
        <w:autoSpaceDN w:val="0"/>
        <w:adjustRightInd w:val="0"/>
        <w:ind w:left="640" w:hanging="640"/>
        <w:rPr>
          <w:rFonts w:ascii="Arial" w:hAnsi="Arial" w:cs="Arial"/>
          <w:noProof/>
          <w:sz w:val="20"/>
          <w:szCs w:val="24"/>
        </w:rPr>
      </w:pPr>
      <w:r w:rsidRPr="00C57849">
        <w:rPr>
          <w:rFonts w:ascii="Arial" w:hAnsi="Arial" w:cs="Arial"/>
          <w:noProof/>
          <w:sz w:val="20"/>
          <w:szCs w:val="24"/>
        </w:rPr>
        <w:t xml:space="preserve">21. </w:t>
      </w:r>
      <w:r w:rsidRPr="00C57849">
        <w:rPr>
          <w:rFonts w:ascii="Arial" w:hAnsi="Arial" w:cs="Arial"/>
          <w:noProof/>
          <w:sz w:val="20"/>
          <w:szCs w:val="24"/>
        </w:rPr>
        <w:tab/>
        <w:t xml:space="preserve">H. Van Oyen, </w:t>
      </w:r>
      <w:r w:rsidRPr="00C57849">
        <w:rPr>
          <w:rFonts w:ascii="Arial" w:hAnsi="Arial" w:cs="Arial"/>
          <w:i/>
          <w:iCs/>
          <w:noProof/>
          <w:sz w:val="20"/>
          <w:szCs w:val="24"/>
        </w:rPr>
        <w:t>et al.</w:t>
      </w:r>
      <w:r w:rsidRPr="00C57849">
        <w:rPr>
          <w:rFonts w:ascii="Arial" w:hAnsi="Arial" w:cs="Arial"/>
          <w:noProof/>
          <w:sz w:val="20"/>
          <w:szCs w:val="24"/>
        </w:rPr>
        <w:t xml:space="preserve">, Gender differences in healthy life years within the EU: an exploration of the “health–survival” paradox. </w:t>
      </w:r>
      <w:r w:rsidRPr="00C57849">
        <w:rPr>
          <w:rFonts w:ascii="Arial" w:hAnsi="Arial" w:cs="Arial"/>
          <w:i/>
          <w:iCs/>
          <w:noProof/>
          <w:sz w:val="20"/>
          <w:szCs w:val="24"/>
        </w:rPr>
        <w:t>Int. J. Public Health</w:t>
      </w:r>
      <w:r w:rsidRPr="00C57849">
        <w:rPr>
          <w:rFonts w:ascii="Arial" w:hAnsi="Arial" w:cs="Arial"/>
          <w:noProof/>
          <w:sz w:val="20"/>
          <w:szCs w:val="24"/>
        </w:rPr>
        <w:t xml:space="preserve"> </w:t>
      </w:r>
      <w:r w:rsidRPr="00C57849">
        <w:rPr>
          <w:rFonts w:ascii="Arial" w:hAnsi="Arial" w:cs="Arial"/>
          <w:b/>
          <w:bCs/>
          <w:noProof/>
          <w:sz w:val="20"/>
          <w:szCs w:val="24"/>
        </w:rPr>
        <w:t>58</w:t>
      </w:r>
      <w:r w:rsidRPr="00C57849">
        <w:rPr>
          <w:rFonts w:ascii="Arial" w:hAnsi="Arial" w:cs="Arial"/>
          <w:noProof/>
          <w:sz w:val="20"/>
          <w:szCs w:val="24"/>
        </w:rPr>
        <w:t>, 143–155 (2013).</w:t>
      </w:r>
    </w:p>
    <w:p w14:paraId="13CBC5E1" w14:textId="77777777" w:rsidR="00C57849" w:rsidRPr="00C57849" w:rsidRDefault="00C57849" w:rsidP="00C57849">
      <w:pPr>
        <w:widowControl w:val="0"/>
        <w:autoSpaceDE w:val="0"/>
        <w:autoSpaceDN w:val="0"/>
        <w:adjustRightInd w:val="0"/>
        <w:ind w:left="640" w:hanging="640"/>
        <w:rPr>
          <w:rFonts w:ascii="Arial" w:hAnsi="Arial" w:cs="Arial"/>
          <w:noProof/>
          <w:sz w:val="20"/>
          <w:szCs w:val="24"/>
        </w:rPr>
      </w:pPr>
      <w:r w:rsidRPr="00C57849">
        <w:rPr>
          <w:rFonts w:ascii="Arial" w:hAnsi="Arial" w:cs="Arial"/>
          <w:noProof/>
          <w:sz w:val="20"/>
          <w:szCs w:val="24"/>
        </w:rPr>
        <w:t xml:space="preserve">22. </w:t>
      </w:r>
      <w:r w:rsidRPr="00C57849">
        <w:rPr>
          <w:rFonts w:ascii="Arial" w:hAnsi="Arial" w:cs="Arial"/>
          <w:noProof/>
          <w:sz w:val="20"/>
          <w:szCs w:val="24"/>
        </w:rPr>
        <w:tab/>
        <w:t xml:space="preserve">M. R. Nepomuceno, V. di Lego, C. M. Turra, Gender disparities in health at older ages </w:t>
      </w:r>
      <w:r w:rsidRPr="00C57849">
        <w:rPr>
          <w:rFonts w:ascii="Arial" w:hAnsi="Arial" w:cs="Arial"/>
          <w:noProof/>
          <w:sz w:val="20"/>
          <w:szCs w:val="24"/>
        </w:rPr>
        <w:lastRenderedPageBreak/>
        <w:t xml:space="preserve">and their consequences for well-being in Latin America and the Caribbean. </w:t>
      </w:r>
      <w:r w:rsidRPr="00C57849">
        <w:rPr>
          <w:rFonts w:ascii="Arial" w:hAnsi="Arial" w:cs="Arial"/>
          <w:i/>
          <w:iCs/>
          <w:noProof/>
          <w:sz w:val="20"/>
          <w:szCs w:val="24"/>
        </w:rPr>
        <w:t>Vienna Yearb. Popul. Res.</w:t>
      </w:r>
      <w:r w:rsidRPr="00C57849">
        <w:rPr>
          <w:rFonts w:ascii="Arial" w:hAnsi="Arial" w:cs="Arial"/>
          <w:noProof/>
          <w:sz w:val="20"/>
          <w:szCs w:val="24"/>
        </w:rPr>
        <w:t xml:space="preserve"> </w:t>
      </w:r>
      <w:r w:rsidRPr="00C57849">
        <w:rPr>
          <w:rFonts w:ascii="Arial" w:hAnsi="Arial" w:cs="Arial"/>
          <w:b/>
          <w:bCs/>
          <w:noProof/>
          <w:sz w:val="20"/>
          <w:szCs w:val="24"/>
        </w:rPr>
        <w:t>19</w:t>
      </w:r>
      <w:r w:rsidRPr="00C57849">
        <w:rPr>
          <w:rFonts w:ascii="Arial" w:hAnsi="Arial" w:cs="Arial"/>
          <w:noProof/>
          <w:sz w:val="20"/>
          <w:szCs w:val="24"/>
        </w:rPr>
        <w:t xml:space="preserve"> (2021).</w:t>
      </w:r>
    </w:p>
    <w:p w14:paraId="0B731625" w14:textId="77777777" w:rsidR="00C57849" w:rsidRPr="00C57849" w:rsidRDefault="00C57849" w:rsidP="00C57849">
      <w:pPr>
        <w:widowControl w:val="0"/>
        <w:autoSpaceDE w:val="0"/>
        <w:autoSpaceDN w:val="0"/>
        <w:adjustRightInd w:val="0"/>
        <w:ind w:left="640" w:hanging="640"/>
        <w:rPr>
          <w:rFonts w:ascii="Arial" w:hAnsi="Arial" w:cs="Arial"/>
          <w:noProof/>
          <w:sz w:val="20"/>
          <w:szCs w:val="24"/>
        </w:rPr>
      </w:pPr>
      <w:r w:rsidRPr="00C57849">
        <w:rPr>
          <w:rFonts w:ascii="Arial" w:hAnsi="Arial" w:cs="Arial"/>
          <w:noProof/>
          <w:sz w:val="20"/>
          <w:szCs w:val="24"/>
        </w:rPr>
        <w:t xml:space="preserve">23. </w:t>
      </w:r>
      <w:r w:rsidRPr="00C57849">
        <w:rPr>
          <w:rFonts w:ascii="Arial" w:hAnsi="Arial" w:cs="Arial"/>
          <w:noProof/>
          <w:sz w:val="20"/>
          <w:szCs w:val="24"/>
        </w:rPr>
        <w:tab/>
        <w:t xml:space="preserve">J. Lee, D. Phillips, J. Wilkens, Gateway to Global Aging Data: Resources for Cross-National Comparisons of Family, Social Environment, and Healthy Aging. </w:t>
      </w:r>
      <w:r w:rsidRPr="00C57849">
        <w:rPr>
          <w:rFonts w:ascii="Arial" w:hAnsi="Arial" w:cs="Arial"/>
          <w:i/>
          <w:iCs/>
          <w:noProof/>
          <w:sz w:val="20"/>
          <w:szCs w:val="24"/>
        </w:rPr>
        <w:t>Journals Gerontol. Ser. B Psychol. Sci. Soc. Sci.</w:t>
      </w:r>
      <w:r w:rsidRPr="00C57849">
        <w:rPr>
          <w:rFonts w:ascii="Arial" w:hAnsi="Arial" w:cs="Arial"/>
          <w:noProof/>
          <w:sz w:val="20"/>
          <w:szCs w:val="24"/>
        </w:rPr>
        <w:t xml:space="preserve"> </w:t>
      </w:r>
      <w:r w:rsidRPr="00C57849">
        <w:rPr>
          <w:rFonts w:ascii="Arial" w:hAnsi="Arial" w:cs="Arial"/>
          <w:b/>
          <w:bCs/>
          <w:noProof/>
          <w:sz w:val="20"/>
          <w:szCs w:val="24"/>
        </w:rPr>
        <w:t>76</w:t>
      </w:r>
      <w:r w:rsidRPr="00C57849">
        <w:rPr>
          <w:rFonts w:ascii="Arial" w:hAnsi="Arial" w:cs="Arial"/>
          <w:noProof/>
          <w:sz w:val="20"/>
          <w:szCs w:val="24"/>
        </w:rPr>
        <w:t>, S5 (2021).</w:t>
      </w:r>
    </w:p>
    <w:p w14:paraId="59252EE8" w14:textId="77777777" w:rsidR="00C57849" w:rsidRPr="00C57849" w:rsidRDefault="00C57849" w:rsidP="00C57849">
      <w:pPr>
        <w:widowControl w:val="0"/>
        <w:autoSpaceDE w:val="0"/>
        <w:autoSpaceDN w:val="0"/>
        <w:adjustRightInd w:val="0"/>
        <w:ind w:left="640" w:hanging="640"/>
        <w:rPr>
          <w:rFonts w:ascii="Arial" w:hAnsi="Arial" w:cs="Arial"/>
          <w:noProof/>
          <w:sz w:val="20"/>
          <w:szCs w:val="24"/>
        </w:rPr>
      </w:pPr>
      <w:r w:rsidRPr="00C57849">
        <w:rPr>
          <w:rFonts w:ascii="Arial" w:hAnsi="Arial" w:cs="Arial"/>
          <w:noProof/>
          <w:sz w:val="20"/>
          <w:szCs w:val="24"/>
        </w:rPr>
        <w:t xml:space="preserve">24. </w:t>
      </w:r>
      <w:r w:rsidRPr="00C57849">
        <w:rPr>
          <w:rFonts w:ascii="Arial" w:hAnsi="Arial" w:cs="Arial"/>
          <w:noProof/>
          <w:sz w:val="20"/>
          <w:szCs w:val="24"/>
        </w:rPr>
        <w:tab/>
        <w:t xml:space="preserve">D. . Sullivan, A single index of mortality and morbidity. </w:t>
      </w:r>
      <w:r w:rsidRPr="00C57849">
        <w:rPr>
          <w:rFonts w:ascii="Arial" w:hAnsi="Arial" w:cs="Arial"/>
          <w:i/>
          <w:iCs/>
          <w:noProof/>
          <w:sz w:val="20"/>
          <w:szCs w:val="24"/>
        </w:rPr>
        <w:t>HSMHA Health Rep.</w:t>
      </w:r>
      <w:r w:rsidRPr="00C57849">
        <w:rPr>
          <w:rFonts w:ascii="Arial" w:hAnsi="Arial" w:cs="Arial"/>
          <w:noProof/>
          <w:sz w:val="20"/>
          <w:szCs w:val="24"/>
        </w:rPr>
        <w:t xml:space="preserve"> </w:t>
      </w:r>
      <w:r w:rsidRPr="00C57849">
        <w:rPr>
          <w:rFonts w:ascii="Arial" w:hAnsi="Arial" w:cs="Arial"/>
          <w:b/>
          <w:bCs/>
          <w:noProof/>
          <w:sz w:val="20"/>
          <w:szCs w:val="24"/>
        </w:rPr>
        <w:t>86</w:t>
      </w:r>
      <w:r w:rsidRPr="00C57849">
        <w:rPr>
          <w:rFonts w:ascii="Arial" w:hAnsi="Arial" w:cs="Arial"/>
          <w:noProof/>
          <w:sz w:val="20"/>
          <w:szCs w:val="24"/>
        </w:rPr>
        <w:t>, 347–54 (1971).</w:t>
      </w:r>
    </w:p>
    <w:p w14:paraId="02854D3B" w14:textId="77777777" w:rsidR="00C57849" w:rsidRPr="00C57849" w:rsidRDefault="00C57849" w:rsidP="00C57849">
      <w:pPr>
        <w:widowControl w:val="0"/>
        <w:autoSpaceDE w:val="0"/>
        <w:autoSpaceDN w:val="0"/>
        <w:adjustRightInd w:val="0"/>
        <w:ind w:left="640" w:hanging="640"/>
        <w:rPr>
          <w:rFonts w:ascii="Arial" w:hAnsi="Arial" w:cs="Arial"/>
          <w:noProof/>
          <w:sz w:val="20"/>
          <w:szCs w:val="24"/>
        </w:rPr>
      </w:pPr>
      <w:r w:rsidRPr="00C57849">
        <w:rPr>
          <w:rFonts w:ascii="Arial" w:hAnsi="Arial" w:cs="Arial"/>
          <w:noProof/>
          <w:sz w:val="20"/>
          <w:szCs w:val="24"/>
        </w:rPr>
        <w:t xml:space="preserve">25. </w:t>
      </w:r>
      <w:r w:rsidRPr="00C57849">
        <w:rPr>
          <w:rFonts w:ascii="Arial" w:hAnsi="Arial" w:cs="Arial"/>
          <w:noProof/>
          <w:sz w:val="20"/>
          <w:szCs w:val="24"/>
        </w:rPr>
        <w:tab/>
        <w:t xml:space="preserve">Y. Saito, J. M. Robine, E. M. Crimmins, The methods and materials of health expectancy. </w:t>
      </w:r>
      <w:r w:rsidRPr="00C57849">
        <w:rPr>
          <w:rFonts w:ascii="Arial" w:hAnsi="Arial" w:cs="Arial"/>
          <w:i/>
          <w:iCs/>
          <w:noProof/>
          <w:sz w:val="20"/>
          <w:szCs w:val="24"/>
        </w:rPr>
        <w:t>Stat. J. IAOS</w:t>
      </w:r>
      <w:r w:rsidRPr="00C57849">
        <w:rPr>
          <w:rFonts w:ascii="Arial" w:hAnsi="Arial" w:cs="Arial"/>
          <w:noProof/>
          <w:sz w:val="20"/>
          <w:szCs w:val="24"/>
        </w:rPr>
        <w:t xml:space="preserve"> </w:t>
      </w:r>
      <w:r w:rsidRPr="00C57849">
        <w:rPr>
          <w:rFonts w:ascii="Arial" w:hAnsi="Arial" w:cs="Arial"/>
          <w:b/>
          <w:bCs/>
          <w:noProof/>
          <w:sz w:val="20"/>
          <w:szCs w:val="24"/>
        </w:rPr>
        <w:t>30</w:t>
      </w:r>
      <w:r w:rsidRPr="00C57849">
        <w:rPr>
          <w:rFonts w:ascii="Arial" w:hAnsi="Arial" w:cs="Arial"/>
          <w:noProof/>
          <w:sz w:val="20"/>
          <w:szCs w:val="24"/>
        </w:rPr>
        <w:t>, 209–223 (2014).</w:t>
      </w:r>
    </w:p>
    <w:p w14:paraId="4EF086D5" w14:textId="77777777" w:rsidR="00C57849" w:rsidRPr="00C57849" w:rsidRDefault="00C57849" w:rsidP="00C57849">
      <w:pPr>
        <w:widowControl w:val="0"/>
        <w:autoSpaceDE w:val="0"/>
        <w:autoSpaceDN w:val="0"/>
        <w:adjustRightInd w:val="0"/>
        <w:ind w:left="640" w:hanging="640"/>
        <w:rPr>
          <w:rFonts w:ascii="Arial" w:hAnsi="Arial" w:cs="Arial"/>
          <w:noProof/>
          <w:sz w:val="20"/>
          <w:szCs w:val="24"/>
        </w:rPr>
      </w:pPr>
      <w:r w:rsidRPr="00C57849">
        <w:rPr>
          <w:rFonts w:ascii="Arial" w:hAnsi="Arial" w:cs="Arial"/>
          <w:noProof/>
          <w:sz w:val="20"/>
          <w:szCs w:val="24"/>
        </w:rPr>
        <w:t xml:space="preserve">26. </w:t>
      </w:r>
      <w:r w:rsidRPr="00C57849">
        <w:rPr>
          <w:rFonts w:ascii="Arial" w:hAnsi="Arial" w:cs="Arial"/>
          <w:noProof/>
          <w:sz w:val="20"/>
          <w:szCs w:val="24"/>
        </w:rPr>
        <w:tab/>
        <w:t xml:space="preserve">E. M. Crimmins, Y. Zhang, Y. Saito, Trends Over 4 Decades in Disability-Free Life Expectancy in the United States. </w:t>
      </w:r>
      <w:r w:rsidRPr="00C57849">
        <w:rPr>
          <w:rFonts w:ascii="Arial" w:hAnsi="Arial" w:cs="Arial"/>
          <w:b/>
          <w:bCs/>
          <w:noProof/>
          <w:sz w:val="20"/>
          <w:szCs w:val="24"/>
        </w:rPr>
        <w:t>106</w:t>
      </w:r>
      <w:r w:rsidRPr="00C57849">
        <w:rPr>
          <w:rFonts w:ascii="Arial" w:hAnsi="Arial" w:cs="Arial"/>
          <w:noProof/>
          <w:sz w:val="20"/>
          <w:szCs w:val="24"/>
        </w:rPr>
        <w:t>, 1287–1293 (2016).</w:t>
      </w:r>
    </w:p>
    <w:p w14:paraId="7C716E46" w14:textId="77777777" w:rsidR="00C57849" w:rsidRPr="00C57849" w:rsidRDefault="00C57849" w:rsidP="00C57849">
      <w:pPr>
        <w:widowControl w:val="0"/>
        <w:autoSpaceDE w:val="0"/>
        <w:autoSpaceDN w:val="0"/>
        <w:adjustRightInd w:val="0"/>
        <w:ind w:left="640" w:hanging="640"/>
        <w:rPr>
          <w:rFonts w:ascii="Arial" w:hAnsi="Arial" w:cs="Arial"/>
          <w:noProof/>
          <w:sz w:val="20"/>
          <w:szCs w:val="24"/>
        </w:rPr>
      </w:pPr>
      <w:r w:rsidRPr="00C57849">
        <w:rPr>
          <w:rFonts w:ascii="Arial" w:hAnsi="Arial" w:cs="Arial"/>
          <w:noProof/>
          <w:sz w:val="20"/>
          <w:szCs w:val="24"/>
        </w:rPr>
        <w:t xml:space="preserve">27. </w:t>
      </w:r>
      <w:r w:rsidRPr="00C57849">
        <w:rPr>
          <w:rFonts w:ascii="Arial" w:hAnsi="Arial" w:cs="Arial"/>
          <w:noProof/>
          <w:sz w:val="20"/>
          <w:szCs w:val="24"/>
        </w:rPr>
        <w:tab/>
        <w:t xml:space="preserve">S. Horiuchi, J. R. Wilmoth, S. D. Pletcher, A decomposition method based on a model of continuous change. </w:t>
      </w:r>
      <w:r w:rsidRPr="00C57849">
        <w:rPr>
          <w:rFonts w:ascii="Arial" w:hAnsi="Arial" w:cs="Arial"/>
          <w:i/>
          <w:iCs/>
          <w:noProof/>
          <w:sz w:val="20"/>
          <w:szCs w:val="24"/>
        </w:rPr>
        <w:t>Demography</w:t>
      </w:r>
      <w:r w:rsidRPr="00C57849">
        <w:rPr>
          <w:rFonts w:ascii="Arial" w:hAnsi="Arial" w:cs="Arial"/>
          <w:noProof/>
          <w:sz w:val="20"/>
          <w:szCs w:val="24"/>
        </w:rPr>
        <w:t xml:space="preserve"> </w:t>
      </w:r>
      <w:r w:rsidRPr="00C57849">
        <w:rPr>
          <w:rFonts w:ascii="Arial" w:hAnsi="Arial" w:cs="Arial"/>
          <w:b/>
          <w:bCs/>
          <w:noProof/>
          <w:sz w:val="20"/>
          <w:szCs w:val="24"/>
        </w:rPr>
        <w:t>45</w:t>
      </w:r>
      <w:r w:rsidRPr="00C57849">
        <w:rPr>
          <w:rFonts w:ascii="Arial" w:hAnsi="Arial" w:cs="Arial"/>
          <w:noProof/>
          <w:sz w:val="20"/>
          <w:szCs w:val="24"/>
        </w:rPr>
        <w:t>, 785–801 (2008).</w:t>
      </w:r>
    </w:p>
    <w:p w14:paraId="26A05C8E" w14:textId="77777777" w:rsidR="00C57849" w:rsidRPr="00C57849" w:rsidRDefault="00C57849" w:rsidP="00C57849">
      <w:pPr>
        <w:widowControl w:val="0"/>
        <w:autoSpaceDE w:val="0"/>
        <w:autoSpaceDN w:val="0"/>
        <w:adjustRightInd w:val="0"/>
        <w:ind w:left="640" w:hanging="640"/>
        <w:rPr>
          <w:rFonts w:ascii="Arial" w:hAnsi="Arial" w:cs="Arial"/>
          <w:noProof/>
          <w:sz w:val="20"/>
          <w:szCs w:val="24"/>
        </w:rPr>
      </w:pPr>
      <w:r w:rsidRPr="00C57849">
        <w:rPr>
          <w:rFonts w:ascii="Arial" w:hAnsi="Arial" w:cs="Arial"/>
          <w:noProof/>
          <w:sz w:val="20"/>
          <w:szCs w:val="24"/>
        </w:rPr>
        <w:t xml:space="preserve">28. </w:t>
      </w:r>
      <w:r w:rsidRPr="00C57849">
        <w:rPr>
          <w:rFonts w:ascii="Arial" w:hAnsi="Arial" w:cs="Arial"/>
          <w:noProof/>
          <w:sz w:val="20"/>
          <w:szCs w:val="24"/>
        </w:rPr>
        <w:tab/>
        <w:t>T. Riffe, Package “DemoDecomp” Type Package Title Decompose Demographic Functions (2018) https:/doi.org/10.1353/dem.0.0033 (October 15, 2019).</w:t>
      </w:r>
    </w:p>
    <w:p w14:paraId="710B876E" w14:textId="77777777" w:rsidR="00C57849" w:rsidRPr="00C57849" w:rsidRDefault="00C57849" w:rsidP="00C57849">
      <w:pPr>
        <w:widowControl w:val="0"/>
        <w:autoSpaceDE w:val="0"/>
        <w:autoSpaceDN w:val="0"/>
        <w:adjustRightInd w:val="0"/>
        <w:ind w:left="640" w:hanging="640"/>
        <w:rPr>
          <w:rFonts w:ascii="Arial" w:hAnsi="Arial" w:cs="Arial"/>
          <w:noProof/>
          <w:sz w:val="20"/>
          <w:szCs w:val="24"/>
        </w:rPr>
      </w:pPr>
      <w:r w:rsidRPr="00C57849">
        <w:rPr>
          <w:rFonts w:ascii="Arial" w:hAnsi="Arial" w:cs="Arial"/>
          <w:noProof/>
          <w:sz w:val="20"/>
          <w:szCs w:val="24"/>
        </w:rPr>
        <w:t xml:space="preserve">29. </w:t>
      </w:r>
      <w:r w:rsidRPr="00C57849">
        <w:rPr>
          <w:rFonts w:ascii="Arial" w:hAnsi="Arial" w:cs="Arial"/>
          <w:noProof/>
          <w:sz w:val="20"/>
          <w:szCs w:val="24"/>
        </w:rPr>
        <w:tab/>
        <w:t>A. A. van Raalte, M. R. Nepomuceno, “Decomposing Gaps in Healthy Life Expectancy” in (2020), pp. 107–122.</w:t>
      </w:r>
    </w:p>
    <w:p w14:paraId="62576A9D" w14:textId="77777777" w:rsidR="00C57849" w:rsidRPr="00C57849" w:rsidRDefault="00C57849" w:rsidP="00C57849">
      <w:pPr>
        <w:widowControl w:val="0"/>
        <w:autoSpaceDE w:val="0"/>
        <w:autoSpaceDN w:val="0"/>
        <w:adjustRightInd w:val="0"/>
        <w:ind w:left="640" w:hanging="640"/>
        <w:rPr>
          <w:rFonts w:ascii="Arial" w:hAnsi="Arial" w:cs="Arial"/>
          <w:noProof/>
          <w:sz w:val="20"/>
          <w:szCs w:val="24"/>
        </w:rPr>
      </w:pPr>
      <w:r w:rsidRPr="00C57849">
        <w:rPr>
          <w:rFonts w:ascii="Arial" w:hAnsi="Arial" w:cs="Arial"/>
          <w:noProof/>
          <w:sz w:val="20"/>
          <w:szCs w:val="24"/>
        </w:rPr>
        <w:t xml:space="preserve">30. </w:t>
      </w:r>
      <w:r w:rsidRPr="00C57849">
        <w:rPr>
          <w:rFonts w:ascii="Arial" w:hAnsi="Arial" w:cs="Arial"/>
          <w:noProof/>
          <w:sz w:val="20"/>
          <w:szCs w:val="24"/>
        </w:rPr>
        <w:tab/>
        <w:t xml:space="preserve">J. Dahlin, J. Härkönen, Cross-national differences in the gender gap in subjective health in Europe: Does country-level gender equality matter? </w:t>
      </w:r>
      <w:r w:rsidRPr="00C57849">
        <w:rPr>
          <w:rFonts w:ascii="Arial" w:hAnsi="Arial" w:cs="Arial"/>
          <w:i/>
          <w:iCs/>
          <w:noProof/>
          <w:sz w:val="20"/>
          <w:szCs w:val="24"/>
        </w:rPr>
        <w:t>Soc. Sci. Med.</w:t>
      </w:r>
      <w:r w:rsidRPr="00C57849">
        <w:rPr>
          <w:rFonts w:ascii="Arial" w:hAnsi="Arial" w:cs="Arial"/>
          <w:noProof/>
          <w:sz w:val="20"/>
          <w:szCs w:val="24"/>
        </w:rPr>
        <w:t xml:space="preserve"> </w:t>
      </w:r>
      <w:r w:rsidRPr="00C57849">
        <w:rPr>
          <w:rFonts w:ascii="Arial" w:hAnsi="Arial" w:cs="Arial"/>
          <w:b/>
          <w:bCs/>
          <w:noProof/>
          <w:sz w:val="20"/>
          <w:szCs w:val="24"/>
        </w:rPr>
        <w:t>98</w:t>
      </w:r>
      <w:r w:rsidRPr="00C57849">
        <w:rPr>
          <w:rFonts w:ascii="Arial" w:hAnsi="Arial" w:cs="Arial"/>
          <w:noProof/>
          <w:sz w:val="20"/>
          <w:szCs w:val="24"/>
        </w:rPr>
        <w:t>, 24–28 (2013).</w:t>
      </w:r>
    </w:p>
    <w:p w14:paraId="4EA1F95A" w14:textId="77777777" w:rsidR="00C57849" w:rsidRPr="00C57849" w:rsidRDefault="00C57849" w:rsidP="00C57849">
      <w:pPr>
        <w:widowControl w:val="0"/>
        <w:autoSpaceDE w:val="0"/>
        <w:autoSpaceDN w:val="0"/>
        <w:adjustRightInd w:val="0"/>
        <w:ind w:left="640" w:hanging="640"/>
        <w:rPr>
          <w:rFonts w:ascii="Arial" w:hAnsi="Arial" w:cs="Arial"/>
          <w:noProof/>
          <w:sz w:val="20"/>
          <w:szCs w:val="24"/>
        </w:rPr>
      </w:pPr>
      <w:r w:rsidRPr="00C57849">
        <w:rPr>
          <w:rFonts w:ascii="Arial" w:hAnsi="Arial" w:cs="Arial"/>
          <w:noProof/>
          <w:sz w:val="20"/>
          <w:szCs w:val="24"/>
        </w:rPr>
        <w:t xml:space="preserve">31. </w:t>
      </w:r>
      <w:r w:rsidRPr="00C57849">
        <w:rPr>
          <w:rFonts w:ascii="Arial" w:hAnsi="Arial" w:cs="Arial"/>
          <w:noProof/>
          <w:sz w:val="20"/>
          <w:szCs w:val="24"/>
        </w:rPr>
        <w:tab/>
        <w:t xml:space="preserve">J. Ailshire, D. Carr, Cross-National Comparisons of Social and Economic Contexts of Aging. </w:t>
      </w:r>
      <w:r w:rsidRPr="00C57849">
        <w:rPr>
          <w:rFonts w:ascii="Arial" w:hAnsi="Arial" w:cs="Arial"/>
          <w:i/>
          <w:iCs/>
          <w:noProof/>
          <w:sz w:val="20"/>
          <w:szCs w:val="24"/>
        </w:rPr>
        <w:t>Journals Gerontol. Ser. B</w:t>
      </w:r>
      <w:r w:rsidRPr="00C57849">
        <w:rPr>
          <w:rFonts w:ascii="Arial" w:hAnsi="Arial" w:cs="Arial"/>
          <w:noProof/>
          <w:sz w:val="20"/>
          <w:szCs w:val="24"/>
        </w:rPr>
        <w:t xml:space="preserve"> </w:t>
      </w:r>
      <w:r w:rsidRPr="00C57849">
        <w:rPr>
          <w:rFonts w:ascii="Arial" w:hAnsi="Arial" w:cs="Arial"/>
          <w:b/>
          <w:bCs/>
          <w:noProof/>
          <w:sz w:val="20"/>
          <w:szCs w:val="24"/>
        </w:rPr>
        <w:t>76</w:t>
      </w:r>
      <w:r w:rsidRPr="00C57849">
        <w:rPr>
          <w:rFonts w:ascii="Arial" w:hAnsi="Arial" w:cs="Arial"/>
          <w:noProof/>
          <w:sz w:val="20"/>
          <w:szCs w:val="24"/>
        </w:rPr>
        <w:t>, S1–S4 (2021).</w:t>
      </w:r>
    </w:p>
    <w:p w14:paraId="36E7D640" w14:textId="77777777" w:rsidR="00C57849" w:rsidRPr="00C57849" w:rsidRDefault="00C57849" w:rsidP="00C57849">
      <w:pPr>
        <w:widowControl w:val="0"/>
        <w:autoSpaceDE w:val="0"/>
        <w:autoSpaceDN w:val="0"/>
        <w:adjustRightInd w:val="0"/>
        <w:ind w:left="640" w:hanging="640"/>
        <w:rPr>
          <w:rFonts w:ascii="Arial" w:hAnsi="Arial" w:cs="Arial"/>
          <w:noProof/>
          <w:sz w:val="20"/>
          <w:szCs w:val="24"/>
        </w:rPr>
      </w:pPr>
      <w:r w:rsidRPr="00C57849">
        <w:rPr>
          <w:rFonts w:ascii="Arial" w:hAnsi="Arial" w:cs="Arial"/>
          <w:noProof/>
          <w:sz w:val="20"/>
          <w:szCs w:val="24"/>
        </w:rPr>
        <w:t xml:space="preserve">32. </w:t>
      </w:r>
      <w:r w:rsidRPr="00C57849">
        <w:rPr>
          <w:rFonts w:ascii="Arial" w:hAnsi="Arial" w:cs="Arial"/>
          <w:noProof/>
          <w:sz w:val="20"/>
          <w:szCs w:val="24"/>
        </w:rPr>
        <w:tab/>
        <w:t xml:space="preserve">P. Gardner, K. Katagiri, J. Parsons, J. Lee, R. Thevannoor, “Not for the fainthearted”: Engaging in cross-national comparative research. </w:t>
      </w:r>
      <w:r w:rsidRPr="00C57849">
        <w:rPr>
          <w:rFonts w:ascii="Arial" w:hAnsi="Arial" w:cs="Arial"/>
          <w:i/>
          <w:iCs/>
          <w:noProof/>
          <w:sz w:val="20"/>
          <w:szCs w:val="24"/>
        </w:rPr>
        <w:t>J. Aging Stud.</w:t>
      </w:r>
      <w:r w:rsidRPr="00C57849">
        <w:rPr>
          <w:rFonts w:ascii="Arial" w:hAnsi="Arial" w:cs="Arial"/>
          <w:noProof/>
          <w:sz w:val="20"/>
          <w:szCs w:val="24"/>
        </w:rPr>
        <w:t xml:space="preserve"> </w:t>
      </w:r>
      <w:r w:rsidRPr="00C57849">
        <w:rPr>
          <w:rFonts w:ascii="Arial" w:hAnsi="Arial" w:cs="Arial"/>
          <w:b/>
          <w:bCs/>
          <w:noProof/>
          <w:sz w:val="20"/>
          <w:szCs w:val="24"/>
        </w:rPr>
        <w:t>26</w:t>
      </w:r>
      <w:r w:rsidRPr="00C57849">
        <w:rPr>
          <w:rFonts w:ascii="Arial" w:hAnsi="Arial" w:cs="Arial"/>
          <w:noProof/>
          <w:sz w:val="20"/>
          <w:szCs w:val="24"/>
        </w:rPr>
        <w:t>, 253–261 (2012).</w:t>
      </w:r>
    </w:p>
    <w:p w14:paraId="771325F2" w14:textId="77777777" w:rsidR="00C57849" w:rsidRPr="00C57849" w:rsidRDefault="00C57849" w:rsidP="00C57849">
      <w:pPr>
        <w:widowControl w:val="0"/>
        <w:autoSpaceDE w:val="0"/>
        <w:autoSpaceDN w:val="0"/>
        <w:adjustRightInd w:val="0"/>
        <w:ind w:left="640" w:hanging="640"/>
        <w:rPr>
          <w:rFonts w:ascii="Arial" w:hAnsi="Arial" w:cs="Arial"/>
          <w:noProof/>
          <w:sz w:val="20"/>
          <w:szCs w:val="24"/>
        </w:rPr>
      </w:pPr>
      <w:r w:rsidRPr="00C57849">
        <w:rPr>
          <w:rFonts w:ascii="Arial" w:hAnsi="Arial" w:cs="Arial"/>
          <w:noProof/>
          <w:sz w:val="20"/>
          <w:szCs w:val="24"/>
        </w:rPr>
        <w:t xml:space="preserve">33. </w:t>
      </w:r>
      <w:r w:rsidRPr="00C57849">
        <w:rPr>
          <w:rFonts w:ascii="Arial" w:hAnsi="Arial" w:cs="Arial"/>
          <w:noProof/>
          <w:sz w:val="20"/>
          <w:szCs w:val="24"/>
        </w:rPr>
        <w:tab/>
        <w:t xml:space="preserve">J. L. Angel, W. Vega, M. López-Ortega, R. Pruchno, Aging in Mexico: Population trends and emerging issues. </w:t>
      </w:r>
      <w:r w:rsidRPr="00C57849">
        <w:rPr>
          <w:rFonts w:ascii="Arial" w:hAnsi="Arial" w:cs="Arial"/>
          <w:i/>
          <w:iCs/>
          <w:noProof/>
          <w:sz w:val="20"/>
          <w:szCs w:val="24"/>
        </w:rPr>
        <w:t>Gerontologist</w:t>
      </w:r>
      <w:r w:rsidRPr="00C57849">
        <w:rPr>
          <w:rFonts w:ascii="Arial" w:hAnsi="Arial" w:cs="Arial"/>
          <w:noProof/>
          <w:sz w:val="20"/>
          <w:szCs w:val="24"/>
        </w:rPr>
        <w:t xml:space="preserve"> </w:t>
      </w:r>
      <w:r w:rsidRPr="00C57849">
        <w:rPr>
          <w:rFonts w:ascii="Arial" w:hAnsi="Arial" w:cs="Arial"/>
          <w:b/>
          <w:bCs/>
          <w:noProof/>
          <w:sz w:val="20"/>
          <w:szCs w:val="24"/>
        </w:rPr>
        <w:t>57</w:t>
      </w:r>
      <w:r w:rsidRPr="00C57849">
        <w:rPr>
          <w:rFonts w:ascii="Arial" w:hAnsi="Arial" w:cs="Arial"/>
          <w:noProof/>
          <w:sz w:val="20"/>
          <w:szCs w:val="24"/>
        </w:rPr>
        <w:t>, 153–162 (2017).</w:t>
      </w:r>
    </w:p>
    <w:p w14:paraId="34A3A6CE" w14:textId="77777777" w:rsidR="00C57849" w:rsidRPr="00C57849" w:rsidRDefault="00C57849" w:rsidP="00C57849">
      <w:pPr>
        <w:widowControl w:val="0"/>
        <w:autoSpaceDE w:val="0"/>
        <w:autoSpaceDN w:val="0"/>
        <w:adjustRightInd w:val="0"/>
        <w:ind w:left="640" w:hanging="640"/>
        <w:rPr>
          <w:rFonts w:ascii="Arial" w:hAnsi="Arial" w:cs="Arial"/>
          <w:noProof/>
          <w:sz w:val="20"/>
          <w:szCs w:val="24"/>
        </w:rPr>
      </w:pPr>
      <w:r w:rsidRPr="00C57849">
        <w:rPr>
          <w:rFonts w:ascii="Arial" w:hAnsi="Arial" w:cs="Arial"/>
          <w:noProof/>
          <w:sz w:val="20"/>
          <w:szCs w:val="24"/>
        </w:rPr>
        <w:t xml:space="preserve">34. </w:t>
      </w:r>
      <w:r w:rsidRPr="00C57849">
        <w:rPr>
          <w:rFonts w:ascii="Arial" w:hAnsi="Arial" w:cs="Arial"/>
          <w:noProof/>
          <w:sz w:val="20"/>
          <w:szCs w:val="24"/>
        </w:rPr>
        <w:tab/>
        <w:t xml:space="preserve">R. Pelletier, </w:t>
      </w:r>
      <w:r w:rsidRPr="00C57849">
        <w:rPr>
          <w:rFonts w:ascii="Arial" w:hAnsi="Arial" w:cs="Arial"/>
          <w:i/>
          <w:iCs/>
          <w:noProof/>
          <w:sz w:val="20"/>
          <w:szCs w:val="24"/>
        </w:rPr>
        <w:t>et al.</w:t>
      </w:r>
      <w:r w:rsidRPr="00C57849">
        <w:rPr>
          <w:rFonts w:ascii="Arial" w:hAnsi="Arial" w:cs="Arial"/>
          <w:noProof/>
          <w:sz w:val="20"/>
          <w:szCs w:val="24"/>
        </w:rPr>
        <w:t xml:space="preserve">, Sex Versus Gender-Related Characteristics Which Predicts Outcome after Acute Coronary Syndrome in the Young? </w:t>
      </w:r>
      <w:r w:rsidRPr="00C57849">
        <w:rPr>
          <w:rFonts w:ascii="Arial" w:hAnsi="Arial" w:cs="Arial"/>
          <w:i/>
          <w:iCs/>
          <w:noProof/>
          <w:sz w:val="20"/>
          <w:szCs w:val="24"/>
        </w:rPr>
        <w:t>J. Am. Coll. Cardiol.</w:t>
      </w:r>
      <w:r w:rsidRPr="00C57849">
        <w:rPr>
          <w:rFonts w:ascii="Arial" w:hAnsi="Arial" w:cs="Arial"/>
          <w:noProof/>
          <w:sz w:val="20"/>
          <w:szCs w:val="24"/>
        </w:rPr>
        <w:t xml:space="preserve"> </w:t>
      </w:r>
      <w:r w:rsidRPr="00C57849">
        <w:rPr>
          <w:rFonts w:ascii="Arial" w:hAnsi="Arial" w:cs="Arial"/>
          <w:b/>
          <w:bCs/>
          <w:noProof/>
          <w:sz w:val="20"/>
          <w:szCs w:val="24"/>
        </w:rPr>
        <w:t>67</w:t>
      </w:r>
      <w:r w:rsidRPr="00C57849">
        <w:rPr>
          <w:rFonts w:ascii="Arial" w:hAnsi="Arial" w:cs="Arial"/>
          <w:noProof/>
          <w:sz w:val="20"/>
          <w:szCs w:val="24"/>
        </w:rPr>
        <w:t>, 127–135 (2016).</w:t>
      </w:r>
    </w:p>
    <w:p w14:paraId="05430A47" w14:textId="77777777" w:rsidR="00C57849" w:rsidRPr="00C57849" w:rsidRDefault="00C57849" w:rsidP="00C57849">
      <w:pPr>
        <w:widowControl w:val="0"/>
        <w:autoSpaceDE w:val="0"/>
        <w:autoSpaceDN w:val="0"/>
        <w:adjustRightInd w:val="0"/>
        <w:ind w:left="640" w:hanging="640"/>
        <w:rPr>
          <w:rFonts w:ascii="Arial" w:hAnsi="Arial" w:cs="Arial"/>
          <w:noProof/>
          <w:sz w:val="20"/>
          <w:szCs w:val="24"/>
        </w:rPr>
      </w:pPr>
      <w:r w:rsidRPr="00C57849">
        <w:rPr>
          <w:rFonts w:ascii="Arial" w:hAnsi="Arial" w:cs="Arial"/>
          <w:noProof/>
          <w:sz w:val="20"/>
          <w:szCs w:val="24"/>
        </w:rPr>
        <w:t xml:space="preserve">35. </w:t>
      </w:r>
      <w:r w:rsidRPr="00C57849">
        <w:rPr>
          <w:rFonts w:ascii="Arial" w:hAnsi="Arial" w:cs="Arial"/>
          <w:noProof/>
          <w:sz w:val="20"/>
          <w:szCs w:val="24"/>
        </w:rPr>
        <w:tab/>
        <w:t xml:space="preserve">R. D. Edwards, S. Tuljapurkar, Inequality in Life Spans and Mortality Convergence Across Industrialized Countries. </w:t>
      </w:r>
      <w:r w:rsidRPr="00C57849">
        <w:rPr>
          <w:rFonts w:ascii="Arial" w:hAnsi="Arial" w:cs="Arial"/>
          <w:i/>
          <w:iCs/>
          <w:noProof/>
          <w:sz w:val="20"/>
          <w:szCs w:val="24"/>
        </w:rPr>
        <w:t>Popul. Dev. Rev.</w:t>
      </w:r>
      <w:r w:rsidRPr="00C57849">
        <w:rPr>
          <w:rFonts w:ascii="Arial" w:hAnsi="Arial" w:cs="Arial"/>
          <w:noProof/>
          <w:sz w:val="20"/>
          <w:szCs w:val="24"/>
        </w:rPr>
        <w:t xml:space="preserve"> </w:t>
      </w:r>
      <w:r w:rsidRPr="00C57849">
        <w:rPr>
          <w:rFonts w:ascii="Arial" w:hAnsi="Arial" w:cs="Arial"/>
          <w:b/>
          <w:bCs/>
          <w:noProof/>
          <w:sz w:val="20"/>
          <w:szCs w:val="24"/>
        </w:rPr>
        <w:t>31</w:t>
      </w:r>
      <w:r w:rsidRPr="00C57849">
        <w:rPr>
          <w:rFonts w:ascii="Arial" w:hAnsi="Arial" w:cs="Arial"/>
          <w:noProof/>
          <w:sz w:val="20"/>
          <w:szCs w:val="24"/>
        </w:rPr>
        <w:t>, 1–36 (2005).</w:t>
      </w:r>
    </w:p>
    <w:p w14:paraId="77EDE64F" w14:textId="77777777" w:rsidR="00C57849" w:rsidRPr="00C57849" w:rsidRDefault="00C57849" w:rsidP="00C57849">
      <w:pPr>
        <w:widowControl w:val="0"/>
        <w:autoSpaceDE w:val="0"/>
        <w:autoSpaceDN w:val="0"/>
        <w:adjustRightInd w:val="0"/>
        <w:ind w:left="640" w:hanging="640"/>
        <w:rPr>
          <w:rFonts w:ascii="Arial" w:hAnsi="Arial" w:cs="Arial"/>
          <w:noProof/>
          <w:sz w:val="20"/>
          <w:szCs w:val="24"/>
        </w:rPr>
      </w:pPr>
      <w:r w:rsidRPr="00C57849">
        <w:rPr>
          <w:rFonts w:ascii="Arial" w:hAnsi="Arial" w:cs="Arial"/>
          <w:noProof/>
          <w:sz w:val="20"/>
          <w:szCs w:val="24"/>
        </w:rPr>
        <w:t xml:space="preserve">36. </w:t>
      </w:r>
      <w:r w:rsidRPr="00C57849">
        <w:rPr>
          <w:rFonts w:ascii="Arial" w:hAnsi="Arial" w:cs="Arial"/>
          <w:noProof/>
          <w:sz w:val="20"/>
          <w:szCs w:val="24"/>
        </w:rPr>
        <w:tab/>
        <w:t xml:space="preserve">I. Permanyer, J. Spijker, A. Blanes, E. Renteria, Longevity and Lifespan Variation by Educational Attainment in Spain: 1960–2015. </w:t>
      </w:r>
      <w:r w:rsidRPr="00C57849">
        <w:rPr>
          <w:rFonts w:ascii="Arial" w:hAnsi="Arial" w:cs="Arial"/>
          <w:i/>
          <w:iCs/>
          <w:noProof/>
          <w:sz w:val="20"/>
          <w:szCs w:val="24"/>
        </w:rPr>
        <w:t>Demography</w:t>
      </w:r>
      <w:r w:rsidRPr="00C57849">
        <w:rPr>
          <w:rFonts w:ascii="Arial" w:hAnsi="Arial" w:cs="Arial"/>
          <w:noProof/>
          <w:sz w:val="20"/>
          <w:szCs w:val="24"/>
        </w:rPr>
        <w:t xml:space="preserve"> (2018) https:/doi.org/10.1007/s13524-018-0718-z.</w:t>
      </w:r>
    </w:p>
    <w:p w14:paraId="7CA95E74" w14:textId="77777777" w:rsidR="00C57849" w:rsidRPr="00C57849" w:rsidRDefault="00C57849" w:rsidP="00C57849">
      <w:pPr>
        <w:widowControl w:val="0"/>
        <w:autoSpaceDE w:val="0"/>
        <w:autoSpaceDN w:val="0"/>
        <w:adjustRightInd w:val="0"/>
        <w:ind w:left="640" w:hanging="640"/>
        <w:rPr>
          <w:rFonts w:ascii="Arial" w:hAnsi="Arial" w:cs="Arial"/>
          <w:noProof/>
          <w:sz w:val="20"/>
          <w:szCs w:val="24"/>
        </w:rPr>
      </w:pPr>
      <w:r w:rsidRPr="00C57849">
        <w:rPr>
          <w:rFonts w:ascii="Arial" w:hAnsi="Arial" w:cs="Arial"/>
          <w:noProof/>
          <w:sz w:val="20"/>
          <w:szCs w:val="24"/>
        </w:rPr>
        <w:t xml:space="preserve">37. </w:t>
      </w:r>
      <w:r w:rsidRPr="00C57849">
        <w:rPr>
          <w:rFonts w:ascii="Arial" w:hAnsi="Arial" w:cs="Arial"/>
          <w:noProof/>
          <w:sz w:val="20"/>
          <w:szCs w:val="24"/>
        </w:rPr>
        <w:tab/>
        <w:t xml:space="preserve">C. E. Ross, R. K. Masters, R. A. Hummer, Education and the Gender Gaps in Health and Mortality. </w:t>
      </w:r>
      <w:r w:rsidRPr="00C57849">
        <w:rPr>
          <w:rFonts w:ascii="Arial" w:hAnsi="Arial" w:cs="Arial"/>
          <w:i/>
          <w:iCs/>
          <w:noProof/>
          <w:sz w:val="20"/>
          <w:szCs w:val="24"/>
        </w:rPr>
        <w:t>Demography</w:t>
      </w:r>
      <w:r w:rsidRPr="00C57849">
        <w:rPr>
          <w:rFonts w:ascii="Arial" w:hAnsi="Arial" w:cs="Arial"/>
          <w:noProof/>
          <w:sz w:val="20"/>
          <w:szCs w:val="24"/>
        </w:rPr>
        <w:t xml:space="preserve"> </w:t>
      </w:r>
      <w:r w:rsidRPr="00C57849">
        <w:rPr>
          <w:rFonts w:ascii="Arial" w:hAnsi="Arial" w:cs="Arial"/>
          <w:b/>
          <w:bCs/>
          <w:noProof/>
          <w:sz w:val="20"/>
          <w:szCs w:val="24"/>
        </w:rPr>
        <w:t>49</w:t>
      </w:r>
      <w:r w:rsidRPr="00C57849">
        <w:rPr>
          <w:rFonts w:ascii="Arial" w:hAnsi="Arial" w:cs="Arial"/>
          <w:noProof/>
          <w:sz w:val="20"/>
          <w:szCs w:val="24"/>
        </w:rPr>
        <w:t>, 1157–1183 (2012).</w:t>
      </w:r>
    </w:p>
    <w:p w14:paraId="08998ECA" w14:textId="77777777" w:rsidR="00C57849" w:rsidRPr="00C57849" w:rsidRDefault="00C57849" w:rsidP="00C57849">
      <w:pPr>
        <w:widowControl w:val="0"/>
        <w:autoSpaceDE w:val="0"/>
        <w:autoSpaceDN w:val="0"/>
        <w:adjustRightInd w:val="0"/>
        <w:ind w:left="640" w:hanging="640"/>
        <w:rPr>
          <w:rFonts w:ascii="Arial" w:hAnsi="Arial" w:cs="Arial"/>
          <w:noProof/>
          <w:sz w:val="20"/>
        </w:rPr>
      </w:pPr>
      <w:r w:rsidRPr="00C57849">
        <w:rPr>
          <w:rFonts w:ascii="Arial" w:hAnsi="Arial" w:cs="Arial"/>
          <w:noProof/>
          <w:sz w:val="20"/>
          <w:szCs w:val="24"/>
        </w:rPr>
        <w:t xml:space="preserve">38. </w:t>
      </w:r>
      <w:r w:rsidRPr="00C57849">
        <w:rPr>
          <w:rFonts w:ascii="Arial" w:hAnsi="Arial" w:cs="Arial"/>
          <w:noProof/>
          <w:sz w:val="20"/>
          <w:szCs w:val="24"/>
        </w:rPr>
        <w:tab/>
        <w:t xml:space="preserve">H. Tolonen, </w:t>
      </w:r>
      <w:r w:rsidRPr="00C57849">
        <w:rPr>
          <w:rFonts w:ascii="Arial" w:hAnsi="Arial" w:cs="Arial"/>
          <w:i/>
          <w:iCs/>
          <w:noProof/>
          <w:sz w:val="20"/>
          <w:szCs w:val="24"/>
        </w:rPr>
        <w:t>et al.</w:t>
      </w:r>
      <w:r w:rsidRPr="00C57849">
        <w:rPr>
          <w:rFonts w:ascii="Arial" w:hAnsi="Arial" w:cs="Arial"/>
          <w:noProof/>
          <w:sz w:val="20"/>
          <w:szCs w:val="24"/>
        </w:rPr>
        <w:t xml:space="preserve">, Cross-national comparisons of health indicators require standardized definitions and common data sources. </w:t>
      </w:r>
      <w:r w:rsidRPr="00C57849">
        <w:rPr>
          <w:rFonts w:ascii="Arial" w:hAnsi="Arial" w:cs="Arial"/>
          <w:i/>
          <w:iCs/>
          <w:noProof/>
          <w:sz w:val="20"/>
          <w:szCs w:val="24"/>
        </w:rPr>
        <w:t>Arch. Public Heal. 2021 791</w:t>
      </w:r>
      <w:r w:rsidRPr="00C57849">
        <w:rPr>
          <w:rFonts w:ascii="Arial" w:hAnsi="Arial" w:cs="Arial"/>
          <w:noProof/>
          <w:sz w:val="20"/>
          <w:szCs w:val="24"/>
        </w:rPr>
        <w:t xml:space="preserve"> </w:t>
      </w:r>
      <w:r w:rsidRPr="00C57849">
        <w:rPr>
          <w:rFonts w:ascii="Arial" w:hAnsi="Arial" w:cs="Arial"/>
          <w:b/>
          <w:bCs/>
          <w:noProof/>
          <w:sz w:val="20"/>
          <w:szCs w:val="24"/>
        </w:rPr>
        <w:t>79</w:t>
      </w:r>
      <w:r w:rsidRPr="00C57849">
        <w:rPr>
          <w:rFonts w:ascii="Arial" w:hAnsi="Arial" w:cs="Arial"/>
          <w:noProof/>
          <w:sz w:val="20"/>
          <w:szCs w:val="24"/>
        </w:rPr>
        <w:t>, 1–14 (2021).</w:t>
      </w:r>
    </w:p>
    <w:p w14:paraId="5E522782" w14:textId="0C19109E" w:rsidR="00E6133D" w:rsidRPr="00980C22" w:rsidRDefault="00F50ECE" w:rsidP="00E6133D">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fldChar w:fldCharType="end"/>
      </w:r>
    </w:p>
    <w:p w14:paraId="00719C42" w14:textId="77777777" w:rsidR="00483D1D" w:rsidRPr="00840BB2" w:rsidRDefault="00483D1D" w:rsidP="00483D1D">
      <w:pPr>
        <w:pStyle w:val="SMcaption"/>
        <w:rPr>
          <w:rFonts w:ascii="Arial" w:hAnsi="Arial" w:cs="Arial"/>
          <w:sz w:val="20"/>
        </w:rPr>
      </w:pPr>
    </w:p>
    <w:p w14:paraId="0072F1CA" w14:textId="77777777" w:rsidR="00E6133D" w:rsidRPr="00980C22" w:rsidRDefault="00E6133D" w:rsidP="00E6133D">
      <w:pPr>
        <w:keepNext/>
        <w:pBdr>
          <w:top w:val="nil"/>
          <w:left w:val="nil"/>
          <w:bottom w:val="nil"/>
          <w:right w:val="nil"/>
          <w:between w:val="nil"/>
        </w:pBdr>
        <w:spacing w:before="240" w:after="60"/>
        <w:contextualSpacing/>
        <w:jc w:val="both"/>
        <w:rPr>
          <w:rFonts w:ascii="Arial" w:hAnsi="Arial" w:cs="Arial"/>
          <w:color w:val="000000"/>
          <w:sz w:val="20"/>
          <w:szCs w:val="20"/>
        </w:rPr>
      </w:pPr>
    </w:p>
    <w:p w14:paraId="54B2741A" w14:textId="77777777" w:rsidR="00E6133D" w:rsidRDefault="00E6133D" w:rsidP="00E6133D">
      <w:pPr>
        <w:keepNext/>
        <w:pBdr>
          <w:top w:val="nil"/>
          <w:left w:val="nil"/>
          <w:bottom w:val="nil"/>
          <w:right w:val="nil"/>
          <w:between w:val="nil"/>
        </w:pBdr>
        <w:spacing w:before="240" w:after="60"/>
        <w:contextualSpacing/>
        <w:jc w:val="both"/>
        <w:rPr>
          <w:rFonts w:ascii="Arial" w:hAnsi="Arial" w:cs="Arial"/>
          <w:color w:val="000000"/>
          <w:sz w:val="20"/>
          <w:szCs w:val="20"/>
        </w:rPr>
      </w:pPr>
    </w:p>
    <w:p w14:paraId="5D1CD93E" w14:textId="77777777" w:rsidR="00980C22" w:rsidRPr="00E41185" w:rsidRDefault="00980C22" w:rsidP="00E6133D">
      <w:pPr>
        <w:keepNext/>
        <w:pBdr>
          <w:top w:val="nil"/>
          <w:left w:val="nil"/>
          <w:bottom w:val="nil"/>
          <w:right w:val="nil"/>
          <w:between w:val="nil"/>
        </w:pBdr>
        <w:spacing w:before="240" w:after="60"/>
        <w:contextualSpacing/>
        <w:jc w:val="both"/>
        <w:rPr>
          <w:rFonts w:ascii="Arial" w:hAnsi="Arial" w:cs="Arial"/>
          <w:b/>
          <w:color w:val="000000"/>
          <w:sz w:val="24"/>
          <w:szCs w:val="24"/>
        </w:rPr>
      </w:pPr>
      <w:r w:rsidRPr="00E41185">
        <w:rPr>
          <w:rFonts w:ascii="Arial" w:hAnsi="Arial" w:cs="Arial"/>
          <w:b/>
          <w:color w:val="000000"/>
          <w:sz w:val="24"/>
          <w:szCs w:val="24"/>
        </w:rPr>
        <w:t>Figures and Tables</w:t>
      </w:r>
    </w:p>
    <w:p w14:paraId="289D0221" w14:textId="77777777" w:rsidR="00E6133D" w:rsidRPr="00F649EE"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2A676FE0" w14:textId="4C2BE32F" w:rsidR="00E6133D" w:rsidRPr="00F649EE" w:rsidRDefault="00E6133D" w:rsidP="00E6133D">
      <w:pPr>
        <w:keepNext/>
        <w:pBdr>
          <w:top w:val="nil"/>
          <w:left w:val="nil"/>
          <w:bottom w:val="nil"/>
          <w:right w:val="nil"/>
          <w:between w:val="nil"/>
        </w:pBdr>
        <w:spacing w:before="240" w:after="60"/>
        <w:contextualSpacing/>
        <w:rPr>
          <w:rFonts w:ascii="Arial" w:hAnsi="Arial" w:cs="Arial"/>
          <w:color w:val="000000"/>
          <w:sz w:val="20"/>
          <w:szCs w:val="20"/>
        </w:rPr>
      </w:pPr>
      <w:r w:rsidRPr="00F649EE">
        <w:rPr>
          <w:rFonts w:ascii="Arial" w:hAnsi="Arial" w:cs="Arial"/>
          <w:b/>
          <w:color w:val="000000"/>
          <w:sz w:val="20"/>
          <w:szCs w:val="20"/>
        </w:rPr>
        <w:t>Fig</w:t>
      </w:r>
      <w:r w:rsidR="00980C22">
        <w:rPr>
          <w:rFonts w:ascii="Arial" w:hAnsi="Arial" w:cs="Arial"/>
          <w:b/>
          <w:color w:val="000000"/>
          <w:sz w:val="20"/>
          <w:szCs w:val="20"/>
        </w:rPr>
        <w:t>ure</w:t>
      </w:r>
      <w:r w:rsidRPr="00F649EE">
        <w:rPr>
          <w:rFonts w:ascii="Arial" w:hAnsi="Arial" w:cs="Arial"/>
          <w:b/>
          <w:color w:val="000000"/>
          <w:sz w:val="20"/>
          <w:szCs w:val="20"/>
        </w:rPr>
        <w:t xml:space="preserve"> 1. </w:t>
      </w:r>
      <w:r w:rsidRPr="00F649EE">
        <w:rPr>
          <w:rFonts w:ascii="Arial" w:hAnsi="Arial" w:cs="Arial"/>
          <w:color w:val="000000"/>
          <w:sz w:val="20"/>
          <w:szCs w:val="20"/>
        </w:rPr>
        <w:t xml:space="preserve">Type or paste </w:t>
      </w:r>
      <w:r w:rsidRPr="00980C22">
        <w:rPr>
          <w:rFonts w:ascii="Arial" w:hAnsi="Arial" w:cs="Arial"/>
          <w:color w:val="000000"/>
          <w:sz w:val="20"/>
          <w:szCs w:val="20"/>
        </w:rPr>
        <w:t>legend</w:t>
      </w:r>
      <w:r w:rsidRPr="00F649EE">
        <w:rPr>
          <w:rFonts w:ascii="Arial" w:hAnsi="Arial" w:cs="Arial"/>
          <w:color w:val="000000"/>
          <w:sz w:val="20"/>
          <w:szCs w:val="20"/>
        </w:rPr>
        <w:t xml:space="preserve"> here.  Paste figure above the </w:t>
      </w:r>
      <w:r w:rsidRPr="00980C22">
        <w:rPr>
          <w:rFonts w:ascii="Arial" w:hAnsi="Arial" w:cs="Arial"/>
          <w:color w:val="000000"/>
          <w:sz w:val="20"/>
          <w:szCs w:val="20"/>
        </w:rPr>
        <w:t>legend</w:t>
      </w:r>
      <w:r w:rsidRPr="00F649EE">
        <w:rPr>
          <w:rFonts w:ascii="Arial" w:hAnsi="Arial" w:cs="Arial"/>
          <w:color w:val="000000"/>
          <w:sz w:val="20"/>
          <w:szCs w:val="20"/>
        </w:rPr>
        <w:t>.</w:t>
      </w:r>
    </w:p>
    <w:p w14:paraId="5D3BAD94" w14:textId="77777777" w:rsidR="00980C22" w:rsidRPr="00F649EE" w:rsidRDefault="00980C22" w:rsidP="00E6133D">
      <w:pPr>
        <w:pBdr>
          <w:top w:val="nil"/>
          <w:left w:val="nil"/>
          <w:bottom w:val="nil"/>
          <w:right w:val="nil"/>
          <w:between w:val="nil"/>
        </w:pBdr>
        <w:contextualSpacing/>
        <w:rPr>
          <w:rFonts w:ascii="Arial" w:hAnsi="Arial" w:cs="Arial"/>
          <w:color w:val="000000"/>
          <w:sz w:val="20"/>
          <w:szCs w:val="20"/>
        </w:rPr>
      </w:pPr>
    </w:p>
    <w:p w14:paraId="557EF25D" w14:textId="77777777" w:rsidR="00980C22" w:rsidRPr="00980C22" w:rsidRDefault="00E6133D" w:rsidP="00E6133D">
      <w:pPr>
        <w:pBdr>
          <w:top w:val="nil"/>
          <w:left w:val="nil"/>
          <w:bottom w:val="nil"/>
          <w:right w:val="nil"/>
          <w:between w:val="nil"/>
        </w:pBdr>
        <w:contextualSpacing/>
        <w:rPr>
          <w:rFonts w:ascii="Arial" w:hAnsi="Arial" w:cs="Arial"/>
          <w:color w:val="000000"/>
          <w:sz w:val="20"/>
          <w:szCs w:val="20"/>
        </w:rPr>
      </w:pPr>
      <w:r w:rsidRPr="00F649EE">
        <w:rPr>
          <w:rFonts w:ascii="Arial" w:hAnsi="Arial" w:cs="Arial"/>
          <w:color w:val="000000"/>
          <w:sz w:val="20"/>
          <w:szCs w:val="20"/>
        </w:rPr>
        <w:t>&lt;insert page break here&gt;</w:t>
      </w:r>
    </w:p>
    <w:p w14:paraId="0224AD56" w14:textId="77777777" w:rsidR="00E6133D" w:rsidRDefault="00E6133D" w:rsidP="00E6133D">
      <w:pPr>
        <w:pBdr>
          <w:top w:val="nil"/>
          <w:left w:val="nil"/>
          <w:bottom w:val="nil"/>
          <w:right w:val="nil"/>
          <w:between w:val="nil"/>
        </w:pBdr>
        <w:contextualSpacing/>
        <w:rPr>
          <w:rFonts w:ascii="Arial" w:hAnsi="Arial" w:cs="Arial"/>
          <w:color w:val="000000"/>
          <w:sz w:val="20"/>
          <w:szCs w:val="20"/>
        </w:rPr>
      </w:pPr>
    </w:p>
    <w:p w14:paraId="541A5DA9" w14:textId="77777777" w:rsidR="00980C22" w:rsidRPr="00F649EE" w:rsidRDefault="00980C22" w:rsidP="00E6133D">
      <w:pPr>
        <w:pBdr>
          <w:top w:val="nil"/>
          <w:left w:val="nil"/>
          <w:bottom w:val="nil"/>
          <w:right w:val="nil"/>
          <w:between w:val="nil"/>
        </w:pBdr>
        <w:contextualSpacing/>
        <w:rPr>
          <w:rFonts w:ascii="Arial" w:hAnsi="Arial" w:cs="Arial"/>
          <w:color w:val="000000"/>
          <w:sz w:val="20"/>
          <w:szCs w:val="20"/>
        </w:rPr>
      </w:pPr>
    </w:p>
    <w:p w14:paraId="1287F6B0" w14:textId="258B878B" w:rsidR="00E6133D" w:rsidRPr="00F649EE"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r w:rsidRPr="00F649EE">
        <w:rPr>
          <w:rFonts w:ascii="Arial" w:hAnsi="Arial" w:cs="Arial"/>
          <w:b/>
          <w:color w:val="000000"/>
          <w:sz w:val="20"/>
          <w:szCs w:val="20"/>
        </w:rPr>
        <w:t>Fig</w:t>
      </w:r>
      <w:r w:rsidR="00980C22">
        <w:rPr>
          <w:rFonts w:ascii="Arial" w:hAnsi="Arial" w:cs="Arial"/>
          <w:b/>
          <w:color w:val="000000"/>
          <w:sz w:val="20"/>
          <w:szCs w:val="20"/>
        </w:rPr>
        <w:t>ure</w:t>
      </w:r>
      <w:r w:rsidRPr="00F649EE">
        <w:rPr>
          <w:rFonts w:ascii="Arial" w:hAnsi="Arial" w:cs="Arial"/>
          <w:b/>
          <w:color w:val="000000"/>
          <w:sz w:val="20"/>
          <w:szCs w:val="20"/>
        </w:rPr>
        <w:t xml:space="preserve"> 2. </w:t>
      </w:r>
      <w:r w:rsidRPr="00F649EE">
        <w:rPr>
          <w:rFonts w:ascii="Arial" w:hAnsi="Arial" w:cs="Arial"/>
          <w:color w:val="000000"/>
          <w:sz w:val="20"/>
          <w:szCs w:val="20"/>
        </w:rPr>
        <w:t xml:space="preserve">Type or paste </w:t>
      </w:r>
      <w:r w:rsidRPr="00980C22">
        <w:rPr>
          <w:rFonts w:ascii="Arial" w:hAnsi="Arial" w:cs="Arial"/>
          <w:color w:val="000000"/>
          <w:sz w:val="20"/>
          <w:szCs w:val="20"/>
        </w:rPr>
        <w:t>legend</w:t>
      </w:r>
      <w:r w:rsidRPr="00F649EE">
        <w:rPr>
          <w:rFonts w:ascii="Arial" w:hAnsi="Arial" w:cs="Arial"/>
          <w:color w:val="000000"/>
          <w:sz w:val="20"/>
          <w:szCs w:val="20"/>
        </w:rPr>
        <w:t xml:space="preserve"> here.  Paste figure above the </w:t>
      </w:r>
      <w:r w:rsidRPr="00980C22">
        <w:rPr>
          <w:rFonts w:ascii="Arial" w:hAnsi="Arial" w:cs="Arial"/>
          <w:color w:val="000000"/>
          <w:sz w:val="20"/>
          <w:szCs w:val="20"/>
        </w:rPr>
        <w:t>legend</w:t>
      </w:r>
      <w:r w:rsidRPr="00F649EE">
        <w:rPr>
          <w:rFonts w:ascii="Arial" w:hAnsi="Arial" w:cs="Arial"/>
          <w:color w:val="000000"/>
          <w:sz w:val="20"/>
          <w:szCs w:val="20"/>
        </w:rPr>
        <w:t>.</w:t>
      </w:r>
    </w:p>
    <w:p w14:paraId="050F83B3" w14:textId="77777777" w:rsidR="00E6133D" w:rsidRPr="00F649EE" w:rsidRDefault="00E6133D" w:rsidP="00E6133D">
      <w:pPr>
        <w:pBdr>
          <w:top w:val="nil"/>
          <w:left w:val="nil"/>
          <w:bottom w:val="nil"/>
          <w:right w:val="nil"/>
          <w:between w:val="nil"/>
        </w:pBdr>
        <w:contextualSpacing/>
        <w:rPr>
          <w:rFonts w:ascii="Arial" w:hAnsi="Arial" w:cs="Arial"/>
          <w:color w:val="000000"/>
          <w:sz w:val="20"/>
          <w:szCs w:val="20"/>
        </w:rPr>
      </w:pPr>
    </w:p>
    <w:p w14:paraId="3F3C21A0" w14:textId="77777777" w:rsidR="00E6133D" w:rsidRDefault="00E6133D" w:rsidP="00E6133D">
      <w:pPr>
        <w:pBdr>
          <w:top w:val="nil"/>
          <w:left w:val="nil"/>
          <w:bottom w:val="nil"/>
          <w:right w:val="nil"/>
          <w:between w:val="nil"/>
        </w:pBdr>
        <w:contextualSpacing/>
        <w:rPr>
          <w:rFonts w:ascii="Arial" w:hAnsi="Arial" w:cs="Arial"/>
          <w:color w:val="000000"/>
          <w:sz w:val="20"/>
          <w:szCs w:val="20"/>
        </w:rPr>
      </w:pPr>
      <w:r w:rsidRPr="00F649EE">
        <w:rPr>
          <w:rFonts w:ascii="Arial" w:hAnsi="Arial" w:cs="Arial"/>
          <w:color w:val="000000"/>
          <w:sz w:val="20"/>
          <w:szCs w:val="20"/>
        </w:rPr>
        <w:t>&lt;insert page break here&gt;</w:t>
      </w:r>
    </w:p>
    <w:p w14:paraId="00E2C86D" w14:textId="77777777" w:rsidR="00980C22" w:rsidRPr="00980C22" w:rsidRDefault="00980C22" w:rsidP="00E6133D">
      <w:pPr>
        <w:pBdr>
          <w:top w:val="nil"/>
          <w:left w:val="nil"/>
          <w:bottom w:val="nil"/>
          <w:right w:val="nil"/>
          <w:between w:val="nil"/>
        </w:pBdr>
        <w:contextualSpacing/>
        <w:rPr>
          <w:rFonts w:ascii="Arial" w:hAnsi="Arial" w:cs="Arial"/>
          <w:color w:val="000000"/>
          <w:sz w:val="20"/>
          <w:szCs w:val="20"/>
        </w:rPr>
      </w:pPr>
    </w:p>
    <w:p w14:paraId="172FB426" w14:textId="77777777" w:rsidR="00E6133D" w:rsidRPr="00F649EE" w:rsidRDefault="00E6133D" w:rsidP="00E6133D">
      <w:pPr>
        <w:pBdr>
          <w:top w:val="nil"/>
          <w:left w:val="nil"/>
          <w:bottom w:val="nil"/>
          <w:right w:val="nil"/>
          <w:between w:val="nil"/>
        </w:pBdr>
        <w:contextualSpacing/>
        <w:rPr>
          <w:rFonts w:ascii="Arial" w:hAnsi="Arial" w:cs="Arial"/>
          <w:color w:val="000000"/>
          <w:sz w:val="20"/>
          <w:szCs w:val="20"/>
        </w:rPr>
      </w:pPr>
    </w:p>
    <w:p w14:paraId="1C1ED247" w14:textId="7977448E" w:rsidR="00E6133D" w:rsidRPr="00F649EE"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r w:rsidRPr="00F649EE">
        <w:rPr>
          <w:rFonts w:ascii="Arial" w:hAnsi="Arial" w:cs="Arial"/>
          <w:b/>
          <w:color w:val="000000"/>
          <w:sz w:val="20"/>
          <w:szCs w:val="20"/>
        </w:rPr>
        <w:t xml:space="preserve">Table 1. </w:t>
      </w:r>
      <w:r w:rsidR="005A78D5">
        <w:rPr>
          <w:rFonts w:ascii="Arial" w:hAnsi="Arial" w:cs="Arial"/>
          <w:color w:val="000000"/>
          <w:sz w:val="20"/>
          <w:szCs w:val="20"/>
        </w:rPr>
        <w:t>Type or paste table title</w:t>
      </w:r>
      <w:r w:rsidRPr="00F649EE">
        <w:rPr>
          <w:rFonts w:ascii="Arial" w:hAnsi="Arial" w:cs="Arial"/>
          <w:color w:val="000000"/>
          <w:sz w:val="20"/>
          <w:szCs w:val="20"/>
        </w:rPr>
        <w:t xml:space="preserve"> here. </w:t>
      </w:r>
      <w:r w:rsidR="005A78D5">
        <w:rPr>
          <w:rFonts w:ascii="Arial" w:hAnsi="Arial" w:cs="Arial"/>
          <w:color w:val="000000"/>
          <w:sz w:val="20"/>
          <w:szCs w:val="20"/>
        </w:rPr>
        <w:t>Paste table below the title</w:t>
      </w:r>
      <w:r w:rsidR="00980C22">
        <w:rPr>
          <w:rFonts w:ascii="Arial" w:hAnsi="Arial" w:cs="Arial"/>
          <w:color w:val="000000"/>
          <w:sz w:val="20"/>
          <w:szCs w:val="20"/>
        </w:rPr>
        <w:t>.</w:t>
      </w:r>
    </w:p>
    <w:p w14:paraId="65759CCF" w14:textId="77777777" w:rsidR="00E6133D" w:rsidRPr="00F649EE" w:rsidRDefault="00E6133D" w:rsidP="00E6133D">
      <w:pPr>
        <w:pBdr>
          <w:top w:val="nil"/>
          <w:left w:val="nil"/>
          <w:bottom w:val="nil"/>
          <w:right w:val="nil"/>
          <w:between w:val="nil"/>
        </w:pBdr>
        <w:contextualSpacing/>
        <w:rPr>
          <w:rFonts w:ascii="Arial" w:hAnsi="Arial" w:cs="Arial"/>
          <w:color w:val="000000"/>
          <w:sz w:val="20"/>
          <w:szCs w:val="20"/>
        </w:rPr>
      </w:pPr>
    </w:p>
    <w:p w14:paraId="6C0D9D6E" w14:textId="77777777" w:rsidR="00E6133D" w:rsidRDefault="00E6133D" w:rsidP="00E6133D">
      <w:pPr>
        <w:pBdr>
          <w:top w:val="nil"/>
          <w:left w:val="nil"/>
          <w:bottom w:val="nil"/>
          <w:right w:val="nil"/>
          <w:between w:val="nil"/>
        </w:pBdr>
        <w:contextualSpacing/>
        <w:rPr>
          <w:rFonts w:ascii="Arial" w:hAnsi="Arial" w:cs="Arial"/>
          <w:color w:val="000000"/>
          <w:sz w:val="20"/>
          <w:szCs w:val="20"/>
        </w:rPr>
      </w:pPr>
      <w:r w:rsidRPr="00F649EE">
        <w:rPr>
          <w:rFonts w:ascii="Arial" w:hAnsi="Arial" w:cs="Arial"/>
          <w:color w:val="000000"/>
          <w:sz w:val="20"/>
          <w:szCs w:val="20"/>
        </w:rPr>
        <w:t>&lt;insert page break</w:t>
      </w:r>
      <w:r w:rsidR="00980C22">
        <w:rPr>
          <w:rFonts w:ascii="Arial" w:hAnsi="Arial" w:cs="Arial"/>
          <w:color w:val="000000"/>
          <w:sz w:val="20"/>
          <w:szCs w:val="20"/>
        </w:rPr>
        <w:t xml:space="preserve"> here</w:t>
      </w:r>
      <w:r w:rsidRPr="00F649EE">
        <w:rPr>
          <w:rFonts w:ascii="Arial" w:hAnsi="Arial" w:cs="Arial"/>
          <w:color w:val="000000"/>
          <w:sz w:val="20"/>
          <w:szCs w:val="20"/>
        </w:rPr>
        <w:t>&gt;</w:t>
      </w:r>
    </w:p>
    <w:p w14:paraId="615D8097" w14:textId="77777777" w:rsidR="00980C22" w:rsidRPr="00980C22" w:rsidRDefault="00980C22" w:rsidP="00E6133D">
      <w:pPr>
        <w:pBdr>
          <w:top w:val="nil"/>
          <w:left w:val="nil"/>
          <w:bottom w:val="nil"/>
          <w:right w:val="nil"/>
          <w:between w:val="nil"/>
        </w:pBdr>
        <w:contextualSpacing/>
        <w:rPr>
          <w:rFonts w:ascii="Arial" w:hAnsi="Arial" w:cs="Arial"/>
          <w:color w:val="000000"/>
          <w:sz w:val="20"/>
          <w:szCs w:val="20"/>
        </w:rPr>
      </w:pPr>
    </w:p>
    <w:p w14:paraId="5B1B15F8" w14:textId="77777777" w:rsidR="00E6133D" w:rsidRPr="00F649EE" w:rsidRDefault="00E6133D" w:rsidP="00E6133D">
      <w:pPr>
        <w:pBdr>
          <w:top w:val="nil"/>
          <w:left w:val="nil"/>
          <w:bottom w:val="nil"/>
          <w:right w:val="nil"/>
          <w:between w:val="nil"/>
        </w:pBdr>
        <w:contextualSpacing/>
        <w:rPr>
          <w:rFonts w:ascii="Arial" w:hAnsi="Arial" w:cs="Arial"/>
          <w:color w:val="000000"/>
          <w:sz w:val="20"/>
          <w:szCs w:val="20"/>
        </w:rPr>
      </w:pPr>
    </w:p>
    <w:p w14:paraId="3926A143" w14:textId="62275352" w:rsidR="00E6133D" w:rsidRPr="00F649EE"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r w:rsidRPr="00F649EE">
        <w:rPr>
          <w:rFonts w:ascii="Arial" w:hAnsi="Arial" w:cs="Arial"/>
          <w:b/>
          <w:color w:val="000000"/>
          <w:sz w:val="20"/>
          <w:szCs w:val="20"/>
        </w:rPr>
        <w:t>Table 2.</w:t>
      </w:r>
      <w:r w:rsidRPr="00F649EE">
        <w:rPr>
          <w:rFonts w:ascii="Arial" w:hAnsi="Arial" w:cs="Arial"/>
          <w:color w:val="000000"/>
          <w:sz w:val="20"/>
          <w:szCs w:val="20"/>
        </w:rPr>
        <w:t xml:space="preserve"> Type or paste </w:t>
      </w:r>
      <w:r w:rsidR="005A78D5">
        <w:rPr>
          <w:rFonts w:ascii="Arial" w:hAnsi="Arial" w:cs="Arial"/>
          <w:color w:val="000000"/>
          <w:sz w:val="20"/>
          <w:szCs w:val="20"/>
        </w:rPr>
        <w:t>table title</w:t>
      </w:r>
      <w:r w:rsidRPr="00F649EE">
        <w:rPr>
          <w:rFonts w:ascii="Arial" w:hAnsi="Arial" w:cs="Arial"/>
          <w:color w:val="000000"/>
          <w:sz w:val="20"/>
          <w:szCs w:val="20"/>
        </w:rPr>
        <w:t xml:space="preserve"> here. </w:t>
      </w:r>
      <w:r w:rsidR="005A78D5">
        <w:rPr>
          <w:rFonts w:ascii="Arial" w:hAnsi="Arial" w:cs="Arial"/>
          <w:color w:val="000000"/>
          <w:sz w:val="20"/>
          <w:szCs w:val="20"/>
        </w:rPr>
        <w:t>Paste table below the title</w:t>
      </w:r>
      <w:r w:rsidR="00980C22">
        <w:rPr>
          <w:rFonts w:ascii="Arial" w:hAnsi="Arial" w:cs="Arial"/>
          <w:color w:val="000000"/>
          <w:sz w:val="20"/>
          <w:szCs w:val="20"/>
        </w:rPr>
        <w:t>.</w:t>
      </w:r>
      <w:r w:rsidRPr="00F649EE">
        <w:rPr>
          <w:rFonts w:ascii="Arial" w:hAnsi="Arial" w:cs="Arial"/>
          <w:color w:val="000000"/>
          <w:sz w:val="20"/>
          <w:szCs w:val="20"/>
        </w:rPr>
        <w:t xml:space="preserve"> </w:t>
      </w:r>
    </w:p>
    <w:p w14:paraId="1A055CD6" w14:textId="77777777" w:rsidR="00980C22" w:rsidRPr="00F649EE" w:rsidRDefault="00980C22" w:rsidP="00980C22">
      <w:pPr>
        <w:keepNext/>
        <w:pBdr>
          <w:top w:val="nil"/>
          <w:left w:val="nil"/>
          <w:bottom w:val="nil"/>
          <w:right w:val="nil"/>
          <w:between w:val="nil"/>
        </w:pBdr>
        <w:spacing w:before="240" w:after="60"/>
        <w:contextualSpacing/>
        <w:rPr>
          <w:rFonts w:ascii="Arial" w:hAnsi="Arial" w:cs="Arial"/>
          <w:color w:val="000000"/>
          <w:sz w:val="20"/>
          <w:szCs w:val="20"/>
        </w:rPr>
      </w:pPr>
    </w:p>
    <w:p w14:paraId="421FC490" w14:textId="77777777" w:rsidR="00270945" w:rsidRPr="00980C22" w:rsidRDefault="00270945">
      <w:pPr>
        <w:rPr>
          <w:rFonts w:ascii="Arial" w:hAnsi="Arial" w:cs="Arial"/>
          <w:sz w:val="20"/>
          <w:szCs w:val="20"/>
        </w:rPr>
      </w:pPr>
    </w:p>
    <w:sectPr w:rsidR="00270945" w:rsidRPr="00980C22">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16DFC" w14:textId="77777777" w:rsidR="00FF28BF" w:rsidRDefault="00FF28BF">
      <w:pPr>
        <w:spacing w:after="0"/>
      </w:pPr>
      <w:r>
        <w:separator/>
      </w:r>
    </w:p>
  </w:endnote>
  <w:endnote w:type="continuationSeparator" w:id="0">
    <w:p w14:paraId="014A1430" w14:textId="77777777" w:rsidR="00FF28BF" w:rsidRDefault="00FF28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444FA" w14:textId="1FB46D1A" w:rsidR="00E6133D" w:rsidRDefault="00E6133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7527BE">
      <w:rPr>
        <w:noProof/>
        <w:color w:val="000000"/>
      </w:rPr>
      <w:t>2</w:t>
    </w:r>
    <w:r>
      <w:rPr>
        <w:color w:val="000000"/>
      </w:rPr>
      <w:fldChar w:fldCharType="end"/>
    </w:r>
  </w:p>
  <w:p w14:paraId="5346F214" w14:textId="77777777" w:rsidR="00E6133D" w:rsidRDefault="00E6133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15F5F" w14:textId="77777777" w:rsidR="00FF28BF" w:rsidRDefault="00FF28BF">
      <w:pPr>
        <w:spacing w:after="0"/>
      </w:pPr>
      <w:r>
        <w:separator/>
      </w:r>
    </w:p>
  </w:footnote>
  <w:footnote w:type="continuationSeparator" w:id="0">
    <w:p w14:paraId="610C8B41" w14:textId="77777777" w:rsidR="00FF28BF" w:rsidRDefault="00FF28B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04CCF" w14:textId="77777777" w:rsidR="00E6133D" w:rsidRDefault="00E6133D">
    <w:pPr>
      <w:jc w:val="right"/>
      <w:rPr>
        <w:sz w:val="20"/>
        <w:szCs w:val="20"/>
      </w:rPr>
    </w:pPr>
  </w:p>
  <w:p w14:paraId="186F9857" w14:textId="77777777" w:rsidR="00E6133D" w:rsidRDefault="00E613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926378">
    <w:abstractNumId w:val="0"/>
  </w:num>
  <w:num w:numId="2" w16cid:durableId="4805783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33D"/>
    <w:rsid w:val="00003CA5"/>
    <w:rsid w:val="000063EC"/>
    <w:rsid w:val="0002411D"/>
    <w:rsid w:val="00032D9B"/>
    <w:rsid w:val="0003382B"/>
    <w:rsid w:val="00040944"/>
    <w:rsid w:val="000424A2"/>
    <w:rsid w:val="000445DC"/>
    <w:rsid w:val="00046C04"/>
    <w:rsid w:val="00051694"/>
    <w:rsid w:val="0008715C"/>
    <w:rsid w:val="000A4ECA"/>
    <w:rsid w:val="000B11C8"/>
    <w:rsid w:val="000C3044"/>
    <w:rsid w:val="000D3C8B"/>
    <w:rsid w:val="000E32ED"/>
    <w:rsid w:val="000E3957"/>
    <w:rsid w:val="000E6209"/>
    <w:rsid w:val="000F1784"/>
    <w:rsid w:val="00103EDB"/>
    <w:rsid w:val="00105E98"/>
    <w:rsid w:val="001104EB"/>
    <w:rsid w:val="00112DE4"/>
    <w:rsid w:val="001177EF"/>
    <w:rsid w:val="001229EA"/>
    <w:rsid w:val="00132E11"/>
    <w:rsid w:val="00153966"/>
    <w:rsid w:val="00176D2C"/>
    <w:rsid w:val="001858B3"/>
    <w:rsid w:val="001A4E2D"/>
    <w:rsid w:val="001A7357"/>
    <w:rsid w:val="001B3BCA"/>
    <w:rsid w:val="001C5460"/>
    <w:rsid w:val="001D1A77"/>
    <w:rsid w:val="001D55FC"/>
    <w:rsid w:val="001D6E63"/>
    <w:rsid w:val="001E10AC"/>
    <w:rsid w:val="001E27ED"/>
    <w:rsid w:val="001F231A"/>
    <w:rsid w:val="0020329D"/>
    <w:rsid w:val="00203DB8"/>
    <w:rsid w:val="00243591"/>
    <w:rsid w:val="002706AE"/>
    <w:rsid w:val="00270945"/>
    <w:rsid w:val="00277BEF"/>
    <w:rsid w:val="002915AC"/>
    <w:rsid w:val="002A7053"/>
    <w:rsid w:val="002B2848"/>
    <w:rsid w:val="002C4454"/>
    <w:rsid w:val="002C4F5D"/>
    <w:rsid w:val="002D3793"/>
    <w:rsid w:val="002E238B"/>
    <w:rsid w:val="002F7378"/>
    <w:rsid w:val="00305EC9"/>
    <w:rsid w:val="00307402"/>
    <w:rsid w:val="003221BE"/>
    <w:rsid w:val="00326C18"/>
    <w:rsid w:val="003327AC"/>
    <w:rsid w:val="00333F4D"/>
    <w:rsid w:val="003361BB"/>
    <w:rsid w:val="00351D8F"/>
    <w:rsid w:val="003532D0"/>
    <w:rsid w:val="0036653A"/>
    <w:rsid w:val="003830A5"/>
    <w:rsid w:val="003A3641"/>
    <w:rsid w:val="003A3A31"/>
    <w:rsid w:val="003B002E"/>
    <w:rsid w:val="003C5713"/>
    <w:rsid w:val="003C5BD7"/>
    <w:rsid w:val="00404535"/>
    <w:rsid w:val="00425016"/>
    <w:rsid w:val="00432722"/>
    <w:rsid w:val="0043580E"/>
    <w:rsid w:val="00441C95"/>
    <w:rsid w:val="004451B2"/>
    <w:rsid w:val="00450305"/>
    <w:rsid w:val="00474D11"/>
    <w:rsid w:val="004768C8"/>
    <w:rsid w:val="00483D1D"/>
    <w:rsid w:val="004B135C"/>
    <w:rsid w:val="004B3E04"/>
    <w:rsid w:val="004B6AEE"/>
    <w:rsid w:val="004C2B67"/>
    <w:rsid w:val="004E17EB"/>
    <w:rsid w:val="004E462C"/>
    <w:rsid w:val="004F3FBB"/>
    <w:rsid w:val="005228DF"/>
    <w:rsid w:val="00533F9F"/>
    <w:rsid w:val="00546C4A"/>
    <w:rsid w:val="00554C39"/>
    <w:rsid w:val="00575B23"/>
    <w:rsid w:val="00583420"/>
    <w:rsid w:val="00583F2E"/>
    <w:rsid w:val="00584A2A"/>
    <w:rsid w:val="0059309E"/>
    <w:rsid w:val="00596136"/>
    <w:rsid w:val="005A4BE6"/>
    <w:rsid w:val="005A78D5"/>
    <w:rsid w:val="005C7DD7"/>
    <w:rsid w:val="00601E00"/>
    <w:rsid w:val="00613D89"/>
    <w:rsid w:val="00623869"/>
    <w:rsid w:val="00626DE9"/>
    <w:rsid w:val="006721DF"/>
    <w:rsid w:val="006771DC"/>
    <w:rsid w:val="006A0613"/>
    <w:rsid w:val="006A1FC7"/>
    <w:rsid w:val="006B5D26"/>
    <w:rsid w:val="006B69B9"/>
    <w:rsid w:val="006C365F"/>
    <w:rsid w:val="006C4520"/>
    <w:rsid w:val="006C4F6B"/>
    <w:rsid w:val="006D5AA2"/>
    <w:rsid w:val="006E3374"/>
    <w:rsid w:val="00700EFD"/>
    <w:rsid w:val="007223F9"/>
    <w:rsid w:val="007527BE"/>
    <w:rsid w:val="0075347B"/>
    <w:rsid w:val="00767F01"/>
    <w:rsid w:val="00775489"/>
    <w:rsid w:val="00776584"/>
    <w:rsid w:val="00797E76"/>
    <w:rsid w:val="007C55AA"/>
    <w:rsid w:val="007D569A"/>
    <w:rsid w:val="007F1DF9"/>
    <w:rsid w:val="007F6A09"/>
    <w:rsid w:val="00804273"/>
    <w:rsid w:val="00816EBD"/>
    <w:rsid w:val="0082688E"/>
    <w:rsid w:val="00843B48"/>
    <w:rsid w:val="0085217D"/>
    <w:rsid w:val="0085376D"/>
    <w:rsid w:val="008709F4"/>
    <w:rsid w:val="00871123"/>
    <w:rsid w:val="00877C0C"/>
    <w:rsid w:val="00881189"/>
    <w:rsid w:val="00892FE1"/>
    <w:rsid w:val="00896188"/>
    <w:rsid w:val="008A1B43"/>
    <w:rsid w:val="008C12F7"/>
    <w:rsid w:val="008C456F"/>
    <w:rsid w:val="008C5828"/>
    <w:rsid w:val="008E1224"/>
    <w:rsid w:val="008E6DB8"/>
    <w:rsid w:val="00904FBD"/>
    <w:rsid w:val="00910F91"/>
    <w:rsid w:val="00913C29"/>
    <w:rsid w:val="00953224"/>
    <w:rsid w:val="00980C22"/>
    <w:rsid w:val="00982FFA"/>
    <w:rsid w:val="00985285"/>
    <w:rsid w:val="00992344"/>
    <w:rsid w:val="009A1B34"/>
    <w:rsid w:val="009A28E7"/>
    <w:rsid w:val="009B1C32"/>
    <w:rsid w:val="009C71F0"/>
    <w:rsid w:val="009D02DD"/>
    <w:rsid w:val="009D3029"/>
    <w:rsid w:val="009D5FFA"/>
    <w:rsid w:val="009D7D38"/>
    <w:rsid w:val="009F53CA"/>
    <w:rsid w:val="009F66BE"/>
    <w:rsid w:val="00A03DB6"/>
    <w:rsid w:val="00A05D6B"/>
    <w:rsid w:val="00A1401C"/>
    <w:rsid w:val="00A21C5B"/>
    <w:rsid w:val="00A3398A"/>
    <w:rsid w:val="00A370CE"/>
    <w:rsid w:val="00A50648"/>
    <w:rsid w:val="00A53343"/>
    <w:rsid w:val="00A635A9"/>
    <w:rsid w:val="00A77C58"/>
    <w:rsid w:val="00A829E2"/>
    <w:rsid w:val="00A85CC3"/>
    <w:rsid w:val="00A86479"/>
    <w:rsid w:val="00AA3B7E"/>
    <w:rsid w:val="00AA72E6"/>
    <w:rsid w:val="00AC166F"/>
    <w:rsid w:val="00AE60EF"/>
    <w:rsid w:val="00AE6AF3"/>
    <w:rsid w:val="00AF0BF8"/>
    <w:rsid w:val="00AF1C52"/>
    <w:rsid w:val="00AF4525"/>
    <w:rsid w:val="00B01983"/>
    <w:rsid w:val="00B1077F"/>
    <w:rsid w:val="00B22202"/>
    <w:rsid w:val="00B24503"/>
    <w:rsid w:val="00B25B3F"/>
    <w:rsid w:val="00B30924"/>
    <w:rsid w:val="00B4169B"/>
    <w:rsid w:val="00B41B21"/>
    <w:rsid w:val="00B44E3B"/>
    <w:rsid w:val="00B677F2"/>
    <w:rsid w:val="00B7220C"/>
    <w:rsid w:val="00B766CD"/>
    <w:rsid w:val="00B84BAC"/>
    <w:rsid w:val="00B9147E"/>
    <w:rsid w:val="00B94E8D"/>
    <w:rsid w:val="00BB3CCB"/>
    <w:rsid w:val="00BB7DA8"/>
    <w:rsid w:val="00BC4E15"/>
    <w:rsid w:val="00BF572B"/>
    <w:rsid w:val="00C1417F"/>
    <w:rsid w:val="00C167F1"/>
    <w:rsid w:val="00C3219F"/>
    <w:rsid w:val="00C4529B"/>
    <w:rsid w:val="00C57849"/>
    <w:rsid w:val="00C734A7"/>
    <w:rsid w:val="00C750B2"/>
    <w:rsid w:val="00C90DFF"/>
    <w:rsid w:val="00C97AF8"/>
    <w:rsid w:val="00CA59B0"/>
    <w:rsid w:val="00CB4276"/>
    <w:rsid w:val="00CB5B28"/>
    <w:rsid w:val="00CB6C9E"/>
    <w:rsid w:val="00CF29A9"/>
    <w:rsid w:val="00D01FB7"/>
    <w:rsid w:val="00D20B26"/>
    <w:rsid w:val="00D328DA"/>
    <w:rsid w:val="00D33FC2"/>
    <w:rsid w:val="00D45BE5"/>
    <w:rsid w:val="00D46042"/>
    <w:rsid w:val="00D509E4"/>
    <w:rsid w:val="00D761E8"/>
    <w:rsid w:val="00D9714D"/>
    <w:rsid w:val="00DA6B04"/>
    <w:rsid w:val="00DB27EB"/>
    <w:rsid w:val="00DB6644"/>
    <w:rsid w:val="00DD5005"/>
    <w:rsid w:val="00DD6976"/>
    <w:rsid w:val="00DE1599"/>
    <w:rsid w:val="00DE213B"/>
    <w:rsid w:val="00DF48AE"/>
    <w:rsid w:val="00DF4ADF"/>
    <w:rsid w:val="00E01958"/>
    <w:rsid w:val="00E13168"/>
    <w:rsid w:val="00E161BA"/>
    <w:rsid w:val="00E16A79"/>
    <w:rsid w:val="00E21446"/>
    <w:rsid w:val="00E32263"/>
    <w:rsid w:val="00E41185"/>
    <w:rsid w:val="00E6133D"/>
    <w:rsid w:val="00E62E27"/>
    <w:rsid w:val="00E65967"/>
    <w:rsid w:val="00E925B6"/>
    <w:rsid w:val="00E94536"/>
    <w:rsid w:val="00EB4212"/>
    <w:rsid w:val="00EE48F5"/>
    <w:rsid w:val="00EF4314"/>
    <w:rsid w:val="00F05AC8"/>
    <w:rsid w:val="00F16A99"/>
    <w:rsid w:val="00F16F01"/>
    <w:rsid w:val="00F24BF6"/>
    <w:rsid w:val="00F34E01"/>
    <w:rsid w:val="00F3686B"/>
    <w:rsid w:val="00F50ECE"/>
    <w:rsid w:val="00F538B6"/>
    <w:rsid w:val="00F6002E"/>
    <w:rsid w:val="00F60B99"/>
    <w:rsid w:val="00F649EE"/>
    <w:rsid w:val="00F839A7"/>
    <w:rsid w:val="00F856FA"/>
    <w:rsid w:val="00F90A76"/>
    <w:rsid w:val="00F92C5C"/>
    <w:rsid w:val="00FA3286"/>
    <w:rsid w:val="00FA52DE"/>
    <w:rsid w:val="00FB5CF7"/>
    <w:rsid w:val="00FC454E"/>
    <w:rsid w:val="00FD4A12"/>
    <w:rsid w:val="00FF28BF"/>
    <w:rsid w:val="00FF40BE"/>
    <w:rsid w:val="00FF5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622619"/>
  <w15:chartTrackingRefBased/>
  <w15:docId w15:val="{0BACA329-D68F-41E1-8712-30BE2256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semiHidden/>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46C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4739">
      <w:bodyDiv w:val="1"/>
      <w:marLeft w:val="0"/>
      <w:marRight w:val="0"/>
      <w:marTop w:val="0"/>
      <w:marBottom w:val="0"/>
      <w:divBdr>
        <w:top w:val="none" w:sz="0" w:space="0" w:color="auto"/>
        <w:left w:val="none" w:sz="0" w:space="0" w:color="auto"/>
        <w:bottom w:val="none" w:sz="0" w:space="0" w:color="auto"/>
        <w:right w:val="none" w:sz="0" w:space="0" w:color="auto"/>
      </w:divBdr>
    </w:div>
    <w:div w:id="180434189">
      <w:bodyDiv w:val="1"/>
      <w:marLeft w:val="0"/>
      <w:marRight w:val="0"/>
      <w:marTop w:val="0"/>
      <w:marBottom w:val="0"/>
      <w:divBdr>
        <w:top w:val="none" w:sz="0" w:space="0" w:color="auto"/>
        <w:left w:val="none" w:sz="0" w:space="0" w:color="auto"/>
        <w:bottom w:val="none" w:sz="0" w:space="0" w:color="auto"/>
        <w:right w:val="none" w:sz="0" w:space="0" w:color="auto"/>
      </w:divBdr>
    </w:div>
    <w:div w:id="61776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anessa.DiLego@oeaw.ac.at" TargetMode="External"/><Relationship Id="rId5" Type="http://schemas.openxmlformats.org/officeDocument/2006/relationships/webSettings" Target="webSettings.xml"/><Relationship Id="rId10" Type="http://schemas.openxmlformats.org/officeDocument/2006/relationships/image" Target="media/image1.tif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60275-232B-4382-BF98-8D28A500D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12</Pages>
  <Words>16184</Words>
  <Characters>92251</Characters>
  <Application>Microsoft Office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
    </vt:vector>
  </TitlesOfParts>
  <Company>The National Academies</Company>
  <LinksUpToDate>false</LinksUpToDate>
  <CharactersWithSpaces>108219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Shuler, Megan</dc:creator>
  <cp:keywords/>
  <dc:description/>
  <cp:lastModifiedBy>Author</cp:lastModifiedBy>
  <cp:revision>276</cp:revision>
  <dcterms:created xsi:type="dcterms:W3CDTF">2023-03-24T10:58:00Z</dcterms:created>
  <dcterms:modified xsi:type="dcterms:W3CDTF">2023-03-24T16:54:00Z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http://www.zotero.org/styles/chicago-author-date</vt:lpwstr>
  </property>
  <property fmtid="{D5CDD505-2E9C-101B-9397-08002B2CF9AE}" pid="3" name="Mendeley Recent Style Name 0_1">
    <vt:lpwstr>Chicago Manual of Style 17th edition (author-date)</vt:lpwstr>
  </property>
  <property fmtid="{D5CDD505-2E9C-101B-9397-08002B2CF9AE}" pid="4" name="Mendeley Recent Style Id 1_1">
    <vt:lpwstr>http://www.zotero.org/styles/harvard-cite-them-right</vt:lpwstr>
  </property>
  <property fmtid="{D5CDD505-2E9C-101B-9397-08002B2CF9AE}" pid="5" name="Mendeley Recent Style Name 1_1">
    <vt:lpwstr>Cite Them Right 10th edition - Harvard</vt:lpwstr>
  </property>
  <property fmtid="{D5CDD505-2E9C-101B-9397-08002B2CF9AE}" pid="6" name="Mendeley Recent Style Id 2_1">
    <vt:lpwstr>http://www.zotero.org/styles/demographic-research</vt:lpwstr>
  </property>
  <property fmtid="{D5CDD505-2E9C-101B-9397-08002B2CF9AE}" pid="7" name="Mendeley Recent Style Name 2_1">
    <vt:lpwstr>Demographic Research</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http://www.zotero.org/styles/national-library-of-medicine</vt:lpwstr>
  </property>
  <property fmtid="{D5CDD505-2E9C-101B-9397-08002B2CF9AE}" pid="15" name="Mendeley Recent Style Name 6_1">
    <vt:lpwstr>National Library of Medicine</vt:lpwstr>
  </property>
  <property fmtid="{D5CDD505-2E9C-101B-9397-08002B2CF9AE}" pid="16" name="Mendeley Recent Style Id 7_1">
    <vt:lpwstr>http://www.zotero.org/styles/pnas</vt:lpwstr>
  </property>
  <property fmtid="{D5CDD505-2E9C-101B-9397-08002B2CF9AE}" pid="17" name="Mendeley Recent Style Name 7_1">
    <vt:lpwstr>Proceedings of the National Academy of Sciences of the United States of America</vt:lpwstr>
  </property>
  <property fmtid="{D5CDD505-2E9C-101B-9397-08002B2CF9AE}" pid="18" name="Mendeley Recent Style Id 8_1">
    <vt:lpwstr>http://www.zotero.org/styles/science</vt:lpwstr>
  </property>
  <property fmtid="{D5CDD505-2E9C-101B-9397-08002B2CF9AE}" pid="19" name="Mendeley Recent Style Name 8_1">
    <vt:lpwstr>Science</vt:lpwstr>
  </property>
  <property fmtid="{D5CDD505-2E9C-101B-9397-08002B2CF9AE}" pid="20" name="Mendeley Recent Style Id 9_1">
    <vt:lpwstr>http://www.zotero.org/styles/springer-basic-author-date</vt:lpwstr>
  </property>
  <property fmtid="{D5CDD505-2E9C-101B-9397-08002B2CF9AE}" pid="21" name="Mendeley Recent Style Name 9_1">
    <vt:lpwstr>Springer - Basic (author-date)</vt:lpwstr>
  </property>
  <property fmtid="{D5CDD505-2E9C-101B-9397-08002B2CF9AE}" pid="22" name="Mendeley Document_1">
    <vt:lpwstr>True</vt:lpwstr>
  </property>
  <property fmtid="{D5CDD505-2E9C-101B-9397-08002B2CF9AE}" pid="23" name="Mendeley Unique User Id_1">
    <vt:lpwstr>74f4c020-339f-300e-9a0b-e86d4ce26fc6</vt:lpwstr>
  </property>
  <property fmtid="{D5CDD505-2E9C-101B-9397-08002B2CF9AE}" pid="24" name="Mendeley Citation Style_1">
    <vt:lpwstr>http://www.zotero.org/styles/pnas</vt:lpwstr>
  </property>
</Properties>
</file>