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133DD" w:rsidRDefault="00B133DD">
      <w:pPr>
        <w:widowControl w:val="0"/>
        <w:pBdr>
          <w:top w:val="nil"/>
          <w:left w:val="nil"/>
          <w:bottom w:val="nil"/>
          <w:right w:val="nil"/>
          <w:between w:val="nil"/>
        </w:pBdr>
        <w:spacing w:line="276" w:lineRule="auto"/>
        <w:rPr>
          <w:sz w:val="36"/>
          <w:szCs w:val="36"/>
        </w:rPr>
        <w:sectPr w:rsidR="00B133DD">
          <w:headerReference w:type="default" r:id="rId8"/>
          <w:footerReference w:type="default" r:id="rId9"/>
          <w:pgSz w:w="12240" w:h="15840"/>
          <w:pgMar w:top="1440" w:right="1800" w:bottom="1440" w:left="1800" w:header="720" w:footer="720" w:gutter="0"/>
          <w:pgNumType w:start="1"/>
          <w:cols w:space="720"/>
        </w:sectPr>
      </w:pPr>
    </w:p>
    <w:p w14:paraId="00000002" w14:textId="77777777" w:rsidR="00B133DD" w:rsidRDefault="00A50CB3">
      <w:pPr>
        <w:rPr>
          <w:sz w:val="36"/>
          <w:szCs w:val="36"/>
        </w:rPr>
      </w:pPr>
      <w:r>
        <w:rPr>
          <w:rFonts w:ascii="Arial" w:eastAsia="Arial" w:hAnsi="Arial" w:cs="Arial"/>
          <w:noProof/>
          <w:sz w:val="20"/>
          <w:szCs w:val="20"/>
        </w:rPr>
        <w:drawing>
          <wp:inline distT="0" distB="0" distL="0" distR="0" wp14:anchorId="44106978" wp14:editId="44AAF244">
            <wp:extent cx="1229120" cy="432789"/>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229120" cy="432789"/>
                    </a:xfrm>
                    <a:prstGeom prst="rect">
                      <a:avLst/>
                    </a:prstGeom>
                    <a:ln/>
                  </pic:spPr>
                </pic:pic>
              </a:graphicData>
            </a:graphic>
          </wp:inline>
        </w:drawing>
      </w:r>
    </w:p>
    <w:p w14:paraId="00000003" w14:textId="77777777" w:rsidR="00B133DD" w:rsidRDefault="00B133DD">
      <w:pPr>
        <w:jc w:val="center"/>
        <w:rPr>
          <w:sz w:val="36"/>
          <w:szCs w:val="36"/>
        </w:rPr>
      </w:pPr>
    </w:p>
    <w:p w14:paraId="00000004" w14:textId="77777777" w:rsidR="00B133DD" w:rsidRDefault="00A50CB3">
      <w:pPr>
        <w:rPr>
          <w:rFonts w:ascii="Arial" w:eastAsia="Arial" w:hAnsi="Arial" w:cs="Arial"/>
          <w:b/>
          <w:sz w:val="28"/>
          <w:szCs w:val="28"/>
        </w:rPr>
      </w:pPr>
      <w:r>
        <w:rPr>
          <w:rFonts w:ascii="Arial" w:eastAsia="Arial" w:hAnsi="Arial" w:cs="Arial"/>
          <w:b/>
          <w:sz w:val="28"/>
          <w:szCs w:val="28"/>
        </w:rPr>
        <w:t>Main Manuscript for</w:t>
      </w:r>
    </w:p>
    <w:p w14:paraId="00000005" w14:textId="77777777" w:rsidR="00B133DD" w:rsidRDefault="00A50CB3">
      <w:pPr>
        <w:rPr>
          <w:rFonts w:ascii="Arial" w:eastAsia="Arial" w:hAnsi="Arial" w:cs="Arial"/>
          <w:sz w:val="28"/>
          <w:szCs w:val="28"/>
        </w:rPr>
      </w:pPr>
      <w:bookmarkStart w:id="0" w:name="_Hlk131503646"/>
      <w:r>
        <w:rPr>
          <w:rFonts w:ascii="Arial" w:eastAsia="Arial" w:hAnsi="Arial" w:cs="Arial"/>
          <w:sz w:val="28"/>
          <w:szCs w:val="28"/>
        </w:rPr>
        <w:t>Going beyond the gender gap in healthy lifespans</w:t>
      </w:r>
    </w:p>
    <w:p w14:paraId="00000006" w14:textId="77777777" w:rsidR="00B133DD" w:rsidRDefault="00A50CB3">
      <w:pPr>
        <w:rPr>
          <w:rFonts w:ascii="Arial" w:eastAsia="Arial" w:hAnsi="Arial" w:cs="Arial"/>
          <w:sz w:val="20"/>
          <w:szCs w:val="20"/>
        </w:rPr>
      </w:pPr>
      <w:bookmarkStart w:id="1" w:name="_Hlk131503656"/>
      <w:bookmarkEnd w:id="0"/>
      <w:r>
        <w:rPr>
          <w:rFonts w:ascii="Arial" w:eastAsia="Arial" w:hAnsi="Arial" w:cs="Arial"/>
          <w:sz w:val="20"/>
          <w:szCs w:val="20"/>
        </w:rPr>
        <w:t>Vanessa di Lego</w:t>
      </w:r>
      <w:r>
        <w:rPr>
          <w:rFonts w:ascii="Arial" w:eastAsia="Arial" w:hAnsi="Arial" w:cs="Arial"/>
          <w:sz w:val="20"/>
          <w:szCs w:val="20"/>
          <w:vertAlign w:val="superscript"/>
        </w:rPr>
        <w:t>1</w:t>
      </w:r>
      <w:r>
        <w:rPr>
          <w:rFonts w:ascii="Arial" w:eastAsia="Arial" w:hAnsi="Arial" w:cs="Arial"/>
          <w:sz w:val="20"/>
          <w:szCs w:val="20"/>
        </w:rPr>
        <w:t xml:space="preserve">*, </w:t>
      </w:r>
      <w:proofErr w:type="spellStart"/>
      <w:r>
        <w:rPr>
          <w:rFonts w:ascii="Arial" w:eastAsia="Arial" w:hAnsi="Arial" w:cs="Arial"/>
          <w:sz w:val="20"/>
          <w:szCs w:val="20"/>
        </w:rPr>
        <w:t>Marília</w:t>
      </w:r>
      <w:proofErr w:type="spellEnd"/>
      <w:r>
        <w:rPr>
          <w:rFonts w:ascii="Arial" w:eastAsia="Arial" w:hAnsi="Arial" w:cs="Arial"/>
          <w:sz w:val="20"/>
          <w:szCs w:val="20"/>
        </w:rPr>
        <w:t xml:space="preserve"> R. Nepomuceno</w:t>
      </w:r>
      <w:r>
        <w:rPr>
          <w:rFonts w:ascii="Arial" w:eastAsia="Arial" w:hAnsi="Arial" w:cs="Arial"/>
          <w:sz w:val="20"/>
          <w:szCs w:val="20"/>
          <w:vertAlign w:val="superscript"/>
        </w:rPr>
        <w:t>2</w:t>
      </w:r>
      <w:r>
        <w:rPr>
          <w:rFonts w:ascii="Arial" w:eastAsia="Arial" w:hAnsi="Arial" w:cs="Arial"/>
          <w:sz w:val="20"/>
          <w:szCs w:val="20"/>
        </w:rPr>
        <w:t xml:space="preserve">, </w:t>
      </w:r>
      <w:proofErr w:type="spellStart"/>
      <w:r>
        <w:rPr>
          <w:rFonts w:ascii="Arial" w:eastAsia="Arial" w:hAnsi="Arial" w:cs="Arial"/>
          <w:sz w:val="20"/>
          <w:szCs w:val="20"/>
        </w:rPr>
        <w:t>Cássio</w:t>
      </w:r>
      <w:proofErr w:type="spellEnd"/>
      <w:r>
        <w:rPr>
          <w:rFonts w:ascii="Arial" w:eastAsia="Arial" w:hAnsi="Arial" w:cs="Arial"/>
          <w:sz w:val="20"/>
          <w:szCs w:val="20"/>
        </w:rPr>
        <w:t xml:space="preserve"> M. </w:t>
      </w:r>
      <w:proofErr w:type="spellStart"/>
      <w:r>
        <w:rPr>
          <w:rFonts w:ascii="Arial" w:eastAsia="Arial" w:hAnsi="Arial" w:cs="Arial"/>
          <w:sz w:val="20"/>
          <w:szCs w:val="20"/>
        </w:rPr>
        <w:t>Turra</w:t>
      </w:r>
      <w:proofErr w:type="spellEnd"/>
      <w:r>
        <w:rPr>
          <w:rFonts w:ascii="Arial" w:eastAsia="Arial" w:hAnsi="Arial" w:cs="Arial"/>
          <w:sz w:val="20"/>
          <w:szCs w:val="20"/>
        </w:rPr>
        <w:t xml:space="preserve"> </w:t>
      </w:r>
      <w:r>
        <w:rPr>
          <w:rFonts w:ascii="Arial" w:eastAsia="Arial" w:hAnsi="Arial" w:cs="Arial"/>
          <w:sz w:val="20"/>
          <w:szCs w:val="20"/>
          <w:vertAlign w:val="superscript"/>
        </w:rPr>
        <w:t>3</w:t>
      </w:r>
    </w:p>
    <w:p w14:paraId="00000007" w14:textId="77777777" w:rsidR="00B133DD" w:rsidRDefault="00A50CB3">
      <w:pPr>
        <w:rPr>
          <w:rFonts w:ascii="Arial" w:eastAsia="Arial" w:hAnsi="Arial" w:cs="Arial"/>
          <w:sz w:val="20"/>
          <w:szCs w:val="20"/>
        </w:rPr>
      </w:pPr>
      <w:bookmarkStart w:id="2" w:name="_Hlk131503675"/>
      <w:bookmarkEnd w:id="1"/>
      <w:r>
        <w:rPr>
          <w:rFonts w:ascii="Arial" w:eastAsia="Arial" w:hAnsi="Arial" w:cs="Arial"/>
          <w:sz w:val="20"/>
          <w:szCs w:val="20"/>
          <w:vertAlign w:val="superscript"/>
        </w:rPr>
        <w:t>1</w:t>
      </w:r>
      <w:r>
        <w:rPr>
          <w:rFonts w:ascii="Arial" w:eastAsia="Arial" w:hAnsi="Arial" w:cs="Arial"/>
          <w:sz w:val="20"/>
          <w:szCs w:val="20"/>
        </w:rPr>
        <w:t xml:space="preserve"> 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 Vienna Institute of Demography at the Austrian Academy of Sciences</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3 </w:t>
      </w:r>
      <w:proofErr w:type="spellStart"/>
      <w:r>
        <w:rPr>
          <w:rFonts w:ascii="Arial" w:eastAsia="Arial" w:hAnsi="Arial" w:cs="Arial"/>
          <w:sz w:val="20"/>
          <w:szCs w:val="20"/>
        </w:rPr>
        <w:t>Universidade</w:t>
      </w:r>
      <w:proofErr w:type="spellEnd"/>
      <w:r>
        <w:rPr>
          <w:rFonts w:ascii="Arial" w:eastAsia="Arial" w:hAnsi="Arial" w:cs="Arial"/>
          <w:sz w:val="20"/>
          <w:szCs w:val="20"/>
        </w:rPr>
        <w:t xml:space="preserve"> Federal de Minas Gerais, </w:t>
      </w:r>
      <w:proofErr w:type="spellStart"/>
      <w:r>
        <w:rPr>
          <w:rFonts w:ascii="Arial" w:eastAsia="Arial" w:hAnsi="Arial" w:cs="Arial"/>
          <w:sz w:val="20"/>
          <w:szCs w:val="20"/>
        </w:rPr>
        <w:t>Cedeplar</w:t>
      </w:r>
      <w:proofErr w:type="spellEnd"/>
      <w:r>
        <w:rPr>
          <w:rFonts w:ascii="Arial" w:eastAsia="Arial" w:hAnsi="Arial" w:cs="Arial"/>
          <w:sz w:val="20"/>
          <w:szCs w:val="20"/>
        </w:rPr>
        <w:t>, Brazil.</w:t>
      </w:r>
    </w:p>
    <w:p w14:paraId="0000000A" w14:textId="77777777" w:rsidR="00B133DD" w:rsidRDefault="00A50CB3">
      <w:pPr>
        <w:rPr>
          <w:rFonts w:ascii="Arial" w:eastAsia="Arial" w:hAnsi="Arial" w:cs="Arial"/>
          <w:sz w:val="20"/>
          <w:szCs w:val="20"/>
        </w:rPr>
      </w:pPr>
      <w:r>
        <w:rPr>
          <w:rFonts w:ascii="Arial" w:eastAsia="Arial" w:hAnsi="Arial" w:cs="Arial"/>
          <w:sz w:val="20"/>
          <w:szCs w:val="20"/>
        </w:rPr>
        <w:t>*Vanessa di Lego</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11">
        <w:r>
          <w:rPr>
            <w:rFonts w:ascii="Arial" w:eastAsia="Arial" w:hAnsi="Arial" w:cs="Arial"/>
            <w:color w:val="0000FF"/>
            <w:sz w:val="20"/>
            <w:szCs w:val="20"/>
            <w:u w:val="single"/>
          </w:rPr>
          <w:t>Vanessa.DiLego@oeaw.ac.at</w:t>
        </w:r>
      </w:hyperlink>
    </w:p>
    <w:bookmarkEnd w:id="2"/>
    <w:p w14:paraId="0000000C" w14:textId="77777777" w:rsidR="00B133DD" w:rsidRDefault="00A50CB3">
      <w:pPr>
        <w:rPr>
          <w:rFonts w:ascii="Arial" w:eastAsia="Arial" w:hAnsi="Arial" w:cs="Arial"/>
          <w:sz w:val="20"/>
          <w:szCs w:val="20"/>
        </w:rPr>
      </w:pPr>
      <w:r>
        <w:rPr>
          <w:rFonts w:ascii="Arial" w:eastAsia="Arial" w:hAnsi="Arial" w:cs="Arial"/>
          <w:b/>
          <w:sz w:val="20"/>
          <w:szCs w:val="20"/>
        </w:rPr>
        <w:t xml:space="preserve">Author Contributions: </w:t>
      </w:r>
      <w:r>
        <w:rPr>
          <w:rFonts w:ascii="Arial" w:eastAsia="Arial" w:hAnsi="Arial" w:cs="Arial"/>
          <w:sz w:val="20"/>
          <w:szCs w:val="20"/>
        </w:rPr>
        <w:t>Paste the author contributions here.</w:t>
      </w:r>
    </w:p>
    <w:p w14:paraId="0000000D" w14:textId="77777777" w:rsidR="00B133DD" w:rsidRDefault="00A50CB3">
      <w:pPr>
        <w:rPr>
          <w:rFonts w:ascii="Arial" w:eastAsia="Arial" w:hAnsi="Arial" w:cs="Arial"/>
          <w:sz w:val="20"/>
          <w:szCs w:val="20"/>
        </w:rPr>
      </w:pPr>
      <w:r>
        <w:rPr>
          <w:rFonts w:ascii="Arial" w:eastAsia="Arial" w:hAnsi="Arial" w:cs="Arial"/>
          <w:b/>
          <w:sz w:val="20"/>
          <w:szCs w:val="20"/>
        </w:rPr>
        <w:t xml:space="preserve">Competing Interest Statement: </w:t>
      </w:r>
      <w:r>
        <w:rPr>
          <w:rFonts w:ascii="Arial" w:eastAsia="Arial" w:hAnsi="Arial" w:cs="Arial"/>
          <w:sz w:val="20"/>
          <w:szCs w:val="20"/>
        </w:rPr>
        <w:t xml:space="preserve">The authors have no competing interest to declare. </w:t>
      </w:r>
    </w:p>
    <w:p w14:paraId="0000000E" w14:textId="77777777" w:rsidR="00B133DD" w:rsidRDefault="00A50CB3">
      <w:pPr>
        <w:rPr>
          <w:rFonts w:ascii="Arial" w:eastAsia="Arial" w:hAnsi="Arial" w:cs="Arial"/>
          <w:sz w:val="20"/>
          <w:szCs w:val="20"/>
        </w:rPr>
      </w:pPr>
      <w:r>
        <w:rPr>
          <w:rFonts w:ascii="Arial" w:eastAsia="Arial" w:hAnsi="Arial" w:cs="Arial"/>
          <w:b/>
          <w:sz w:val="20"/>
          <w:szCs w:val="20"/>
        </w:rPr>
        <w:t xml:space="preserve">Classification: </w:t>
      </w:r>
      <w:r>
        <w:rPr>
          <w:rFonts w:ascii="Arial" w:eastAsia="Arial" w:hAnsi="Arial" w:cs="Arial"/>
          <w:sz w:val="20"/>
          <w:szCs w:val="20"/>
        </w:rPr>
        <w:t>Social Sciences. Social Sciences.</w:t>
      </w:r>
    </w:p>
    <w:p w14:paraId="0000000F" w14:textId="77777777" w:rsidR="00B133DD" w:rsidRDefault="00A50CB3">
      <w:pPr>
        <w:rPr>
          <w:rFonts w:ascii="Arial" w:eastAsia="Arial" w:hAnsi="Arial" w:cs="Arial"/>
          <w:sz w:val="20"/>
          <w:szCs w:val="20"/>
        </w:rPr>
      </w:pPr>
      <w:r>
        <w:rPr>
          <w:rFonts w:ascii="Arial" w:eastAsia="Arial" w:hAnsi="Arial" w:cs="Arial"/>
          <w:b/>
          <w:sz w:val="20"/>
          <w:szCs w:val="20"/>
        </w:rPr>
        <w:t xml:space="preserve">Keywords: </w:t>
      </w:r>
      <w:r>
        <w:rPr>
          <w:rFonts w:ascii="Arial" w:eastAsia="Arial" w:hAnsi="Arial" w:cs="Arial"/>
          <w:sz w:val="20"/>
          <w:szCs w:val="20"/>
        </w:rPr>
        <w:t>Paste the keywords here. There should be at least three and no more than five.</w:t>
      </w:r>
    </w:p>
    <w:p w14:paraId="00000010" w14:textId="77777777" w:rsidR="00B133DD" w:rsidRDefault="00B133DD">
      <w:pPr>
        <w:rPr>
          <w:rFonts w:ascii="Arial" w:eastAsia="Arial" w:hAnsi="Arial" w:cs="Arial"/>
          <w:b/>
          <w:sz w:val="20"/>
          <w:szCs w:val="20"/>
        </w:rPr>
      </w:pPr>
    </w:p>
    <w:p w14:paraId="00000011" w14:textId="77777777" w:rsidR="00B133DD" w:rsidRDefault="00A50CB3">
      <w:pPr>
        <w:rPr>
          <w:rFonts w:ascii="Arial" w:eastAsia="Arial" w:hAnsi="Arial" w:cs="Arial"/>
          <w:b/>
          <w:sz w:val="20"/>
          <w:szCs w:val="20"/>
        </w:rPr>
      </w:pPr>
      <w:r>
        <w:rPr>
          <w:rFonts w:ascii="Arial" w:eastAsia="Arial" w:hAnsi="Arial" w:cs="Arial"/>
          <w:b/>
          <w:sz w:val="20"/>
          <w:szCs w:val="20"/>
        </w:rPr>
        <w:t>This PDF file includes:</w:t>
      </w:r>
    </w:p>
    <w:p w14:paraId="00000012" w14:textId="77777777" w:rsidR="00B133DD" w:rsidRDefault="00A50CB3">
      <w:pPr>
        <w:spacing w:after="0"/>
        <w:ind w:left="720"/>
        <w:rPr>
          <w:rFonts w:ascii="Arial" w:eastAsia="Arial" w:hAnsi="Arial" w:cs="Arial"/>
          <w:sz w:val="20"/>
          <w:szCs w:val="20"/>
        </w:rPr>
      </w:pPr>
      <w:r>
        <w:rPr>
          <w:rFonts w:ascii="Arial" w:eastAsia="Arial" w:hAnsi="Arial" w:cs="Arial"/>
          <w:sz w:val="20"/>
          <w:szCs w:val="20"/>
        </w:rPr>
        <w:t>Main Text</w:t>
      </w:r>
    </w:p>
    <w:p w14:paraId="00000013" w14:textId="77777777" w:rsidR="00B133DD" w:rsidRDefault="00A50CB3">
      <w:pPr>
        <w:spacing w:after="0"/>
        <w:ind w:left="720"/>
        <w:rPr>
          <w:rFonts w:ascii="Arial" w:eastAsia="Arial" w:hAnsi="Arial" w:cs="Arial"/>
          <w:sz w:val="20"/>
          <w:szCs w:val="20"/>
        </w:rPr>
      </w:pPr>
      <w:r>
        <w:rPr>
          <w:rFonts w:ascii="Arial" w:eastAsia="Arial" w:hAnsi="Arial" w:cs="Arial"/>
          <w:sz w:val="20"/>
          <w:szCs w:val="20"/>
        </w:rPr>
        <w:t>Figures 1 to 4</w:t>
      </w:r>
    </w:p>
    <w:p w14:paraId="00000014" w14:textId="311CDBC2" w:rsidR="00B133DD" w:rsidRDefault="00A50CB3">
      <w:pPr>
        <w:spacing w:after="0"/>
        <w:ind w:left="720"/>
        <w:rPr>
          <w:rFonts w:ascii="Arial" w:eastAsia="Arial" w:hAnsi="Arial" w:cs="Arial"/>
          <w:sz w:val="20"/>
          <w:szCs w:val="20"/>
        </w:rPr>
      </w:pPr>
      <w:r>
        <w:rPr>
          <w:rFonts w:ascii="Arial" w:eastAsia="Arial" w:hAnsi="Arial" w:cs="Arial"/>
          <w:sz w:val="20"/>
          <w:szCs w:val="20"/>
        </w:rPr>
        <w:t xml:space="preserve">Tables 1 to </w:t>
      </w:r>
      <w:bookmarkStart w:id="3" w:name="bookmark=id.30j0zll" w:colFirst="0" w:colLast="0"/>
      <w:bookmarkStart w:id="4" w:name="bookmark=id.gjdgxs" w:colFirst="0" w:colLast="0"/>
      <w:bookmarkEnd w:id="3"/>
      <w:bookmarkEnd w:id="4"/>
      <w:r w:rsidR="00BD6BB8">
        <w:rPr>
          <w:rFonts w:ascii="Arial" w:eastAsia="Arial" w:hAnsi="Arial" w:cs="Arial"/>
          <w:sz w:val="20"/>
          <w:szCs w:val="20"/>
        </w:rPr>
        <w:t>2</w:t>
      </w:r>
    </w:p>
    <w:p w14:paraId="00000015" w14:textId="77777777" w:rsidR="00B133DD" w:rsidRDefault="00B133DD">
      <w:pPr>
        <w:spacing w:after="0"/>
        <w:ind w:left="720"/>
        <w:rPr>
          <w:rFonts w:ascii="Arial" w:eastAsia="Arial" w:hAnsi="Arial" w:cs="Arial"/>
          <w:sz w:val="20"/>
          <w:szCs w:val="20"/>
        </w:rPr>
      </w:pPr>
    </w:p>
    <w:p w14:paraId="00000016" w14:textId="77777777" w:rsidR="00B133DD" w:rsidRDefault="00B133DD">
      <w:pPr>
        <w:spacing w:after="0"/>
        <w:ind w:left="720"/>
        <w:rPr>
          <w:rFonts w:ascii="Arial" w:eastAsia="Arial" w:hAnsi="Arial" w:cs="Arial"/>
          <w:sz w:val="20"/>
          <w:szCs w:val="20"/>
        </w:rPr>
      </w:pPr>
    </w:p>
    <w:p w14:paraId="00000017" w14:textId="77777777" w:rsidR="00B133DD" w:rsidRDefault="00B133DD">
      <w:pPr>
        <w:spacing w:after="0"/>
        <w:ind w:left="720"/>
        <w:rPr>
          <w:rFonts w:ascii="Arial" w:eastAsia="Arial" w:hAnsi="Arial" w:cs="Arial"/>
          <w:sz w:val="20"/>
          <w:szCs w:val="20"/>
        </w:rPr>
      </w:pPr>
    </w:p>
    <w:p w14:paraId="00000018" w14:textId="77777777" w:rsidR="00B133DD" w:rsidRDefault="00B133DD">
      <w:pPr>
        <w:spacing w:after="0"/>
        <w:ind w:left="720"/>
        <w:rPr>
          <w:rFonts w:ascii="Arial" w:eastAsia="Arial" w:hAnsi="Arial" w:cs="Arial"/>
          <w:sz w:val="20"/>
          <w:szCs w:val="20"/>
        </w:rPr>
      </w:pPr>
    </w:p>
    <w:p w14:paraId="00000019" w14:textId="77777777" w:rsidR="00B133DD" w:rsidRDefault="00B133DD">
      <w:pPr>
        <w:spacing w:after="0"/>
        <w:rPr>
          <w:rFonts w:ascii="Arial" w:eastAsia="Arial" w:hAnsi="Arial" w:cs="Arial"/>
          <w:sz w:val="20"/>
          <w:szCs w:val="20"/>
        </w:rPr>
      </w:pPr>
    </w:p>
    <w:p w14:paraId="0000001A" w14:textId="77777777" w:rsidR="00B133DD" w:rsidRDefault="00B133DD">
      <w:pPr>
        <w:spacing w:after="0"/>
        <w:rPr>
          <w:rFonts w:ascii="Arial" w:eastAsia="Arial" w:hAnsi="Arial" w:cs="Arial"/>
          <w:sz w:val="20"/>
          <w:szCs w:val="20"/>
        </w:rPr>
      </w:pPr>
    </w:p>
    <w:p w14:paraId="0000001B" w14:textId="77777777" w:rsidR="00B133DD" w:rsidRDefault="00B133DD">
      <w:pPr>
        <w:spacing w:after="0"/>
        <w:rPr>
          <w:rFonts w:ascii="Arial" w:eastAsia="Arial" w:hAnsi="Arial" w:cs="Arial"/>
          <w:sz w:val="20"/>
          <w:szCs w:val="20"/>
        </w:rPr>
      </w:pPr>
    </w:p>
    <w:p w14:paraId="0000001C" w14:textId="77777777" w:rsidR="00B133DD" w:rsidRDefault="00B133DD">
      <w:pPr>
        <w:spacing w:after="0"/>
        <w:rPr>
          <w:rFonts w:ascii="Arial" w:eastAsia="Arial" w:hAnsi="Arial" w:cs="Arial"/>
          <w:sz w:val="20"/>
          <w:szCs w:val="20"/>
        </w:rPr>
      </w:pPr>
    </w:p>
    <w:p w14:paraId="0000001D" w14:textId="77777777" w:rsidR="00B133DD" w:rsidRDefault="00B133DD">
      <w:pPr>
        <w:spacing w:after="0"/>
        <w:rPr>
          <w:rFonts w:ascii="Arial" w:eastAsia="Arial" w:hAnsi="Arial" w:cs="Arial"/>
          <w:sz w:val="20"/>
          <w:szCs w:val="20"/>
        </w:rPr>
      </w:pPr>
    </w:p>
    <w:p w14:paraId="0000001E" w14:textId="77777777" w:rsidR="00B133DD" w:rsidRDefault="00B133DD">
      <w:pPr>
        <w:spacing w:after="0"/>
        <w:rPr>
          <w:rFonts w:ascii="Arial" w:eastAsia="Arial" w:hAnsi="Arial" w:cs="Arial"/>
          <w:sz w:val="20"/>
          <w:szCs w:val="20"/>
        </w:rPr>
      </w:pPr>
    </w:p>
    <w:p w14:paraId="0000001F" w14:textId="77777777" w:rsidR="00B133DD" w:rsidRDefault="00B133DD">
      <w:pPr>
        <w:spacing w:after="0"/>
        <w:rPr>
          <w:rFonts w:ascii="Arial" w:eastAsia="Arial" w:hAnsi="Arial" w:cs="Arial"/>
          <w:sz w:val="20"/>
          <w:szCs w:val="20"/>
        </w:rPr>
      </w:pPr>
    </w:p>
    <w:p w14:paraId="00000020" w14:textId="77777777" w:rsidR="00B133DD" w:rsidRDefault="00B133DD">
      <w:pPr>
        <w:spacing w:after="0"/>
        <w:ind w:left="720"/>
        <w:rPr>
          <w:rFonts w:ascii="Arial" w:eastAsia="Arial" w:hAnsi="Arial" w:cs="Arial"/>
          <w:sz w:val="20"/>
          <w:szCs w:val="20"/>
        </w:rPr>
      </w:pPr>
    </w:p>
    <w:p w14:paraId="00000021" w14:textId="77777777" w:rsidR="00B133DD" w:rsidRDefault="00B133DD">
      <w:pPr>
        <w:spacing w:after="0"/>
        <w:ind w:left="720"/>
        <w:rPr>
          <w:rFonts w:ascii="Arial" w:eastAsia="Arial" w:hAnsi="Arial" w:cs="Arial"/>
          <w:sz w:val="20"/>
          <w:szCs w:val="20"/>
        </w:rPr>
      </w:pPr>
    </w:p>
    <w:p w14:paraId="00000022" w14:textId="77777777" w:rsidR="00B133DD" w:rsidRDefault="00A50CB3">
      <w:pPr>
        <w:spacing w:after="40"/>
        <w:ind w:left="720"/>
        <w:rPr>
          <w:rFonts w:ascii="Arial" w:eastAsia="Arial" w:hAnsi="Arial" w:cs="Arial"/>
          <w:sz w:val="20"/>
          <w:szCs w:val="20"/>
        </w:rPr>
      </w:pPr>
      <w:r>
        <w:rPr>
          <w:rFonts w:ascii="Arial" w:eastAsia="Arial" w:hAnsi="Arial" w:cs="Arial"/>
          <w:b/>
          <w:color w:val="000000"/>
          <w:sz w:val="24"/>
          <w:szCs w:val="24"/>
        </w:rPr>
        <w:lastRenderedPageBreak/>
        <w:t>Abstract</w:t>
      </w:r>
    </w:p>
    <w:p w14:paraId="00000023" w14:textId="77777777" w:rsidR="00B133DD" w:rsidRDefault="00A50CB3">
      <w:pPr>
        <w:keepNext/>
        <w:pBdr>
          <w:top w:val="nil"/>
          <w:left w:val="nil"/>
          <w:bottom w:val="nil"/>
          <w:right w:val="nil"/>
          <w:between w:val="nil"/>
        </w:pBdr>
        <w:spacing w:before="40" w:after="60"/>
        <w:rPr>
          <w:rFonts w:ascii="Arial" w:eastAsia="Arial" w:hAnsi="Arial" w:cs="Arial"/>
          <w:color w:val="000000"/>
          <w:sz w:val="24"/>
          <w:szCs w:val="24"/>
        </w:rPr>
      </w:pPr>
      <w:r>
        <w:rPr>
          <w:rFonts w:ascii="Arial" w:eastAsia="Arial" w:hAnsi="Arial" w:cs="Arial"/>
          <w:color w:val="000000"/>
          <w:sz w:val="24"/>
          <w:szCs w:val="24"/>
        </w:rPr>
        <w:t>Paste your abstract here. Please note it may not exceed 250 words. It may include up to three cited (non-numerical) references.</w:t>
      </w:r>
    </w:p>
    <w:p w14:paraId="00000024" w14:textId="77777777" w:rsidR="00B133DD" w:rsidRDefault="00A50CB3">
      <w:pPr>
        <w:keepNext/>
        <w:pBdr>
          <w:top w:val="nil"/>
          <w:left w:val="nil"/>
          <w:bottom w:val="nil"/>
          <w:right w:val="nil"/>
          <w:between w:val="nil"/>
        </w:pBdr>
        <w:spacing w:before="240" w:after="60"/>
        <w:rPr>
          <w:rFonts w:ascii="Arial" w:eastAsia="Arial" w:hAnsi="Arial" w:cs="Arial"/>
          <w:b/>
          <w:color w:val="000000"/>
          <w:sz w:val="24"/>
          <w:szCs w:val="24"/>
        </w:rPr>
      </w:pPr>
      <w:r>
        <w:rPr>
          <w:rFonts w:ascii="Arial" w:eastAsia="Arial" w:hAnsi="Arial" w:cs="Arial"/>
          <w:b/>
          <w:color w:val="000000"/>
          <w:sz w:val="24"/>
          <w:szCs w:val="24"/>
        </w:rPr>
        <w:t>Significance Statement</w:t>
      </w:r>
    </w:p>
    <w:p w14:paraId="00000025" w14:textId="77777777" w:rsidR="00B133DD" w:rsidRDefault="00A50CB3">
      <w:pPr>
        <w:keepNext/>
        <w:pBdr>
          <w:top w:val="nil"/>
          <w:left w:val="nil"/>
          <w:bottom w:val="nil"/>
          <w:right w:val="nil"/>
          <w:between w:val="nil"/>
        </w:pBdr>
        <w:spacing w:before="240" w:after="60"/>
        <w:rPr>
          <w:rFonts w:ascii="Arial" w:eastAsia="Arial" w:hAnsi="Arial" w:cs="Arial"/>
          <w:color w:val="000000"/>
          <w:sz w:val="24"/>
          <w:szCs w:val="24"/>
        </w:rPr>
      </w:pPr>
      <w:r>
        <w:rPr>
          <w:rFonts w:ascii="Arial" w:eastAsia="Arial" w:hAnsi="Arial" w:cs="Arial"/>
          <w:color w:val="000000"/>
          <w:sz w:val="24"/>
          <w:szCs w:val="24"/>
        </w:rPr>
        <w:t>Paste your significance statement here. Please note that it should not exceed 120 words, but should be at least 50 words in length. It should not include any references.</w:t>
      </w:r>
    </w:p>
    <w:p w14:paraId="00000026" w14:textId="77777777" w:rsidR="00B133DD" w:rsidRDefault="00B133DD">
      <w:pPr>
        <w:keepNext/>
        <w:pBdr>
          <w:top w:val="nil"/>
          <w:left w:val="nil"/>
          <w:bottom w:val="nil"/>
          <w:right w:val="nil"/>
          <w:between w:val="nil"/>
        </w:pBdr>
        <w:spacing w:before="60" w:after="0"/>
        <w:rPr>
          <w:rFonts w:ascii="Arial" w:eastAsia="Arial" w:hAnsi="Arial" w:cs="Arial"/>
          <w:color w:val="000000"/>
          <w:sz w:val="24"/>
          <w:szCs w:val="24"/>
        </w:rPr>
      </w:pPr>
    </w:p>
    <w:p w14:paraId="00000027" w14:textId="77777777" w:rsidR="00B133DD" w:rsidRDefault="00A50CB3">
      <w:r>
        <w:rPr>
          <w:highlight w:val="yellow"/>
        </w:rPr>
        <w:t>4,000 words, 50 references, and 4 medium-size graphical elements</w:t>
      </w:r>
    </w:p>
    <w:p w14:paraId="00000028" w14:textId="77777777" w:rsidR="00B133DD" w:rsidRDefault="00B133DD">
      <w:pPr>
        <w:keepNext/>
        <w:pBdr>
          <w:top w:val="nil"/>
          <w:left w:val="nil"/>
          <w:bottom w:val="nil"/>
          <w:right w:val="nil"/>
          <w:between w:val="nil"/>
        </w:pBdr>
        <w:spacing w:before="200" w:after="0"/>
        <w:rPr>
          <w:rFonts w:ascii="Arial" w:eastAsia="Arial" w:hAnsi="Arial" w:cs="Arial"/>
          <w:color w:val="000000"/>
          <w:sz w:val="24"/>
          <w:szCs w:val="24"/>
        </w:rPr>
      </w:pPr>
    </w:p>
    <w:p w14:paraId="00000029" w14:textId="77777777" w:rsidR="00B133DD" w:rsidRDefault="00B133DD">
      <w:pPr>
        <w:keepNext/>
        <w:pBdr>
          <w:top w:val="nil"/>
          <w:left w:val="nil"/>
          <w:bottom w:val="nil"/>
          <w:right w:val="nil"/>
          <w:between w:val="nil"/>
        </w:pBdr>
        <w:spacing w:after="0"/>
        <w:rPr>
          <w:rFonts w:ascii="Arial" w:eastAsia="Arial" w:hAnsi="Arial" w:cs="Arial"/>
          <w:color w:val="000000"/>
          <w:sz w:val="24"/>
          <w:szCs w:val="24"/>
        </w:rPr>
      </w:pPr>
    </w:p>
    <w:p w14:paraId="0000002A" w14:textId="77777777" w:rsidR="00B133DD" w:rsidRDefault="00B133DD">
      <w:pPr>
        <w:keepNext/>
        <w:pBdr>
          <w:top w:val="nil"/>
          <w:left w:val="nil"/>
          <w:bottom w:val="nil"/>
          <w:right w:val="nil"/>
          <w:between w:val="nil"/>
        </w:pBdr>
        <w:spacing w:after="0"/>
        <w:rPr>
          <w:rFonts w:ascii="Arial" w:eastAsia="Arial" w:hAnsi="Arial" w:cs="Arial"/>
          <w:color w:val="000000"/>
          <w:sz w:val="24"/>
          <w:szCs w:val="24"/>
        </w:rPr>
      </w:pPr>
    </w:p>
    <w:p w14:paraId="0000002B" w14:textId="77777777" w:rsidR="00B133DD" w:rsidRDefault="00B133DD">
      <w:pPr>
        <w:keepNext/>
        <w:pBdr>
          <w:top w:val="nil"/>
          <w:left w:val="nil"/>
          <w:bottom w:val="nil"/>
          <w:right w:val="nil"/>
          <w:between w:val="nil"/>
        </w:pBdr>
        <w:spacing w:after="0"/>
        <w:rPr>
          <w:rFonts w:ascii="Arial" w:eastAsia="Arial" w:hAnsi="Arial" w:cs="Arial"/>
          <w:color w:val="000000"/>
          <w:sz w:val="24"/>
          <w:szCs w:val="24"/>
        </w:rPr>
      </w:pPr>
    </w:p>
    <w:p w14:paraId="0000002C" w14:textId="77777777" w:rsidR="00B133DD" w:rsidRDefault="00B133DD">
      <w:pPr>
        <w:keepNext/>
        <w:pBdr>
          <w:top w:val="nil"/>
          <w:left w:val="nil"/>
          <w:bottom w:val="nil"/>
          <w:right w:val="nil"/>
          <w:between w:val="nil"/>
        </w:pBdr>
        <w:spacing w:after="0"/>
        <w:rPr>
          <w:rFonts w:ascii="Arial" w:eastAsia="Arial" w:hAnsi="Arial" w:cs="Arial"/>
          <w:color w:val="000000"/>
          <w:sz w:val="24"/>
          <w:szCs w:val="24"/>
        </w:rPr>
      </w:pPr>
    </w:p>
    <w:p w14:paraId="0000002D" w14:textId="77777777"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Main Text</w:t>
      </w:r>
    </w:p>
    <w:p w14:paraId="0000002E" w14:textId="77777777"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0000002F" w14:textId="77777777"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Introduction</w:t>
      </w:r>
    </w:p>
    <w:p w14:paraId="00000030" w14:textId="77777777"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00000031" w14:textId="77777777" w:rsidR="00B133DD" w:rsidRDefault="00A50CB3">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licy makers use gaps</w:t>
      </w:r>
      <w:r>
        <w:rPr>
          <w:rFonts w:ascii="Arial" w:eastAsia="Arial" w:hAnsi="Arial" w:cs="Arial"/>
          <w:color w:val="000000"/>
          <w:sz w:val="24"/>
          <w:szCs w:val="24"/>
        </w:rPr>
        <w:t xml:space="preserve"> to benchmark countries, monitor changes over time, and identify the pace at which countries are closing or widening gender gaps in health (1–3). </w:t>
      </w:r>
      <w:r>
        <w:rPr>
          <w:rFonts w:ascii="Arial" w:eastAsia="Arial" w:hAnsi="Arial" w:cs="Arial"/>
          <w:sz w:val="24"/>
          <w:szCs w:val="24"/>
        </w:rPr>
        <w:t>Overall, gaps are an easy and straightforward way to relate the difference between two quantities. However, to measure health differences between genders, gaps may blend several dimensions of health differences between women and men, and consequently lead to misleading conclusions.</w:t>
      </w:r>
    </w:p>
    <w:p w14:paraId="00000032" w14:textId="77777777" w:rsidR="00B133DD" w:rsidRDefault="00B133DD">
      <w:pPr>
        <w:keepNext/>
        <w:pBdr>
          <w:top w:val="nil"/>
          <w:left w:val="nil"/>
          <w:bottom w:val="nil"/>
          <w:right w:val="nil"/>
          <w:between w:val="nil"/>
        </w:pBdr>
        <w:spacing w:after="0" w:line="360" w:lineRule="auto"/>
        <w:jc w:val="both"/>
        <w:rPr>
          <w:rFonts w:ascii="Arial" w:eastAsia="Arial" w:hAnsi="Arial" w:cs="Arial"/>
          <w:sz w:val="24"/>
          <w:szCs w:val="24"/>
        </w:rPr>
      </w:pPr>
    </w:p>
    <w:p w14:paraId="00000033" w14:textId="77777777" w:rsidR="00B133DD" w:rsidRDefault="00A50CB3">
      <w:pPr>
        <w:keepNext/>
        <w:spacing w:after="0" w:line="360" w:lineRule="auto"/>
        <w:jc w:val="both"/>
        <w:rPr>
          <w:rFonts w:ascii="Arial" w:eastAsia="Arial" w:hAnsi="Arial" w:cs="Arial"/>
          <w:sz w:val="24"/>
          <w:szCs w:val="24"/>
        </w:rPr>
      </w:pPr>
      <w:r>
        <w:rPr>
          <w:rFonts w:ascii="Arial" w:eastAsia="Arial" w:hAnsi="Arial" w:cs="Arial"/>
          <w:sz w:val="24"/>
          <w:szCs w:val="24"/>
        </w:rPr>
        <w:t xml:space="preserve">Decomposition analyses help us to disentangle the components of gaps derived from aggregate health measures. For instance, when the gender gap comes from differences in healthy life expectancies, decomposition analyses break down the gap into two components: mortality and health (20,22,29). The contributions of mortality and disability to the gender gap in health expectancy have shown that </w:t>
      </w:r>
      <w:r>
        <w:rPr>
          <w:rFonts w:ascii="Arial" w:eastAsia="Arial" w:hAnsi="Arial" w:cs="Arial"/>
          <w:sz w:val="24"/>
          <w:szCs w:val="24"/>
        </w:rPr>
        <w:lastRenderedPageBreak/>
        <w:t xml:space="preserve">gender differences in mortality and disability can be masked when only the total gap is analyzed (18–22). In some contexts, this effect can be substantial. </w:t>
      </w:r>
    </w:p>
    <w:p w14:paraId="00000034" w14:textId="77777777" w:rsidR="00B133DD" w:rsidRDefault="00B133DD">
      <w:pPr>
        <w:keepNext/>
        <w:spacing w:after="0" w:line="360" w:lineRule="auto"/>
        <w:jc w:val="both"/>
        <w:rPr>
          <w:rFonts w:ascii="Arial" w:eastAsia="Arial" w:hAnsi="Arial" w:cs="Arial"/>
          <w:sz w:val="24"/>
          <w:szCs w:val="24"/>
        </w:rPr>
      </w:pPr>
    </w:p>
    <w:sdt>
      <w:sdtPr>
        <w:tag w:val="goog_rdk_20"/>
        <w:id w:val="-1348321464"/>
      </w:sdtPr>
      <w:sdtContent>
        <w:p w14:paraId="00000035" w14:textId="6A2EEF13" w:rsidR="00B133DD" w:rsidRDefault="00A50CB3">
          <w:pPr>
            <w:keepNext/>
            <w:spacing w:after="0" w:line="360" w:lineRule="auto"/>
            <w:jc w:val="both"/>
            <w:rPr>
              <w:ins w:id="5" w:author="Vanessa Gabrielle di Lego" w:date="2023-03-31T10:28:00Z"/>
              <w:rFonts w:ascii="Arial" w:eastAsia="Arial" w:hAnsi="Arial" w:cs="Arial"/>
              <w:sz w:val="24"/>
              <w:szCs w:val="24"/>
            </w:rPr>
          </w:pPr>
          <w:r>
            <w:rPr>
              <w:rFonts w:ascii="Arial" w:eastAsia="Arial" w:hAnsi="Arial" w:cs="Arial"/>
              <w:sz w:val="24"/>
              <w:szCs w:val="24"/>
            </w:rPr>
            <w:t>For some countries, where the gender gap in health expectancies was virtually zero, decomposition</w:t>
          </w:r>
          <w:sdt>
            <w:sdtPr>
              <w:tag w:val="goog_rdk_0"/>
              <w:id w:val="136379425"/>
            </w:sdtPr>
            <w:sdtContent>
              <w:del w:id="6" w:author="Vanessa Gabrielle di Lego" w:date="2023-03-31T10:10:00Z">
                <w:r>
                  <w:rPr>
                    <w:rFonts w:ascii="Arial" w:eastAsia="Arial" w:hAnsi="Arial" w:cs="Arial"/>
                    <w:sz w:val="24"/>
                    <w:szCs w:val="24"/>
                  </w:rPr>
                  <w:delText>s</w:delText>
                </w:r>
              </w:del>
            </w:sdtContent>
          </w:sdt>
          <w:r>
            <w:rPr>
              <w:rFonts w:ascii="Arial" w:eastAsia="Arial" w:hAnsi="Arial" w:cs="Arial"/>
              <w:sz w:val="24"/>
              <w:szCs w:val="24"/>
            </w:rPr>
            <w:t xml:space="preserve"> analyses revealed </w:t>
          </w:r>
          <w:sdt>
            <w:sdtPr>
              <w:tag w:val="goog_rdk_1"/>
              <w:id w:val="-417790160"/>
            </w:sdtPr>
            <w:sdtContent>
              <w:ins w:id="7" w:author="Vanessa Gabrielle di Lego" w:date="2023-03-31T10:07:00Z">
                <w:r>
                  <w:rPr>
                    <w:rFonts w:ascii="Arial" w:eastAsia="Arial" w:hAnsi="Arial" w:cs="Arial"/>
                    <w:sz w:val="24"/>
                    <w:szCs w:val="24"/>
                  </w:rPr>
                  <w:t xml:space="preserve">considerable </w:t>
                </w:r>
              </w:ins>
            </w:sdtContent>
          </w:sdt>
          <w:sdt>
            <w:sdtPr>
              <w:tag w:val="goog_rdk_2"/>
              <w:id w:val="369197929"/>
            </w:sdtPr>
            <w:sdtContent>
              <w:del w:id="8" w:author="Vanessa Gabrielle di Lego" w:date="2023-03-31T10:07:00Z">
                <w:r>
                  <w:rPr>
                    <w:rFonts w:ascii="Arial" w:eastAsia="Arial" w:hAnsi="Arial" w:cs="Arial"/>
                    <w:sz w:val="24"/>
                    <w:szCs w:val="24"/>
                  </w:rPr>
                  <w:delText>that</w:delText>
                </w:r>
              </w:del>
            </w:sdtContent>
          </w:sdt>
          <w:r>
            <w:rPr>
              <w:rFonts w:ascii="Arial" w:eastAsia="Arial" w:hAnsi="Arial" w:cs="Arial"/>
              <w:sz w:val="24"/>
              <w:szCs w:val="24"/>
            </w:rPr>
            <w:t xml:space="preserve"> differences in both mortality and health</w:t>
          </w:r>
          <w:sdt>
            <w:sdtPr>
              <w:tag w:val="goog_rdk_3"/>
              <w:id w:val="-1624222477"/>
            </w:sdtPr>
            <w:sdtContent>
              <w:ins w:id="9" w:author="Vanessa Gabrielle di Lego" w:date="2023-03-31T10:07:00Z">
                <w:r>
                  <w:rPr>
                    <w:rFonts w:ascii="Arial" w:eastAsia="Arial" w:hAnsi="Arial" w:cs="Arial"/>
                    <w:sz w:val="24"/>
                    <w:szCs w:val="24"/>
                  </w:rPr>
                  <w:t>,</w:t>
                </w:r>
              </w:ins>
            </w:sdtContent>
          </w:sdt>
          <w:sdt>
            <w:sdtPr>
              <w:tag w:val="goog_rdk_4"/>
              <w:id w:val="869034029"/>
            </w:sdtPr>
            <w:sdtContent>
              <w:del w:id="10" w:author="Vanessa Gabrielle di Lego" w:date="2023-03-31T10:07:00Z">
                <w:r>
                  <w:rPr>
                    <w:rFonts w:ascii="Arial" w:eastAsia="Arial" w:hAnsi="Arial" w:cs="Arial"/>
                    <w:sz w:val="24"/>
                    <w:szCs w:val="24"/>
                  </w:rPr>
                  <w:delText xml:space="preserve"> were substantial,</w:delText>
                </w:r>
              </w:del>
            </w:sdtContent>
          </w:sdt>
          <w:r>
            <w:rPr>
              <w:rFonts w:ascii="Arial" w:eastAsia="Arial" w:hAnsi="Arial" w:cs="Arial"/>
              <w:sz w:val="24"/>
              <w:szCs w:val="24"/>
            </w:rPr>
            <w:t xml:space="preserve"> but </w:t>
          </w:r>
          <w:sdt>
            <w:sdtPr>
              <w:tag w:val="goog_rdk_5"/>
              <w:id w:val="-426113093"/>
            </w:sdtPr>
            <w:sdtContent>
              <w:del w:id="11" w:author="Vanessa Gabrielle di Lego" w:date="2023-03-31T10:07:00Z">
                <w:r>
                  <w:rPr>
                    <w:rFonts w:ascii="Arial" w:eastAsia="Arial" w:hAnsi="Arial" w:cs="Arial"/>
                    <w:sz w:val="24"/>
                    <w:szCs w:val="24"/>
                  </w:rPr>
                  <w:delText xml:space="preserve">ran </w:delText>
                </w:r>
              </w:del>
            </w:sdtContent>
          </w:sdt>
          <w:r>
            <w:rPr>
              <w:rFonts w:ascii="Arial" w:eastAsia="Arial" w:hAnsi="Arial" w:cs="Arial"/>
              <w:sz w:val="24"/>
              <w:szCs w:val="24"/>
            </w:rPr>
            <w:t xml:space="preserve">in different directions (19,20,22). </w:t>
          </w:r>
          <w:sdt>
            <w:sdtPr>
              <w:tag w:val="goog_rdk_6"/>
              <w:id w:val="-399133991"/>
            </w:sdtPr>
            <w:sdtContent>
              <w:ins w:id="12" w:author="Vanessa Gabrielle di Lego" w:date="2023-03-31T10:09:00Z">
                <w:r>
                  <w:rPr>
                    <w:rFonts w:ascii="Arial" w:eastAsia="Arial" w:hAnsi="Arial" w:cs="Arial"/>
                    <w:sz w:val="24"/>
                    <w:szCs w:val="24"/>
                  </w:rPr>
                  <w:t>As a consequence, t</w:t>
                </w:r>
              </w:ins>
            </w:sdtContent>
          </w:sdt>
          <w:sdt>
            <w:sdtPr>
              <w:tag w:val="goog_rdk_7"/>
              <w:id w:val="-1934273043"/>
            </w:sdtPr>
            <w:sdtContent>
              <w:del w:id="13" w:author="Vanessa Gabrielle di Lego" w:date="2023-03-31T10:09:00Z">
                <w:r>
                  <w:rPr>
                    <w:rFonts w:ascii="Arial" w:eastAsia="Arial" w:hAnsi="Arial" w:cs="Arial"/>
                    <w:sz w:val="24"/>
                    <w:szCs w:val="24"/>
                  </w:rPr>
                  <w:delText>T</w:delText>
                </w:r>
              </w:del>
            </w:sdtContent>
          </w:sdt>
          <w:r>
            <w:rPr>
              <w:rFonts w:ascii="Arial" w:eastAsia="Arial" w:hAnsi="Arial" w:cs="Arial"/>
              <w:sz w:val="24"/>
              <w:szCs w:val="24"/>
            </w:rPr>
            <w:t xml:space="preserve">he combination of a high prevalence of disability coupled with a high mortality advantage </w:t>
          </w:r>
          <w:sdt>
            <w:sdtPr>
              <w:tag w:val="goog_rdk_8"/>
              <w:id w:val="-1357424680"/>
            </w:sdtPr>
            <w:sdtContent>
              <w:ins w:id="14" w:author="Vanessa Gabrielle di Lego" w:date="2023-03-31T10:08:00Z">
                <w:r>
                  <w:rPr>
                    <w:rFonts w:ascii="Arial" w:eastAsia="Arial" w:hAnsi="Arial" w:cs="Arial"/>
                    <w:sz w:val="24"/>
                    <w:szCs w:val="24"/>
                  </w:rPr>
                  <w:t>among</w:t>
                </w:r>
              </w:ins>
            </w:sdtContent>
          </w:sdt>
          <w:sdt>
            <w:sdtPr>
              <w:tag w:val="goog_rdk_9"/>
              <w:id w:val="1235976533"/>
            </w:sdtPr>
            <w:sdtContent>
              <w:del w:id="15" w:author="Vanessa Gabrielle di Lego" w:date="2023-03-31T10:08:00Z">
                <w:r>
                  <w:rPr>
                    <w:rFonts w:ascii="Arial" w:eastAsia="Arial" w:hAnsi="Arial" w:cs="Arial"/>
                    <w:sz w:val="24"/>
                    <w:szCs w:val="24"/>
                  </w:rPr>
                  <w:delText>of</w:delText>
                </w:r>
              </w:del>
            </w:sdtContent>
          </w:sdt>
          <w:r>
            <w:rPr>
              <w:rFonts w:ascii="Arial" w:eastAsia="Arial" w:hAnsi="Arial" w:cs="Arial"/>
              <w:sz w:val="24"/>
              <w:szCs w:val="24"/>
            </w:rPr>
            <w:t xml:space="preserve"> women result</w:t>
          </w:r>
          <w:sdt>
            <w:sdtPr>
              <w:tag w:val="goog_rdk_10"/>
              <w:id w:val="-74358489"/>
            </w:sdtPr>
            <w:sdtContent>
              <w:ins w:id="16" w:author="Vanessa Gabrielle di Lego" w:date="2023-03-31T10:08:00Z">
                <w:r>
                  <w:rPr>
                    <w:rFonts w:ascii="Arial" w:eastAsia="Arial" w:hAnsi="Arial" w:cs="Arial"/>
                    <w:sz w:val="24"/>
                    <w:szCs w:val="24"/>
                  </w:rPr>
                  <w:t>ed</w:t>
                </w:r>
              </w:ins>
            </w:sdtContent>
          </w:sdt>
          <w:sdt>
            <w:sdtPr>
              <w:tag w:val="goog_rdk_11"/>
              <w:id w:val="1989199349"/>
            </w:sdtPr>
            <w:sdtContent>
              <w:del w:id="17" w:author="Vanessa Gabrielle di Lego" w:date="2023-03-31T10:08:00Z">
                <w:r>
                  <w:rPr>
                    <w:rFonts w:ascii="Arial" w:eastAsia="Arial" w:hAnsi="Arial" w:cs="Arial"/>
                    <w:sz w:val="24"/>
                    <w:szCs w:val="24"/>
                  </w:rPr>
                  <w:delText>s</w:delText>
                </w:r>
              </w:del>
            </w:sdtContent>
          </w:sdt>
          <w:r>
            <w:rPr>
              <w:rFonts w:ascii="Arial" w:eastAsia="Arial" w:hAnsi="Arial" w:cs="Arial"/>
              <w:sz w:val="24"/>
              <w:szCs w:val="24"/>
            </w:rPr>
            <w:t xml:space="preserve"> in a small gender gap (22). </w:t>
          </w:r>
          <w:sdt>
            <w:sdtPr>
              <w:tag w:val="goog_rdk_12"/>
              <w:id w:val="-1091395368"/>
            </w:sdtPr>
            <w:sdtContent>
              <w:ins w:id="18" w:author="Vanessa Gabrielle di Lego" w:date="2023-03-31T10:09:00Z">
                <w:r>
                  <w:rPr>
                    <w:rFonts w:ascii="Arial" w:eastAsia="Arial" w:hAnsi="Arial" w:cs="Arial"/>
                    <w:sz w:val="24"/>
                    <w:szCs w:val="24"/>
                  </w:rPr>
                  <w:t>In such cases, i</w:t>
                </w:r>
              </w:ins>
            </w:sdtContent>
          </w:sdt>
          <w:sdt>
            <w:sdtPr>
              <w:tag w:val="goog_rdk_13"/>
              <w:id w:val="-330765706"/>
            </w:sdtPr>
            <w:sdtContent>
              <w:del w:id="19" w:author="Vanessa Gabrielle di Lego" w:date="2023-03-31T10:09:00Z">
                <w:r>
                  <w:rPr>
                    <w:rFonts w:ascii="Arial" w:eastAsia="Arial" w:hAnsi="Arial" w:cs="Arial"/>
                    <w:sz w:val="24"/>
                    <w:szCs w:val="24"/>
                  </w:rPr>
                  <w:delText>I</w:delText>
                </w:r>
              </w:del>
            </w:sdtContent>
          </w:sdt>
          <w:r>
            <w:rPr>
              <w:rFonts w:ascii="Arial" w:eastAsia="Arial" w:hAnsi="Arial" w:cs="Arial"/>
              <w:sz w:val="24"/>
              <w:szCs w:val="24"/>
            </w:rPr>
            <w:t xml:space="preserve">nterpreting </w:t>
          </w:r>
          <w:sdt>
            <w:sdtPr>
              <w:tag w:val="goog_rdk_14"/>
              <w:id w:val="224734132"/>
            </w:sdtPr>
            <w:sdtContent>
              <w:ins w:id="20" w:author="Vanessa Gabrielle di Lego" w:date="2023-03-31T10:09:00Z">
                <w:r>
                  <w:rPr>
                    <w:rFonts w:ascii="Arial" w:eastAsia="Arial" w:hAnsi="Arial" w:cs="Arial"/>
                    <w:sz w:val="24"/>
                    <w:szCs w:val="24"/>
                  </w:rPr>
                  <w:t>a</w:t>
                </w:r>
              </w:ins>
            </w:sdtContent>
          </w:sdt>
          <w:sdt>
            <w:sdtPr>
              <w:tag w:val="goog_rdk_15"/>
              <w:id w:val="-544450640"/>
            </w:sdtPr>
            <w:sdtContent>
              <w:del w:id="21" w:author="Vanessa Gabrielle di Lego" w:date="2023-03-31T10:09:00Z">
                <w:r>
                  <w:rPr>
                    <w:rFonts w:ascii="Arial" w:eastAsia="Arial" w:hAnsi="Arial" w:cs="Arial"/>
                    <w:sz w:val="24"/>
                    <w:szCs w:val="24"/>
                  </w:rPr>
                  <w:delText>the</w:delText>
                </w:r>
              </w:del>
            </w:sdtContent>
          </w:sdt>
          <w:r>
            <w:rPr>
              <w:rFonts w:ascii="Arial" w:eastAsia="Arial" w:hAnsi="Arial" w:cs="Arial"/>
              <w:sz w:val="24"/>
              <w:szCs w:val="24"/>
            </w:rPr>
            <w:t xml:space="preserve"> small gender gap in health expectancy as a metric for low gender inequality </w:t>
          </w:r>
          <w:sdt>
            <w:sdtPr>
              <w:tag w:val="goog_rdk_16"/>
              <w:id w:val="1577475845"/>
            </w:sdtPr>
            <w:sdtContent>
              <w:del w:id="22" w:author="Vanessa Gabrielle di Lego" w:date="2023-03-31T10:09:00Z">
                <w:r>
                  <w:rPr>
                    <w:rFonts w:ascii="Arial" w:eastAsia="Arial" w:hAnsi="Arial" w:cs="Arial"/>
                    <w:sz w:val="24"/>
                    <w:szCs w:val="24"/>
                  </w:rPr>
                  <w:delText xml:space="preserve">would </w:delText>
                </w:r>
              </w:del>
            </w:sdtContent>
          </w:sdt>
          <w:r>
            <w:rPr>
              <w:rFonts w:ascii="Arial" w:eastAsia="Arial" w:hAnsi="Arial" w:cs="Arial"/>
              <w:sz w:val="24"/>
              <w:szCs w:val="24"/>
            </w:rPr>
            <w:t>ignore</w:t>
          </w:r>
          <w:sdt>
            <w:sdtPr>
              <w:tag w:val="goog_rdk_17"/>
              <w:id w:val="-1706010620"/>
            </w:sdtPr>
            <w:sdtContent>
              <w:ins w:id="23" w:author="Vanessa Gabrielle di Lego" w:date="2023-03-31T10:09:00Z">
                <w:r>
                  <w:rPr>
                    <w:rFonts w:ascii="Arial" w:eastAsia="Arial" w:hAnsi="Arial" w:cs="Arial"/>
                    <w:sz w:val="24"/>
                    <w:szCs w:val="24"/>
                  </w:rPr>
                  <w:t>s</w:t>
                </w:r>
              </w:ins>
            </w:sdtContent>
          </w:sdt>
          <w:r>
            <w:rPr>
              <w:rFonts w:ascii="Arial" w:eastAsia="Arial" w:hAnsi="Arial" w:cs="Arial"/>
              <w:sz w:val="24"/>
              <w:szCs w:val="24"/>
            </w:rPr>
            <w:t xml:space="preserve"> the higher burden of disability among women</w:t>
          </w:r>
          <w:sdt>
            <w:sdtPr>
              <w:tag w:val="goog_rdk_18"/>
              <w:id w:val="-687129841"/>
            </w:sdtPr>
            <w:sdtContent>
              <w:ins w:id="24" w:author="Vanessa Gabrielle di Lego" w:date="2023-03-31T10:09:00Z">
                <w:r>
                  <w:rPr>
                    <w:rFonts w:ascii="Arial" w:eastAsia="Arial" w:hAnsi="Arial" w:cs="Arial"/>
                    <w:sz w:val="24"/>
                    <w:szCs w:val="24"/>
                  </w:rPr>
                  <w:t xml:space="preserve"> and disregards the intricate relationship between health and mortality</w:t>
                </w:r>
              </w:ins>
            </w:sdtContent>
          </w:sdt>
          <w:r>
            <w:rPr>
              <w:rFonts w:ascii="Arial" w:eastAsia="Arial" w:hAnsi="Arial" w:cs="Arial"/>
              <w:sz w:val="24"/>
              <w:szCs w:val="24"/>
            </w:rPr>
            <w:t xml:space="preserve">. </w:t>
          </w:r>
          <w:sdt>
            <w:sdtPr>
              <w:tag w:val="goog_rdk_19"/>
              <w:id w:val="245236175"/>
              <w:showingPlcHdr/>
            </w:sdtPr>
            <w:sdtContent>
              <w:r w:rsidR="00B06277">
                <w:t xml:space="preserve">     </w:t>
              </w:r>
            </w:sdtContent>
          </w:sdt>
        </w:p>
      </w:sdtContent>
    </w:sdt>
    <w:sdt>
      <w:sdtPr>
        <w:tag w:val="goog_rdk_23"/>
        <w:id w:val="1564682530"/>
      </w:sdtPr>
      <w:sdtContent>
        <w:p w14:paraId="00000036" w14:textId="77777777" w:rsidR="00B133DD" w:rsidRDefault="00DF7075">
          <w:pPr>
            <w:keepNext/>
            <w:spacing w:after="0" w:line="360" w:lineRule="auto"/>
            <w:jc w:val="both"/>
            <w:rPr>
              <w:del w:id="25" w:author="Vanessa Gabrielle di Lego" w:date="2023-03-31T10:28:00Z"/>
              <w:rFonts w:ascii="Arial" w:eastAsia="Arial" w:hAnsi="Arial" w:cs="Arial"/>
              <w:sz w:val="24"/>
              <w:szCs w:val="24"/>
            </w:rPr>
          </w:pPr>
          <w:sdt>
            <w:sdtPr>
              <w:tag w:val="goog_rdk_22"/>
              <w:id w:val="306987520"/>
            </w:sdtPr>
            <w:sdtContent/>
          </w:sdt>
        </w:p>
      </w:sdtContent>
    </w:sdt>
    <w:p w14:paraId="00000037" w14:textId="77777777" w:rsidR="00B133DD" w:rsidRDefault="00B133DD">
      <w:pPr>
        <w:keepNext/>
        <w:spacing w:after="0" w:line="360" w:lineRule="auto"/>
        <w:jc w:val="both"/>
        <w:rPr>
          <w:rFonts w:ascii="Arial" w:eastAsia="Arial" w:hAnsi="Arial" w:cs="Arial"/>
          <w:sz w:val="24"/>
          <w:szCs w:val="24"/>
        </w:rPr>
      </w:pPr>
    </w:p>
    <w:sdt>
      <w:sdtPr>
        <w:tag w:val="goog_rdk_33"/>
        <w:id w:val="1791930692"/>
      </w:sdtPr>
      <w:sdtContent>
        <w:p w14:paraId="00000038" w14:textId="4A12F111" w:rsidR="00B133DD" w:rsidRDefault="00A50CB3">
          <w:pPr>
            <w:keepNext/>
            <w:spacing w:after="0" w:line="360" w:lineRule="auto"/>
            <w:jc w:val="both"/>
            <w:rPr>
              <w:ins w:id="26" w:author="Vanessa Gabrielle di Lego" w:date="2023-03-31T10:31:00Z"/>
              <w:rFonts w:ascii="Arial" w:eastAsia="Arial" w:hAnsi="Arial" w:cs="Arial"/>
              <w:sz w:val="24"/>
              <w:szCs w:val="24"/>
            </w:rPr>
          </w:pPr>
          <w:r>
            <w:rPr>
              <w:rFonts w:ascii="Arial" w:eastAsia="Arial" w:hAnsi="Arial" w:cs="Arial"/>
              <w:sz w:val="24"/>
              <w:szCs w:val="24"/>
            </w:rPr>
            <w:t xml:space="preserve">To date, </w:t>
          </w:r>
          <w:sdt>
            <w:sdtPr>
              <w:tag w:val="goog_rdk_24"/>
              <w:id w:val="1389688709"/>
            </w:sdtPr>
            <w:sdtContent>
              <w:ins w:id="27" w:author="Vanessa Gabrielle di Lego" w:date="2023-03-31T10:21:00Z">
                <w:r>
                  <w:rPr>
                    <w:rFonts w:ascii="Arial" w:eastAsia="Arial" w:hAnsi="Arial" w:cs="Arial"/>
                    <w:sz w:val="24"/>
                    <w:szCs w:val="24"/>
                  </w:rPr>
                  <w:t xml:space="preserve">studies that have performed decomposition analysis on healthy lifespans have mostly </w:t>
                </w:r>
              </w:ins>
            </w:sdtContent>
          </w:sdt>
          <w:sdt>
            <w:sdtPr>
              <w:tag w:val="goog_rdk_25"/>
              <w:id w:val="427474294"/>
            </w:sdtPr>
            <w:sdtContent>
              <w:del w:id="28" w:author="Vanessa Gabrielle di Lego" w:date="2023-03-31T10:21:00Z">
                <w:r>
                  <w:rPr>
                    <w:rFonts w:ascii="Arial" w:eastAsia="Arial" w:hAnsi="Arial" w:cs="Arial"/>
                    <w:sz w:val="24"/>
                    <w:szCs w:val="24"/>
                  </w:rPr>
                  <w:delText xml:space="preserve">studies </w:delText>
                </w:r>
              </w:del>
            </w:sdtContent>
          </w:sdt>
          <w:r>
            <w:rPr>
              <w:rFonts w:ascii="Arial" w:eastAsia="Arial" w:hAnsi="Arial" w:cs="Arial"/>
              <w:sz w:val="24"/>
              <w:szCs w:val="24"/>
            </w:rPr>
            <w:t>focused on a specific set of countries or regions that usually share the same societal values and gender roles, mostly due to lack of comparable data and the challenging enterprise of comparative analysis on health</w:t>
          </w:r>
          <w:sdt>
            <w:sdtPr>
              <w:tag w:val="goog_rdk_26"/>
              <w:id w:val="-1194226787"/>
            </w:sdtPr>
            <w:sdtContent>
              <w:ins w:id="29" w:author="Vanessa Gabrielle di Lego" w:date="2023-03-31T10:22:00Z">
                <w:r>
                  <w:rPr>
                    <w:rFonts w:ascii="Arial" w:eastAsia="Arial" w:hAnsi="Arial" w:cs="Arial"/>
                    <w:sz w:val="24"/>
                    <w:szCs w:val="24"/>
                  </w:rPr>
                  <w:t xml:space="preserve"> (CITE)</w:t>
                </w:r>
              </w:ins>
            </w:sdtContent>
          </w:sdt>
          <w:r>
            <w:rPr>
              <w:rFonts w:ascii="Arial" w:eastAsia="Arial" w:hAnsi="Arial" w:cs="Arial"/>
              <w:sz w:val="24"/>
              <w:szCs w:val="24"/>
            </w:rPr>
            <w:t>.  In this paper, we take advantage of the harmonized surveys from the Gateway to Global Aging Data (23)</w:t>
          </w:r>
          <w:sdt>
            <w:sdtPr>
              <w:tag w:val="goog_rdk_27"/>
              <w:id w:val="1698888158"/>
            </w:sdtPr>
            <w:sdtContent>
              <w:ins w:id="30" w:author="Vanessa Gabrielle di Lego" w:date="2023-03-31T10:28:00Z">
                <w:r>
                  <w:rPr>
                    <w:rFonts w:ascii="Arial" w:eastAsia="Arial" w:hAnsi="Arial" w:cs="Arial"/>
                    <w:sz w:val="24"/>
                    <w:szCs w:val="24"/>
                  </w:rPr>
                  <w:t>,</w:t>
                </w:r>
              </w:ins>
            </w:sdtContent>
          </w:sdt>
          <w:r>
            <w:rPr>
              <w:rFonts w:ascii="Arial" w:eastAsia="Arial" w:hAnsi="Arial" w:cs="Arial"/>
              <w:sz w:val="24"/>
              <w:szCs w:val="24"/>
            </w:rPr>
            <w:t xml:space="preserve"> in order to estimate the gender gap in health expectancy and quantify the contribution of disability and mortality to gender gaps in health</w:t>
          </w:r>
          <w:sdt>
            <w:sdtPr>
              <w:tag w:val="goog_rdk_29"/>
              <w:id w:val="-315885704"/>
            </w:sdtPr>
            <w:sdtContent>
              <w:ins w:id="31" w:author="Vanessa Gabrielle di Lego" w:date="2023-03-31T10:29:00Z">
                <w:r>
                  <w:rPr>
                    <w:rFonts w:ascii="Arial" w:eastAsia="Arial" w:hAnsi="Arial" w:cs="Arial"/>
                    <w:sz w:val="24"/>
                    <w:szCs w:val="24"/>
                  </w:rPr>
                  <w:t>y lifespans</w:t>
                </w:r>
              </w:ins>
            </w:sdtContent>
          </w:sdt>
          <w:sdt>
            <w:sdtPr>
              <w:tag w:val="goog_rdk_30"/>
              <w:id w:val="677466023"/>
            </w:sdtPr>
            <w:sdtContent>
              <w:del w:id="32" w:author="Vanessa Gabrielle di Lego" w:date="2023-03-31T10:29:00Z">
                <w:r>
                  <w:rPr>
                    <w:rFonts w:ascii="Arial" w:eastAsia="Arial" w:hAnsi="Arial" w:cs="Arial"/>
                    <w:sz w:val="24"/>
                    <w:szCs w:val="24"/>
                  </w:rPr>
                  <w:delText xml:space="preserve"> expectancy</w:delText>
                </w:r>
              </w:del>
            </w:sdtContent>
          </w:sdt>
          <w:r>
            <w:rPr>
              <w:rFonts w:ascii="Arial" w:eastAsia="Arial" w:hAnsi="Arial" w:cs="Arial"/>
              <w:sz w:val="24"/>
              <w:szCs w:val="24"/>
            </w:rPr>
            <w:t xml:space="preserve"> across different countries. This data resource allows for a unique opportunity to perform comparisons among identically defined health variables across several countries. We focus on the U.S., England, South Korea, China, India, Mexico and EU Countries. These countries have specific gender roles</w:t>
          </w:r>
          <w:sdt>
            <w:sdtPr>
              <w:tag w:val="goog_rdk_31"/>
              <w:id w:val="287550866"/>
            </w:sdtPr>
            <w:sdtContent>
              <w:ins w:id="33" w:author="Vanessa Gabrielle di Lego" w:date="2023-03-31T10:29:00Z">
                <w:r>
                  <w:rPr>
                    <w:rFonts w:ascii="Arial" w:eastAsia="Arial" w:hAnsi="Arial" w:cs="Arial"/>
                    <w:sz w:val="24"/>
                    <w:szCs w:val="24"/>
                  </w:rPr>
                  <w:t>, healthcare policies and welfare state systems</w:t>
                </w:r>
              </w:ins>
            </w:sdtContent>
          </w:sdt>
          <w:r>
            <w:rPr>
              <w:rFonts w:ascii="Arial" w:eastAsia="Arial" w:hAnsi="Arial" w:cs="Arial"/>
              <w:sz w:val="24"/>
              <w:szCs w:val="24"/>
            </w:rPr>
            <w:t>, which enable us to investigate the impact of interpreting the gender gap in health and mortality as a measure of inequality in different settings.</w:t>
          </w:r>
          <w:sdt>
            <w:sdtPr>
              <w:tag w:val="goog_rdk_32"/>
              <w:id w:val="374203393"/>
            </w:sdtPr>
            <w:sdtContent/>
          </w:sdt>
        </w:p>
      </w:sdtContent>
    </w:sdt>
    <w:sdt>
      <w:sdtPr>
        <w:tag w:val="goog_rdk_35"/>
        <w:id w:val="1529610603"/>
      </w:sdtPr>
      <w:sdtContent>
        <w:p w14:paraId="00000039" w14:textId="77777777" w:rsidR="00B133DD" w:rsidRDefault="00DF7075">
          <w:pPr>
            <w:keepNext/>
            <w:spacing w:after="0" w:line="360" w:lineRule="auto"/>
            <w:jc w:val="both"/>
            <w:rPr>
              <w:ins w:id="34" w:author="Vanessa Gabrielle di Lego" w:date="2023-03-31T10:31:00Z"/>
              <w:rFonts w:ascii="Arial" w:eastAsia="Arial" w:hAnsi="Arial" w:cs="Arial"/>
              <w:sz w:val="24"/>
              <w:szCs w:val="24"/>
            </w:rPr>
          </w:pPr>
          <w:sdt>
            <w:sdtPr>
              <w:tag w:val="goog_rdk_34"/>
              <w:id w:val="-601885307"/>
            </w:sdtPr>
            <w:sdtContent/>
          </w:sdt>
        </w:p>
      </w:sdtContent>
    </w:sdt>
    <w:p w14:paraId="00000042" w14:textId="6BEE5906" w:rsidR="00B133DD" w:rsidRPr="00EB61E2" w:rsidRDefault="00DF7075" w:rsidP="00EB61E2">
      <w:pPr>
        <w:keepNext/>
        <w:spacing w:after="0" w:line="360" w:lineRule="auto"/>
        <w:jc w:val="both"/>
        <w:rPr>
          <w:rFonts w:ascii="Arial" w:eastAsia="Arial" w:hAnsi="Arial" w:cs="Arial"/>
          <w:sz w:val="24"/>
          <w:szCs w:val="24"/>
        </w:rPr>
      </w:pPr>
      <w:sdt>
        <w:sdtPr>
          <w:tag w:val="goog_rdk_36"/>
          <w:id w:val="-1246949981"/>
        </w:sdtPr>
        <w:sdtContent>
          <w:ins w:id="35" w:author="Vanessa Gabrielle di Lego" w:date="2023-03-31T10:31:00Z">
            <w:r w:rsidR="00A50CB3">
              <w:rPr>
                <w:rFonts w:ascii="Arial" w:eastAsia="Arial" w:hAnsi="Arial" w:cs="Arial"/>
                <w:sz w:val="24"/>
                <w:szCs w:val="24"/>
              </w:rPr>
              <w:t xml:space="preserve">We show how the gender gap in health expectancy for disability and chronic conditions varies greatly across countries and that despite being a simple and </w:t>
            </w:r>
            <w:r w:rsidR="00A50CB3">
              <w:rPr>
                <w:rFonts w:ascii="Arial" w:eastAsia="Arial" w:hAnsi="Arial" w:cs="Arial"/>
                <w:sz w:val="24"/>
                <w:szCs w:val="24"/>
              </w:rPr>
              <w:lastRenderedPageBreak/>
              <w:t>straightforward way to perform cross-country comparisons and monitor progress, gender gaps may not be reflecting actual inequalities when it comes to health. Hence, it is important to take a more cautionary approach when using and interpreting gender gaps in healthy lifespans and go beyond such oversimplified metrics.</w:t>
            </w:r>
          </w:ins>
        </w:sdtContent>
      </w:sdt>
    </w:p>
    <w:p w14:paraId="00000043" w14:textId="77777777"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Results</w:t>
      </w:r>
    </w:p>
    <w:p w14:paraId="00000046"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9639A9" w:rsidRDefault="009639A9" w:rsidP="009639A9">
      <w:pPr>
        <w:keepNext/>
        <w:pBdr>
          <w:top w:val="nil"/>
          <w:left w:val="nil"/>
          <w:bottom w:val="nil"/>
          <w:right w:val="nil"/>
          <w:between w:val="nil"/>
        </w:pBdr>
        <w:spacing w:after="0"/>
        <w:jc w:val="both"/>
        <w:rPr>
          <w:rFonts w:ascii="Arial" w:eastAsia="Arial" w:hAnsi="Arial" w:cs="Arial"/>
          <w:i/>
          <w:sz w:val="24"/>
          <w:szCs w:val="24"/>
        </w:rPr>
      </w:pPr>
      <w:r w:rsidRPr="009639A9">
        <w:rPr>
          <w:rFonts w:ascii="Arial" w:eastAsia="Arial" w:hAnsi="Arial" w:cs="Arial"/>
          <w:i/>
          <w:sz w:val="24"/>
          <w:szCs w:val="24"/>
        </w:rPr>
        <w:t>Age-Specific Prevalence</w:t>
      </w:r>
    </w:p>
    <w:p w14:paraId="2A57974F" w14:textId="77777777" w:rsidR="009639A9" w:rsidRPr="009639A9"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0000004F" w14:textId="61014459" w:rsidR="00B133DD" w:rsidRDefault="009639A9" w:rsidP="009639A9">
      <w:pPr>
        <w:keepNext/>
        <w:pBdr>
          <w:top w:val="nil"/>
          <w:left w:val="nil"/>
          <w:bottom w:val="nil"/>
          <w:right w:val="nil"/>
          <w:between w:val="nil"/>
        </w:pBdr>
        <w:spacing w:after="0" w:line="360" w:lineRule="auto"/>
        <w:jc w:val="both"/>
        <w:rPr>
          <w:rFonts w:ascii="Arial" w:eastAsia="Arial" w:hAnsi="Arial" w:cs="Arial"/>
          <w:sz w:val="24"/>
          <w:szCs w:val="24"/>
        </w:rPr>
      </w:pPr>
      <w:r w:rsidRPr="009639A9">
        <w:rPr>
          <w:rFonts w:ascii="Arial" w:eastAsia="Arial" w:hAnsi="Arial" w:cs="Arial"/>
          <w:sz w:val="24"/>
          <w:szCs w:val="24"/>
        </w:rPr>
        <w:t xml:space="preserve">Using the respective weighted proportions of women and men who report a limitation in activities of daily living (ADL) and of at least one chronic doctor diagnosed disease (Chronic) in the population for each survey, we computed the prevalence of unhealthy individuals for each condition and by 5-year age groups, as shown in Figure 1. The right panel </w:t>
      </w:r>
      <w:r w:rsidR="00067464">
        <w:rPr>
          <w:rFonts w:ascii="Arial" w:eastAsia="Arial" w:hAnsi="Arial" w:cs="Arial"/>
          <w:sz w:val="24"/>
          <w:szCs w:val="24"/>
        </w:rPr>
        <w:t>presents</w:t>
      </w:r>
      <w:r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for all conditions)</w:t>
      </w:r>
      <w:r w:rsidRPr="009639A9">
        <w:rPr>
          <w:rFonts w:ascii="Arial" w:eastAsia="Arial" w:hAnsi="Arial" w:cs="Arial"/>
          <w:sz w:val="24"/>
          <w:szCs w:val="24"/>
        </w:rPr>
        <w:t xml:space="preserve">. Overall, the prevalence of ADLs increases with age for both women and men, with a steeper increase happening from ages 70+ in most countries. </w:t>
      </w:r>
      <w:r w:rsidR="006E3BBD">
        <w:rPr>
          <w:rFonts w:ascii="Arial" w:eastAsia="Arial" w:hAnsi="Arial" w:cs="Arial"/>
          <w:sz w:val="24"/>
          <w:szCs w:val="24"/>
        </w:rPr>
        <w:t>Across all countries,</w:t>
      </w:r>
      <w:r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Pr="009639A9">
        <w:rPr>
          <w:rFonts w:ascii="Arial" w:eastAsia="Arial" w:hAnsi="Arial" w:cs="Arial"/>
          <w:sz w:val="24"/>
          <w:szCs w:val="24"/>
        </w:rPr>
        <w:t xml:space="preserve"> which are the low and high levels, respectively, for both women and men. The US age pattern falls between Korea and England.</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r w:rsidR="00E404EF">
        <w:rPr>
          <w:rFonts w:ascii="Arial" w:eastAsia="Arial" w:hAnsi="Arial" w:cs="Arial"/>
          <w:sz w:val="24"/>
          <w:szCs w:val="24"/>
        </w:rPr>
        <w:t xml:space="preserve"> </w:t>
      </w:r>
      <w:r w:rsidR="00E404EF" w:rsidRPr="00E404EF">
        <w:rPr>
          <w:rFonts w:ascii="Arial" w:eastAsia="Arial" w:hAnsi="Arial" w:cs="Arial"/>
          <w:sz w:val="24"/>
          <w:szCs w:val="24"/>
        </w:rPr>
        <w:t xml:space="preserve">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increasing at a much faster pace. Chinese and Indian women </w:t>
      </w:r>
      <w:r w:rsidR="00E404EF" w:rsidRPr="00E404EF">
        <w:rPr>
          <w:rFonts w:ascii="Arial" w:eastAsia="Arial" w:hAnsi="Arial" w:cs="Arial"/>
          <w:sz w:val="24"/>
          <w:szCs w:val="24"/>
        </w:rPr>
        <w:lastRenderedPageBreak/>
        <w:t>have a prevalence rate level at ages 60-65 that is only observed at ages 70-75 for men, a gap of almost 10 years.</w:t>
      </w: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0DDF6BDF">
            <wp:extent cx="5486400" cy="4370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370705"/>
                    </a:xfrm>
                    <a:prstGeom prst="rect">
                      <a:avLst/>
                    </a:prstGeom>
                  </pic:spPr>
                </pic:pic>
              </a:graphicData>
            </a:graphic>
          </wp:inline>
        </w:drawing>
      </w:r>
    </w:p>
    <w:p w14:paraId="465763AF" w14:textId="77777777"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22D21B07"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 xml:space="preserve">First, the prevalence of having at least one chronic condition is higher than experiencing limitation in daily activities already at age 50 and increases at all ages for both </w:t>
      </w:r>
      <w:r w:rsidR="00D360A8" w:rsidRPr="00D360A8">
        <w:rPr>
          <w:rFonts w:ascii="Arial" w:eastAsia="Arial" w:hAnsi="Arial" w:cs="Arial"/>
          <w:sz w:val="24"/>
          <w:szCs w:val="24"/>
        </w:rPr>
        <w:lastRenderedPageBreak/>
        <w:t>women and men at all countries. The US has the highest prevalence for women and men at all ages compared to</w:t>
      </w:r>
      <w:r w:rsidR="00E055FE">
        <w:rPr>
          <w:rFonts w:ascii="Arial" w:eastAsia="Arial" w:hAnsi="Arial" w:cs="Arial"/>
          <w:sz w:val="24"/>
          <w:szCs w:val="24"/>
        </w:rPr>
        <w:t xml:space="preserve"> the other</w:t>
      </w:r>
      <w:r w:rsidR="00D360A8" w:rsidRPr="00D360A8">
        <w:rPr>
          <w:rFonts w:ascii="Arial" w:eastAsia="Arial" w:hAnsi="Arial" w:cs="Arial"/>
          <w:sz w:val="24"/>
          <w:szCs w:val="24"/>
        </w:rPr>
        <w:t xml:space="preserve"> countries. China is right after the US with the highest prevalence at relatively younger ages (50-60), but then levels off, while other countries still experience and increase in prevalence with age. After age 60, the country with the lowest prevalence of at least one chronic condition is India. Among the countries in the European region, Portugal and Poland are the ones with the highest prevalence of at least one chronic condition at ages above 60</w:t>
      </w:r>
      <w:r w:rsidR="00451F62">
        <w:rPr>
          <w:rFonts w:ascii="Arial" w:eastAsia="Arial" w:hAnsi="Arial" w:cs="Arial"/>
          <w:sz w:val="24"/>
          <w:szCs w:val="24"/>
        </w:rPr>
        <w:t xml:space="preserve">, </w:t>
      </w:r>
      <w:r w:rsidR="00451F62" w:rsidRPr="00D360A8">
        <w:rPr>
          <w:rFonts w:ascii="Arial" w:eastAsia="Arial" w:hAnsi="Arial" w:cs="Arial"/>
          <w:sz w:val="24"/>
          <w:szCs w:val="24"/>
        </w:rPr>
        <w:t xml:space="preserve">as shown in the heat map in </w:t>
      </w:r>
      <w:r w:rsidR="00451F62">
        <w:rPr>
          <w:rFonts w:ascii="Arial" w:eastAsia="Arial" w:hAnsi="Arial" w:cs="Arial"/>
          <w:sz w:val="24"/>
          <w:szCs w:val="24"/>
        </w:rPr>
        <w:t>Panel A</w:t>
      </w:r>
      <w:r w:rsidR="00A80760">
        <w:rPr>
          <w:rFonts w:ascii="Arial" w:eastAsia="Arial" w:hAnsi="Arial" w:cs="Arial"/>
          <w:sz w:val="24"/>
          <w:szCs w:val="24"/>
        </w:rPr>
        <w:t xml:space="preserve"> of Figure 1</w:t>
      </w:r>
      <w:r w:rsidR="00451F62">
        <w:rPr>
          <w:rFonts w:ascii="Arial" w:eastAsia="Arial" w:hAnsi="Arial" w:cs="Arial"/>
          <w:sz w:val="24"/>
          <w:szCs w:val="24"/>
        </w:rPr>
        <w:t xml:space="preserve">. </w:t>
      </w:r>
      <w:r w:rsidR="00CC54E3">
        <w:rPr>
          <w:rFonts w:ascii="Arial" w:eastAsia="Arial" w:hAnsi="Arial" w:cs="Arial"/>
          <w:sz w:val="24"/>
          <w:szCs w:val="24"/>
        </w:rPr>
        <w:t xml:space="preserve">India </w:t>
      </w:r>
      <w:r w:rsidR="00A80760">
        <w:rPr>
          <w:rFonts w:ascii="Arial" w:eastAsia="Arial" w:hAnsi="Arial" w:cs="Arial"/>
          <w:sz w:val="24"/>
          <w:szCs w:val="24"/>
        </w:rPr>
        <w:t>is the country with</w:t>
      </w:r>
      <w:r w:rsidR="00CC54E3">
        <w:rPr>
          <w:rFonts w:ascii="Arial" w:eastAsia="Arial" w:hAnsi="Arial" w:cs="Arial"/>
          <w:sz w:val="24"/>
          <w:szCs w:val="24"/>
        </w:rPr>
        <w:t xml:space="preserve"> the lowest </w:t>
      </w:r>
      <w:r w:rsidR="00A80760">
        <w:rPr>
          <w:rFonts w:ascii="Arial" w:eastAsia="Arial" w:hAnsi="Arial" w:cs="Arial"/>
          <w:sz w:val="24"/>
          <w:szCs w:val="24"/>
        </w:rPr>
        <w:t>levels of chronic condition by age, while</w:t>
      </w:r>
      <w:r w:rsidR="00CC54E3">
        <w:rPr>
          <w:rFonts w:ascii="Arial" w:eastAsia="Arial" w:hAnsi="Arial" w:cs="Arial"/>
          <w:sz w:val="24"/>
          <w:szCs w:val="24"/>
        </w:rPr>
        <w:t xml:space="preserve"> US, Europe and China the highest, followed closely by Korea.</w:t>
      </w:r>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AAC2CB5" w:rsidR="00A80760" w:rsidRPr="00A80760" w:rsidRDefault="00322FE2" w:rsidP="00A80760">
      <w:pPr>
        <w:keepNext/>
        <w:pBdr>
          <w:top w:val="nil"/>
          <w:left w:val="nil"/>
          <w:bottom w:val="nil"/>
          <w:right w:val="nil"/>
          <w:between w:val="nil"/>
        </w:pBdr>
        <w:spacing w:after="0" w:line="360" w:lineRule="auto"/>
        <w:jc w:val="both"/>
        <w:rPr>
          <w:rFonts w:ascii="Arial" w:eastAsia="Arial" w:hAnsi="Arial" w:cs="Arial"/>
          <w:i/>
          <w:sz w:val="24"/>
          <w:szCs w:val="24"/>
        </w:rPr>
      </w:pPr>
      <w:r>
        <w:rPr>
          <w:rFonts w:ascii="Arial" w:eastAsia="Arial" w:hAnsi="Arial" w:cs="Arial"/>
          <w:i/>
          <w:sz w:val="24"/>
          <w:szCs w:val="24"/>
        </w:rPr>
        <w:t>Estimating and d</w:t>
      </w:r>
      <w:r w:rsidR="00A80760" w:rsidRPr="00A80760">
        <w:rPr>
          <w:rFonts w:ascii="Arial" w:eastAsia="Arial" w:hAnsi="Arial" w:cs="Arial"/>
          <w:i/>
          <w:sz w:val="24"/>
          <w:szCs w:val="24"/>
        </w:rPr>
        <w:t xml:space="preserve">ecomposing the </w:t>
      </w:r>
      <w:r>
        <w:rPr>
          <w:rFonts w:ascii="Arial" w:eastAsia="Arial" w:hAnsi="Arial" w:cs="Arial"/>
          <w:i/>
          <w:sz w:val="24"/>
          <w:szCs w:val="24"/>
        </w:rPr>
        <w:t xml:space="preserve">gender </w:t>
      </w:r>
      <w:r w:rsidR="00A80760" w:rsidRPr="00A80760">
        <w:rPr>
          <w:rFonts w:ascii="Arial" w:eastAsia="Arial" w:hAnsi="Arial" w:cs="Arial"/>
          <w:i/>
          <w:sz w:val="24"/>
          <w:szCs w:val="24"/>
        </w:rPr>
        <w:t>gap into contributions of mortality, disability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FB66E83" w14:textId="01DB15C9" w:rsidR="00A80760" w:rsidRDefault="005A0906"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We </w:t>
      </w:r>
      <w:r w:rsidR="00A80760" w:rsidRPr="00A80760">
        <w:rPr>
          <w:rFonts w:ascii="Arial" w:eastAsia="Arial" w:hAnsi="Arial" w:cs="Arial"/>
          <w:sz w:val="24"/>
          <w:szCs w:val="24"/>
        </w:rPr>
        <w:t>combine the age-specific prevalence</w:t>
      </w:r>
      <w:r w:rsidR="00A42A07">
        <w:rPr>
          <w:rFonts w:ascii="Arial" w:eastAsia="Arial" w:hAnsi="Arial" w:cs="Arial"/>
          <w:sz w:val="24"/>
          <w:szCs w:val="24"/>
        </w:rPr>
        <w:t xml:space="preserve"> estimated in Figure 1</w:t>
      </w:r>
      <w:r w:rsidR="00A80760" w:rsidRPr="00A80760">
        <w:rPr>
          <w:rFonts w:ascii="Arial" w:eastAsia="Arial" w:hAnsi="Arial" w:cs="Arial"/>
          <w:sz w:val="24"/>
          <w:szCs w:val="24"/>
        </w:rPr>
        <w:t xml:space="preserve"> with the respective life</w:t>
      </w:r>
      <w:r w:rsidR="00A42A07">
        <w:rPr>
          <w:rFonts w:ascii="Arial" w:eastAsia="Arial" w:hAnsi="Arial" w:cs="Arial"/>
          <w:sz w:val="24"/>
          <w:szCs w:val="24"/>
        </w:rPr>
        <w:t xml:space="preserve"> </w:t>
      </w:r>
      <w:r w:rsidR="00A80760" w:rsidRPr="00A80760">
        <w:rPr>
          <w:rFonts w:ascii="Arial" w:eastAsia="Arial" w:hAnsi="Arial" w:cs="Arial"/>
          <w:sz w:val="24"/>
          <w:szCs w:val="24"/>
        </w:rPr>
        <w:t>tables for each country in order to derive disability-free life expectancy (DFLE) and chronic-free life expectancy (CFLE)</w:t>
      </w:r>
      <w:r w:rsidR="00A42A07">
        <w:rPr>
          <w:rFonts w:ascii="Arial" w:eastAsia="Arial" w:hAnsi="Arial" w:cs="Arial"/>
          <w:sz w:val="24"/>
          <w:szCs w:val="24"/>
        </w:rPr>
        <w:t xml:space="preserve"> (see details in the Methods section)</w:t>
      </w:r>
      <w:r w:rsidR="00A80760" w:rsidRPr="00A80760">
        <w:rPr>
          <w:rFonts w:ascii="Arial" w:eastAsia="Arial" w:hAnsi="Arial" w:cs="Arial"/>
          <w:sz w:val="24"/>
          <w:szCs w:val="24"/>
        </w:rPr>
        <w:t>. Afterwards, the continuous change decomposition method is implemented to split gender differences in healthy life expectancy into mortality and disability/chronic disease effects by age.</w:t>
      </w:r>
    </w:p>
    <w:p w14:paraId="1AADB089" w14:textId="77777777" w:rsidR="00BB0F2C" w:rsidRPr="00A80760" w:rsidRDefault="00BB0F2C"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C5C330E" w14:textId="1D56A756" w:rsidR="00CB15D6"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sidR="00CB15D6">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r w:rsidR="00322FE2">
        <w:rPr>
          <w:rFonts w:ascii="Arial" w:eastAsia="Arial" w:hAnsi="Arial" w:cs="Arial"/>
          <w:sz w:val="24"/>
          <w:szCs w:val="24"/>
        </w:rPr>
        <w:t xml:space="preserve">above 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In Panel A, </w:t>
      </w:r>
      <w:r w:rsidR="00F14BF8">
        <w:rPr>
          <w:rFonts w:ascii="Arial" w:eastAsia="Arial" w:hAnsi="Arial" w:cs="Arial"/>
          <w:sz w:val="24"/>
          <w:szCs w:val="24"/>
        </w:rPr>
        <w:t>all</w:t>
      </w:r>
      <w:r w:rsidR="00BF094D">
        <w:rPr>
          <w:rFonts w:ascii="Arial" w:eastAsia="Arial" w:hAnsi="Arial" w:cs="Arial"/>
          <w:sz w:val="24"/>
          <w:szCs w:val="24"/>
        </w:rPr>
        <w:t xml:space="preserve"> countries and the mortality and disability effects at ages 60+</w:t>
      </w:r>
      <w:r w:rsidR="00F14BF8">
        <w:rPr>
          <w:rFonts w:ascii="Arial" w:eastAsia="Arial" w:hAnsi="Arial" w:cs="Arial"/>
          <w:sz w:val="24"/>
          <w:szCs w:val="24"/>
        </w:rPr>
        <w:t xml:space="preserve"> are shown</w:t>
      </w:r>
      <w:r w:rsidR="00BF094D">
        <w:rPr>
          <w:rFonts w:ascii="Arial" w:eastAsia="Arial" w:hAnsi="Arial" w:cs="Arial"/>
          <w:sz w:val="24"/>
          <w:szCs w:val="24"/>
        </w:rPr>
        <w:t>. T</w:t>
      </w:r>
      <w:r w:rsidR="00CB15D6">
        <w:rPr>
          <w:rFonts w:ascii="Arial" w:eastAsia="Arial" w:hAnsi="Arial" w:cs="Arial"/>
          <w:sz w:val="24"/>
          <w:szCs w:val="24"/>
        </w:rPr>
        <w:t xml:space="preserve">he sum of the 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t>
      </w:r>
      <w:r w:rsidR="00183C30">
        <w:rPr>
          <w:rFonts w:ascii="Arial" w:eastAsia="Arial" w:hAnsi="Arial" w:cs="Arial"/>
          <w:sz w:val="24"/>
          <w:szCs w:val="24"/>
        </w:rPr>
        <w:lastRenderedPageBreak/>
        <w:t>(women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(with the exception of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08BB10F9"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8480C4B" w:rsidR="00B133DD" w:rsidRDefault="00227F78">
      <w:pPr>
        <w:keepNext/>
        <w:spacing w:before="240" w:after="240" w:line="360" w:lineRule="auto"/>
        <w:jc w:val="both"/>
        <w:rPr>
          <w:rFonts w:ascii="Georgia" w:eastAsia="Georgia" w:hAnsi="Georgia" w:cs="Georgia"/>
          <w:b/>
          <w:sz w:val="24"/>
          <w:szCs w:val="24"/>
          <w:highlight w:val="white"/>
        </w:rPr>
      </w:pPr>
      <w:r>
        <w:rPr>
          <w:rFonts w:ascii="Georgia" w:eastAsia="Georgia" w:hAnsi="Georgia" w:cs="Georgia"/>
          <w:b/>
          <w:noProof/>
          <w:sz w:val="24"/>
          <w:szCs w:val="24"/>
        </w:rPr>
        <w:drawing>
          <wp:inline distT="0" distB="0" distL="0" distR="0" wp14:anchorId="7F0C9ED7" wp14:editId="13EB29E7">
            <wp:extent cx="5531000" cy="29985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1332" cy="3014963"/>
                    </a:xfrm>
                    <a:prstGeom prst="rect">
                      <a:avLst/>
                    </a:prstGeom>
                  </pic:spPr>
                </pic:pic>
              </a:graphicData>
            </a:graphic>
          </wp:inline>
        </w:drawing>
      </w:r>
    </w:p>
    <w:p w14:paraId="00000055" w14:textId="6C3FCFCA" w:rsidR="00B133DD" w:rsidRPr="0034087B"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in disability-free life expectancy (DFLE) at ages 60+ into mortality and disability effects by country. </w:t>
      </w:r>
      <w:r>
        <w:rPr>
          <w:rFonts w:ascii="Arial" w:eastAsia="Arial" w:hAnsi="Arial" w:cs="Arial"/>
          <w:sz w:val="18"/>
          <w:szCs w:val="18"/>
          <w:highlight w:val="white"/>
        </w:rPr>
        <w:t xml:space="preserve">Note: Panel A presents the effects by each country, ranked from the highest to lowest disability contribution. Panel B presents </w:t>
      </w:r>
      <w:r>
        <w:rPr>
          <w:rFonts w:ascii="Arial" w:eastAsia="Arial" w:hAnsi="Arial" w:cs="Arial"/>
          <w:sz w:val="18"/>
          <w:szCs w:val="18"/>
          <w:highlight w:val="white"/>
        </w:rPr>
        <w:lastRenderedPageBreak/>
        <w:t>selected countries, grouped by their GAP in DFLE (Women-Men) and the contributions of disability and mortality to the total GAP.</w:t>
      </w:r>
    </w:p>
    <w:p w14:paraId="3126A44C" w14:textId="77777777" w:rsidR="00812D86" w:rsidRDefault="00812D86" w:rsidP="00F2560C">
      <w:pPr>
        <w:keepNext/>
        <w:pBdr>
          <w:top w:val="nil"/>
          <w:left w:val="nil"/>
          <w:bottom w:val="nil"/>
          <w:right w:val="nil"/>
          <w:between w:val="nil"/>
        </w:pBdr>
        <w:spacing w:after="0" w:line="360" w:lineRule="auto"/>
        <w:jc w:val="both"/>
        <w:rPr>
          <w:rFonts w:ascii="Arial" w:eastAsia="Arial" w:hAnsi="Arial" w:cs="Arial"/>
          <w:sz w:val="24"/>
          <w:szCs w:val="24"/>
        </w:rPr>
      </w:pPr>
    </w:p>
    <w:p w14:paraId="5B278493" w14:textId="060AB745"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years),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 in favor of women</w:t>
      </w:r>
      <w:r>
        <w:rPr>
          <w:rFonts w:ascii="Arial" w:eastAsia="Arial" w:hAnsi="Arial" w:cs="Arial"/>
          <w:sz w:val="24"/>
          <w:szCs w:val="24"/>
        </w:rPr>
        <w:t xml:space="preserve"> </w:t>
      </w:r>
      <w:r w:rsidRPr="00A80760">
        <w:rPr>
          <w:rFonts w:ascii="Arial" w:eastAsia="Arial" w:hAnsi="Arial" w:cs="Arial"/>
          <w:sz w:val="24"/>
          <w:szCs w:val="24"/>
        </w:rPr>
        <w:t>(4.39 years). The contribution stems mainly from the mortality advantage of women in Korea (4.74 against -0.35 the role of disability)</w:t>
      </w:r>
      <w:r w:rsidR="00036D14">
        <w:rPr>
          <w:rFonts w:ascii="Arial" w:eastAsia="Arial" w:hAnsi="Arial" w:cs="Arial"/>
          <w:sz w:val="24"/>
          <w:szCs w:val="24"/>
        </w:rPr>
        <w:t xml:space="preserve">. The mortality advantage of women in Denmark is also the key factor in 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w:t>
      </w:r>
      <w:r w:rsidR="003F62F1">
        <w:rPr>
          <w:rFonts w:ascii="Arial" w:eastAsia="Arial" w:hAnsi="Arial" w:cs="Arial"/>
          <w:sz w:val="24"/>
          <w:szCs w:val="24"/>
          <w:highlight w:val="white"/>
        </w:rPr>
        <w:lastRenderedPageBreak/>
        <w:t>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5928433E" w:rsidR="00B133DD" w:rsidRDefault="004A558D">
      <w:pPr>
        <w:keepNext/>
        <w:spacing w:before="240" w:after="240" w:line="360" w:lineRule="auto"/>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78A878BD" wp14:editId="37233126">
            <wp:extent cx="5597743" cy="295695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9109" cy="2962960"/>
                    </a:xfrm>
                    <a:prstGeom prst="rect">
                      <a:avLst/>
                    </a:prstGeom>
                  </pic:spPr>
                </pic:pic>
              </a:graphicData>
            </a:graphic>
          </wp:inline>
        </w:drawing>
      </w:r>
    </w:p>
    <w:p w14:paraId="00000057" w14:textId="67B058BF"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in chronic disease-free life expectancy (CFLE) at ages 60+ into mortality and chronic effects by country. </w:t>
      </w:r>
      <w:r>
        <w:rPr>
          <w:rFonts w:ascii="Arial" w:eastAsia="Arial" w:hAnsi="Arial" w:cs="Arial"/>
          <w:sz w:val="18"/>
          <w:szCs w:val="18"/>
          <w:highlight w:val="white"/>
        </w:rPr>
        <w:t>Note: Panel A presents the effects by each country, ranked from the highest to lowest chronic disease contribution. Panel B presents selected countries, grouped by their GAP in CFLE (Women-Men) and the contributions of chronic and mortality to the total GAP.</w:t>
      </w:r>
    </w:p>
    <w:p w14:paraId="00000058" w14:textId="05DE691E" w:rsidR="00B133DD"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 </w:t>
      </w:r>
      <w:r w:rsidR="002115EB">
        <w:rPr>
          <w:rFonts w:ascii="Arial" w:eastAsia="Arial" w:hAnsi="Arial" w:cs="Arial"/>
          <w:sz w:val="24"/>
          <w:szCs w:val="24"/>
          <w:highlight w:val="white"/>
        </w:rPr>
        <w:lastRenderedPageBreak/>
        <w:t>when it comes to chronic disease</w:t>
      </w:r>
      <w:r w:rsidR="00BC298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00000059" w14:textId="77777777"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in disability-free life expectancy (DFLE) at ages 60+ into mortality and disability effects by country, with 95% confidence intervals.</w:t>
      </w:r>
    </w:p>
    <w:tbl>
      <w:tblPr>
        <w:tblStyle w:val="a"/>
        <w:tblW w:w="10594" w:type="dxa"/>
        <w:tblLayout w:type="fixed"/>
        <w:tblLook w:val="0400" w:firstRow="0" w:lastRow="0" w:firstColumn="0" w:lastColumn="0" w:noHBand="0" w:noVBand="1"/>
      </w:tblPr>
      <w:tblGrid>
        <w:gridCol w:w="1679"/>
        <w:gridCol w:w="786"/>
        <w:gridCol w:w="909"/>
        <w:gridCol w:w="1490"/>
        <w:gridCol w:w="1225"/>
        <w:gridCol w:w="1385"/>
        <w:gridCol w:w="1281"/>
        <w:gridCol w:w="1574"/>
        <w:gridCol w:w="265"/>
      </w:tblGrid>
      <w:tr w:rsidR="00B133DD" w14:paraId="2B1963DA" w14:textId="77777777" w:rsidTr="007E0FF4">
        <w:trPr>
          <w:gridAfter w:val="1"/>
          <w:wAfter w:w="263" w:type="dxa"/>
          <w:trHeight w:val="214"/>
        </w:trPr>
        <w:tc>
          <w:tcPr>
            <w:tcW w:w="1680"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87"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09"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90"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465"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7E0FF4">
        <w:trPr>
          <w:gridAfter w:val="1"/>
          <w:wAfter w:w="265" w:type="dxa"/>
          <w:trHeight w:val="427"/>
        </w:trPr>
        <w:tc>
          <w:tcPr>
            <w:tcW w:w="1680"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87"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09"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90"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85"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8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72"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7E0FF4">
        <w:trPr>
          <w:trHeight w:val="206"/>
        </w:trPr>
        <w:tc>
          <w:tcPr>
            <w:tcW w:w="1680"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87"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09"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90"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85"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8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72"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5"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7E0FF4">
        <w:trPr>
          <w:trHeight w:val="206"/>
        </w:trPr>
        <w:tc>
          <w:tcPr>
            <w:tcW w:w="1680"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87"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09"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90"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225"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85"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8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72"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65"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7E0FF4">
        <w:trPr>
          <w:trHeight w:val="214"/>
        </w:trPr>
        <w:tc>
          <w:tcPr>
            <w:tcW w:w="1680"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87"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09"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90"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225"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85"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8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72"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65"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7E0FF4">
        <w:trPr>
          <w:trHeight w:val="206"/>
        </w:trPr>
        <w:tc>
          <w:tcPr>
            <w:tcW w:w="1680"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87"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09"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90"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225"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85"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8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72"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65"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7E0FF4">
        <w:trPr>
          <w:trHeight w:val="206"/>
        </w:trPr>
        <w:tc>
          <w:tcPr>
            <w:tcW w:w="1680"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87"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09"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90"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225"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85"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8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72"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65"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7E0FF4">
        <w:trPr>
          <w:trHeight w:val="206"/>
        </w:trPr>
        <w:tc>
          <w:tcPr>
            <w:tcW w:w="1680"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87"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09"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90"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225"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85"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8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72"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65"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7E0FF4">
        <w:trPr>
          <w:trHeight w:val="206"/>
        </w:trPr>
        <w:tc>
          <w:tcPr>
            <w:tcW w:w="1680"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87"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09"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90"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225"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85"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8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72"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65"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7E0FF4">
        <w:trPr>
          <w:trHeight w:val="206"/>
        </w:trPr>
        <w:tc>
          <w:tcPr>
            <w:tcW w:w="1680"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87"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909"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90"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85"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8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72"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65"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7E0FF4">
        <w:trPr>
          <w:trHeight w:val="214"/>
        </w:trPr>
        <w:tc>
          <w:tcPr>
            <w:tcW w:w="1680"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87"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09"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90"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225"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85"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8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72"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65"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7E0FF4">
        <w:trPr>
          <w:trHeight w:val="206"/>
        </w:trPr>
        <w:tc>
          <w:tcPr>
            <w:tcW w:w="1680"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87"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09"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90"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225"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85"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8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72"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65"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7E0FF4">
        <w:trPr>
          <w:trHeight w:val="206"/>
        </w:trPr>
        <w:tc>
          <w:tcPr>
            <w:tcW w:w="1680"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87"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09"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90"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225"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85"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8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72"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65"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7E0FF4">
        <w:trPr>
          <w:trHeight w:val="206"/>
        </w:trPr>
        <w:tc>
          <w:tcPr>
            <w:tcW w:w="1680"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87"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09"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90"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225"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85"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8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72"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65"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7E0FF4">
        <w:trPr>
          <w:trHeight w:val="206"/>
        </w:trPr>
        <w:tc>
          <w:tcPr>
            <w:tcW w:w="1680"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87"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09"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90"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225"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85"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8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72"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65"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7E0FF4">
        <w:trPr>
          <w:trHeight w:val="206"/>
        </w:trPr>
        <w:tc>
          <w:tcPr>
            <w:tcW w:w="1680"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87"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09"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90"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225"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85"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8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72"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65"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7E0FF4">
        <w:trPr>
          <w:trHeight w:val="206"/>
        </w:trPr>
        <w:tc>
          <w:tcPr>
            <w:tcW w:w="1680"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87"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09"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90"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225"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85"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8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72"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65"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7E0FF4">
        <w:trPr>
          <w:trHeight w:val="206"/>
        </w:trPr>
        <w:tc>
          <w:tcPr>
            <w:tcW w:w="1680"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87"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09"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90"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225"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85"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8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72"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65"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7E0FF4">
        <w:trPr>
          <w:trHeight w:val="206"/>
        </w:trPr>
        <w:tc>
          <w:tcPr>
            <w:tcW w:w="1680"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87"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09"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90"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225"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85"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8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72"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65"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7E0FF4">
        <w:trPr>
          <w:trHeight w:val="206"/>
        </w:trPr>
        <w:tc>
          <w:tcPr>
            <w:tcW w:w="1680"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87"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09"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90"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225"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85"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8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72"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65"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7E0FF4">
        <w:trPr>
          <w:trHeight w:val="206"/>
        </w:trPr>
        <w:tc>
          <w:tcPr>
            <w:tcW w:w="1680"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87"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09"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90"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225"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85"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8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72"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65"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7E0FF4">
        <w:trPr>
          <w:trHeight w:val="206"/>
        </w:trPr>
        <w:tc>
          <w:tcPr>
            <w:tcW w:w="1680"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87"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09"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90"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225"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85"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8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72"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65"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7E0FF4">
        <w:trPr>
          <w:trHeight w:val="206"/>
        </w:trPr>
        <w:tc>
          <w:tcPr>
            <w:tcW w:w="1680"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87"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09"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90"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225"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85"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8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72"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65"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7E0FF4">
        <w:trPr>
          <w:trHeight w:val="206"/>
        </w:trPr>
        <w:tc>
          <w:tcPr>
            <w:tcW w:w="1680"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87"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09"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90"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225"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85"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8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72"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65"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7E0FF4">
        <w:trPr>
          <w:trHeight w:val="206"/>
        </w:trPr>
        <w:tc>
          <w:tcPr>
            <w:tcW w:w="1680"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87"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09"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90"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225"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85"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8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72"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65"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7E0FF4">
        <w:trPr>
          <w:trHeight w:val="206"/>
        </w:trPr>
        <w:tc>
          <w:tcPr>
            <w:tcW w:w="1680"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87"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09"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90"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225"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85"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8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72"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65"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7E0FF4">
        <w:trPr>
          <w:trHeight w:val="206"/>
        </w:trPr>
        <w:tc>
          <w:tcPr>
            <w:tcW w:w="1680"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87"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09"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90"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225"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85"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8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72"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65"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7E0FF4">
        <w:trPr>
          <w:trHeight w:val="206"/>
        </w:trPr>
        <w:tc>
          <w:tcPr>
            <w:tcW w:w="1680"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87"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09"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90"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225"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85"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8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72"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65"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7E0FF4">
        <w:trPr>
          <w:trHeight w:val="206"/>
        </w:trPr>
        <w:tc>
          <w:tcPr>
            <w:tcW w:w="1680"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87"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09"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90"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225"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85"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8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72"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65"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7E0FF4">
        <w:trPr>
          <w:trHeight w:val="206"/>
        </w:trPr>
        <w:tc>
          <w:tcPr>
            <w:tcW w:w="1680"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87"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909"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90"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225"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85"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8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72"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65"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00000166" w14:textId="77777777" w:rsidR="00B133DD" w:rsidRDefault="00B133DD">
      <w:pPr>
        <w:keepNext/>
        <w:spacing w:before="240" w:after="240" w:line="360" w:lineRule="auto"/>
        <w:jc w:val="both"/>
        <w:rPr>
          <w:rFonts w:ascii="Arial" w:eastAsia="Arial" w:hAnsi="Arial" w:cs="Arial"/>
          <w:b/>
          <w:sz w:val="24"/>
          <w:szCs w:val="24"/>
          <w:highlight w:val="white"/>
        </w:rPr>
      </w:pPr>
    </w:p>
    <w:p w14:paraId="00000167" w14:textId="77777777"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 in chronic disease-free life expectancy (CFLE) at ages 60+ into mortality and disability effects by country, with 95% confidence intervals.</w:t>
      </w:r>
    </w:p>
    <w:tbl>
      <w:tblPr>
        <w:tblStyle w:val="a0"/>
        <w:tblW w:w="10627" w:type="dxa"/>
        <w:tblLayout w:type="fixed"/>
        <w:tblLook w:val="0400" w:firstRow="0" w:lastRow="0" w:firstColumn="0" w:lastColumn="0" w:noHBand="0" w:noVBand="1"/>
      </w:tblPr>
      <w:tblGrid>
        <w:gridCol w:w="1722"/>
        <w:gridCol w:w="770"/>
        <w:gridCol w:w="935"/>
        <w:gridCol w:w="1578"/>
        <w:gridCol w:w="1257"/>
        <w:gridCol w:w="1366"/>
        <w:gridCol w:w="1170"/>
        <w:gridCol w:w="1561"/>
        <w:gridCol w:w="268"/>
      </w:tblGrid>
      <w:tr w:rsidR="00B133DD" w14:paraId="4B4065DC" w14:textId="77777777" w:rsidTr="00972727">
        <w:trPr>
          <w:gridAfter w:val="1"/>
          <w:wAfter w:w="268" w:type="dxa"/>
          <w:trHeight w:val="61"/>
        </w:trPr>
        <w:tc>
          <w:tcPr>
            <w:tcW w:w="1722"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7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35"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78"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354"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972727">
        <w:trPr>
          <w:gridAfter w:val="1"/>
          <w:wAfter w:w="268" w:type="dxa"/>
          <w:trHeight w:val="291"/>
        </w:trPr>
        <w:tc>
          <w:tcPr>
            <w:tcW w:w="1722"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7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35"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78"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57"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66"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70"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61"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972727">
        <w:trPr>
          <w:trHeight w:val="61"/>
        </w:trPr>
        <w:tc>
          <w:tcPr>
            <w:tcW w:w="1722"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7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35"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78"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57"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66"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0"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61"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8"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972727">
        <w:trPr>
          <w:trHeight w:val="61"/>
        </w:trPr>
        <w:tc>
          <w:tcPr>
            <w:tcW w:w="1722"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7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35"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78"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57"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66"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70"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61"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8"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972727">
        <w:trPr>
          <w:trHeight w:val="61"/>
        </w:trPr>
        <w:tc>
          <w:tcPr>
            <w:tcW w:w="1722"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7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35"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78"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57"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66"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70"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61"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8"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972727">
        <w:trPr>
          <w:trHeight w:val="61"/>
        </w:trPr>
        <w:tc>
          <w:tcPr>
            <w:tcW w:w="1722"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7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35"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78"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57"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66"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70"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61"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8"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972727">
        <w:trPr>
          <w:trHeight w:val="61"/>
        </w:trPr>
        <w:tc>
          <w:tcPr>
            <w:tcW w:w="1722"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7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35"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78"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57"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66"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70"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61"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8"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972727">
        <w:trPr>
          <w:trHeight w:val="61"/>
        </w:trPr>
        <w:tc>
          <w:tcPr>
            <w:tcW w:w="1722"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7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35"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78"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57"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66"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70"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61"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8"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972727">
        <w:trPr>
          <w:trHeight w:val="61"/>
        </w:trPr>
        <w:tc>
          <w:tcPr>
            <w:tcW w:w="1722"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7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35"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78"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57"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66"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70"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61"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8"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972727">
        <w:trPr>
          <w:trHeight w:val="61"/>
        </w:trPr>
        <w:tc>
          <w:tcPr>
            <w:tcW w:w="1722"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7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35"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78"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57"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66"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61"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8"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972727">
        <w:trPr>
          <w:trHeight w:val="61"/>
        </w:trPr>
        <w:tc>
          <w:tcPr>
            <w:tcW w:w="1722"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7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35"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78"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57"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66"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70"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61"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8"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972727">
        <w:trPr>
          <w:trHeight w:val="61"/>
        </w:trPr>
        <w:tc>
          <w:tcPr>
            <w:tcW w:w="1722"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7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35"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78"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57"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66"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70"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61"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8"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972727">
        <w:trPr>
          <w:trHeight w:val="61"/>
        </w:trPr>
        <w:tc>
          <w:tcPr>
            <w:tcW w:w="1722"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7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35"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78"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57"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66"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70"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61"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8"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972727">
        <w:trPr>
          <w:trHeight w:val="61"/>
        </w:trPr>
        <w:tc>
          <w:tcPr>
            <w:tcW w:w="1722"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7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35"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78"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57"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66"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70"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61"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8"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972727">
        <w:trPr>
          <w:trHeight w:val="61"/>
        </w:trPr>
        <w:tc>
          <w:tcPr>
            <w:tcW w:w="1722"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7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35"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78"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57"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66"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70"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61"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8"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972727">
        <w:trPr>
          <w:trHeight w:val="61"/>
        </w:trPr>
        <w:tc>
          <w:tcPr>
            <w:tcW w:w="1722"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7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35"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78"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57"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66"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70"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61"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8"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972727">
        <w:trPr>
          <w:trHeight w:val="61"/>
        </w:trPr>
        <w:tc>
          <w:tcPr>
            <w:tcW w:w="1722"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7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35"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78"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57"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66"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70"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61"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8"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972727">
        <w:trPr>
          <w:trHeight w:val="61"/>
        </w:trPr>
        <w:tc>
          <w:tcPr>
            <w:tcW w:w="1722"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7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35"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78"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57"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66"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70"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61"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8"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972727">
        <w:trPr>
          <w:trHeight w:val="61"/>
        </w:trPr>
        <w:tc>
          <w:tcPr>
            <w:tcW w:w="1722"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7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35"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78"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57"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66"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70"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61"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8"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972727">
        <w:trPr>
          <w:trHeight w:val="61"/>
        </w:trPr>
        <w:tc>
          <w:tcPr>
            <w:tcW w:w="1722"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7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35"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78"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57"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66"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70"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61"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8"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972727">
        <w:trPr>
          <w:trHeight w:val="61"/>
        </w:trPr>
        <w:tc>
          <w:tcPr>
            <w:tcW w:w="1722"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7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35"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78"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57"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66"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70"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61"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8"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972727">
        <w:trPr>
          <w:trHeight w:val="61"/>
        </w:trPr>
        <w:tc>
          <w:tcPr>
            <w:tcW w:w="1722"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7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35"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78"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57"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66"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70"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61"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8"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972727">
        <w:trPr>
          <w:trHeight w:val="61"/>
        </w:trPr>
        <w:tc>
          <w:tcPr>
            <w:tcW w:w="1722"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7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35"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78"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57"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66"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70"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61"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8"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972727">
        <w:trPr>
          <w:trHeight w:val="61"/>
        </w:trPr>
        <w:tc>
          <w:tcPr>
            <w:tcW w:w="1722"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7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35"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78"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57"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66"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70"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61"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8"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972727">
        <w:trPr>
          <w:trHeight w:val="61"/>
        </w:trPr>
        <w:tc>
          <w:tcPr>
            <w:tcW w:w="1722"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7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35"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78"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57"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66"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70"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61"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8"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972727">
        <w:trPr>
          <w:trHeight w:val="61"/>
        </w:trPr>
        <w:tc>
          <w:tcPr>
            <w:tcW w:w="1722"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7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35"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78"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57"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66"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70"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61"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8"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972727">
        <w:trPr>
          <w:trHeight w:val="61"/>
        </w:trPr>
        <w:tc>
          <w:tcPr>
            <w:tcW w:w="1722"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7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35"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78"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57"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66"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70"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61"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8"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972727">
        <w:trPr>
          <w:trHeight w:val="61"/>
        </w:trPr>
        <w:tc>
          <w:tcPr>
            <w:tcW w:w="1722"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7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35"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78"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57"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66"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70"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61"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8"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972727">
        <w:trPr>
          <w:trHeight w:val="61"/>
        </w:trPr>
        <w:tc>
          <w:tcPr>
            <w:tcW w:w="1722"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7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35"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78"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57"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66"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70"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61"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8"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458742A" w14:textId="77777777" w:rsidR="00972727" w:rsidRDefault="00972727" w:rsidP="00972727">
      <w:pPr>
        <w:keepNext/>
        <w:spacing w:before="240" w:after="240" w:line="360" w:lineRule="auto"/>
        <w:jc w:val="both"/>
        <w:rPr>
          <w:rFonts w:ascii="Arial" w:eastAsia="Arial" w:hAnsi="Arial" w:cs="Arial"/>
          <w:sz w:val="24"/>
          <w:szCs w:val="24"/>
          <w:highlight w:val="white"/>
        </w:rPr>
      </w:pPr>
    </w:p>
    <w:p w14:paraId="3663D323" w14:textId="17B9C174"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2F3A49">
        <w:rPr>
          <w:rFonts w:ascii="Arial" w:eastAsia="Arial" w:hAnsi="Arial" w:cs="Arial"/>
          <w:sz w:val="24"/>
          <w:szCs w:val="24"/>
          <w:highlight w:val="white"/>
        </w:rPr>
        <w:t>indicate</w:t>
      </w:r>
      <w:r>
        <w:rPr>
          <w:rFonts w:ascii="Arial" w:eastAsia="Arial" w:hAnsi="Arial" w:cs="Arial"/>
          <w:sz w:val="24"/>
          <w:szCs w:val="24"/>
          <w:highlight w:val="white"/>
        </w:rPr>
        <w:t xml:space="preserve"> is that countries with similar gender gaps do not necessarily have the same mortality and health effect. In addition, when we group countries according to the number of years in gender gap, very different countries in terms of development levels, health care system and gender roles can often be in the same category. The lack of a systematic pattern across countries </w:t>
      </w:r>
      <w:r>
        <w:rPr>
          <w:rFonts w:ascii="Arial" w:eastAsia="Arial" w:hAnsi="Arial" w:cs="Arial"/>
          <w:sz w:val="24"/>
          <w:szCs w:val="24"/>
          <w:highlight w:val="white"/>
        </w:rPr>
        <w:lastRenderedPageBreak/>
        <w:t xml:space="preserve">as regards their gender gap in DFLE and CFLE signals that similar gaps do not necessarily capture the inequality in health conditions across women and men in these countries.    </w:t>
      </w:r>
    </w:p>
    <w:p w14:paraId="0000026E" w14:textId="79F87C9B" w:rsidR="00B133DD" w:rsidRPr="005A0B32" w:rsidRDefault="005A0B32">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As seen in Figure 4, countries can have very different r</w:t>
      </w:r>
      <w:bookmarkStart w:id="36" w:name="_GoBack"/>
      <w:bookmarkEnd w:id="36"/>
      <w:r>
        <w:rPr>
          <w:rFonts w:ascii="Arial" w:eastAsia="Arial" w:hAnsi="Arial" w:cs="Arial"/>
          <w:sz w:val="24"/>
          <w:szCs w:val="24"/>
          <w:highlight w:val="white"/>
        </w:rPr>
        <w:t>ankings if the criteria adopted are gaps in DFLE and CFLE versus the contribution of disability and mortality effects. Low gender gaps are first places in the ranks while the last ranks are high gender gaps</w:t>
      </w:r>
      <w:r w:rsidR="00F22B16">
        <w:rPr>
          <w:rFonts w:ascii="Arial" w:eastAsia="Arial" w:hAnsi="Arial" w:cs="Arial"/>
          <w:sz w:val="24"/>
          <w:szCs w:val="24"/>
          <w:highlight w:val="white"/>
        </w:rPr>
        <w:t xml:space="preserve"> or high contribution of health component</w:t>
      </w:r>
      <w:r>
        <w:rPr>
          <w:rFonts w:ascii="Arial" w:eastAsia="Arial" w:hAnsi="Arial" w:cs="Arial"/>
          <w:sz w:val="24"/>
          <w:szCs w:val="24"/>
          <w:highlight w:val="white"/>
        </w:rPr>
        <w:t xml:space="preserve">.  </w:t>
      </w:r>
    </w:p>
    <w:p w14:paraId="357913C4" w14:textId="486F2EEC" w:rsidR="002F5852" w:rsidRPr="00BD1717" w:rsidRDefault="00845A3D">
      <w:pPr>
        <w:keepNext/>
        <w:spacing w:before="240" w:after="240" w:line="360" w:lineRule="auto"/>
        <w:jc w:val="both"/>
        <w:rPr>
          <w:rFonts w:ascii="Georgia" w:eastAsia="Georgia" w:hAnsi="Georgia" w:cs="Georgia"/>
          <w:sz w:val="24"/>
          <w:szCs w:val="24"/>
          <w:highlight w:val="white"/>
        </w:rPr>
      </w:pPr>
      <w:r>
        <w:rPr>
          <w:noProof/>
        </w:rPr>
        <w:drawing>
          <wp:inline distT="0" distB="0" distL="0" distR="0" wp14:anchorId="6C67EC72" wp14:editId="407D3411">
            <wp:extent cx="5486400" cy="3709035"/>
            <wp:effectExtent l="0" t="0" r="0" b="571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709035"/>
                    </a:xfrm>
                    <a:prstGeom prst="rect">
                      <a:avLst/>
                    </a:prstGeom>
                  </pic:spPr>
                </pic:pic>
              </a:graphicData>
            </a:graphic>
          </wp:inline>
        </w:drawing>
      </w:r>
    </w:p>
    <w:p w14:paraId="0000026F" w14:textId="27CEEE0A"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Ranking of countries 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 xml:space="preserve">disability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and the contribution of disability and chronic component to the total gender gap</w:t>
      </w:r>
      <w:r>
        <w:rPr>
          <w:rFonts w:ascii="Arial" w:eastAsia="Arial" w:hAnsi="Arial" w:cs="Arial"/>
          <w:sz w:val="24"/>
          <w:szCs w:val="24"/>
          <w:highlight w:val="white"/>
        </w:rPr>
        <w:t xml:space="preserve"> at ages 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lastRenderedPageBreak/>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7A52C8D"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Denmark is the opposite, being placed at first Rank when considering the effect of disability, while it is among the last countries (Rank 21) when considering the gender gap in DFLE.</w:t>
      </w:r>
      <w:r w:rsidR="00DF7075">
        <w:rPr>
          <w:rFonts w:ascii="Arial" w:eastAsia="Arial" w:hAnsi="Arial" w:cs="Arial"/>
          <w:sz w:val="24"/>
          <w:szCs w:val="24"/>
          <w:highlight w:val="white"/>
        </w:rPr>
        <w:t xml:space="preserve"> </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1D9F1A9F" w14:textId="77777777" w:rsidR="00864507" w:rsidRDefault="00A50CB3">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Reducing gender gaps in health expectancy may not necessarily mean that we are reducing inequality between women and men. Using the gap as a measure of inequality in gender differences in health and mortality is tempting and seems straightforward. </w:t>
      </w:r>
    </w:p>
    <w:p w14:paraId="00000275" w14:textId="59B55C34" w:rsidR="00B133DD" w:rsidRDefault="00A50CB3">
      <w:pPr>
        <w:pBdr>
          <w:top w:val="nil"/>
          <w:left w:val="nil"/>
          <w:bottom w:val="nil"/>
          <w:right w:val="nil"/>
          <w:between w:val="nil"/>
        </w:pBdr>
        <w:spacing w:after="0" w:line="360" w:lineRule="auto"/>
        <w:jc w:val="both"/>
        <w:rPr>
          <w:rFonts w:ascii="Arial" w:eastAsia="Arial" w:hAnsi="Arial" w:cs="Arial"/>
          <w:color w:val="000000"/>
          <w:sz w:val="24"/>
          <w:szCs w:val="24"/>
          <w:highlight w:val="yellow"/>
        </w:rPr>
      </w:pPr>
      <w:r>
        <w:rPr>
          <w:rFonts w:ascii="Arial" w:eastAsia="Arial" w:hAnsi="Arial" w:cs="Arial"/>
          <w:color w:val="000000"/>
          <w:sz w:val="24"/>
          <w:szCs w:val="24"/>
        </w:rPr>
        <w:t>Despite being a simple and overall useful measure, it is nonetheless important to take a cautionary approach when interpreting those gaps</w:t>
      </w:r>
      <w:r>
        <w:rPr>
          <w:rFonts w:ascii="Arial" w:eastAsia="Arial" w:hAnsi="Arial" w:cs="Arial"/>
          <w:sz w:val="24"/>
          <w:szCs w:val="24"/>
        </w:rPr>
        <w:t xml:space="preserve"> and especially when using them to guide policy. Recent work has shown that policies that aim to advance gender equality in health across different countries have surprisingly poor design and implementation flaws, which are mostly due to scarcity of relevant data and accurate indicators </w:t>
      </w:r>
      <w:sdt>
        <w:sdtPr>
          <w:tag w:val="goog_rdk_41"/>
          <w:id w:val="1388688426"/>
        </w:sdtPr>
        <w:sdtContent>
          <w:commentRangeStart w:id="37"/>
        </w:sdtContent>
      </w:sdt>
      <w:r>
        <w:rPr>
          <w:rFonts w:ascii="Arial" w:eastAsia="Arial" w:hAnsi="Arial" w:cs="Arial"/>
          <w:sz w:val="24"/>
          <w:szCs w:val="24"/>
        </w:rPr>
        <w:t>(</w:t>
      </w:r>
      <w:proofErr w:type="spellStart"/>
      <w:r>
        <w:rPr>
          <w:rFonts w:ascii="Arial" w:eastAsia="Arial" w:hAnsi="Arial" w:cs="Arial"/>
          <w:sz w:val="24"/>
          <w:szCs w:val="24"/>
        </w:rPr>
        <w:t>Crespi-Llorens</w:t>
      </w:r>
      <w:proofErr w:type="spellEnd"/>
      <w:r>
        <w:rPr>
          <w:rFonts w:ascii="Arial" w:eastAsia="Arial" w:hAnsi="Arial" w:cs="Arial"/>
          <w:sz w:val="24"/>
          <w:szCs w:val="24"/>
        </w:rPr>
        <w:t xml:space="preserve"> 2021). </w:t>
      </w:r>
      <w:commentRangeEnd w:id="37"/>
      <w:r>
        <w:commentReference w:id="37"/>
      </w:r>
    </w:p>
    <w:p w14:paraId="00000276" w14:textId="77777777" w:rsidR="00B133DD" w:rsidRDefault="00B133DD">
      <w:pPr>
        <w:pBdr>
          <w:top w:val="nil"/>
          <w:left w:val="nil"/>
          <w:bottom w:val="nil"/>
          <w:right w:val="nil"/>
          <w:between w:val="nil"/>
        </w:pBdr>
        <w:spacing w:after="0" w:line="360" w:lineRule="auto"/>
        <w:jc w:val="both"/>
        <w:rPr>
          <w:rFonts w:ascii="Arial" w:eastAsia="Arial" w:hAnsi="Arial" w:cs="Arial"/>
          <w:color w:val="000000"/>
          <w:sz w:val="24"/>
          <w:szCs w:val="24"/>
        </w:rPr>
      </w:pPr>
    </w:p>
    <w:p w14:paraId="00000278" w14:textId="365B54D1" w:rsidR="00B133DD" w:rsidRDefault="00A50CB3">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 (30). </w:t>
      </w:r>
      <w:r>
        <w:rPr>
          <w:rFonts w:ascii="Arial" w:eastAsia="Arial" w:hAnsi="Arial" w:cs="Arial"/>
          <w:sz w:val="24"/>
          <w:szCs w:val="24"/>
        </w:rPr>
        <w:t xml:space="preserve">Other studies point out that even summary indicators of health like health expectancy are linked to other indices of gender inequality, but not aggregate indices based on gender gaps (CITE). </w:t>
      </w:r>
      <w:r>
        <w:rPr>
          <w:rFonts w:ascii="Arial" w:eastAsia="Arial" w:hAnsi="Arial" w:cs="Arial"/>
          <w:color w:val="000000"/>
          <w:sz w:val="24"/>
          <w:szCs w:val="24"/>
        </w:rPr>
        <w:t xml:space="preserve">By focusing on the gap, these </w:t>
      </w:r>
      <w:r>
        <w:rPr>
          <w:rFonts w:ascii="Arial" w:eastAsia="Arial" w:hAnsi="Arial" w:cs="Arial"/>
          <w:color w:val="000000"/>
          <w:sz w:val="24"/>
          <w:szCs w:val="24"/>
        </w:rPr>
        <w:lastRenderedPageBreak/>
        <w:t>studies may be missing important changes in the patterns of health and mortality, which may not go together with societal level changes in health and gender inequality.</w:t>
      </w:r>
    </w:p>
    <w:p w14:paraId="00000279" w14:textId="77777777" w:rsidR="00B133DD" w:rsidRDefault="00B133DD">
      <w:pPr>
        <w:pBdr>
          <w:top w:val="nil"/>
          <w:left w:val="nil"/>
          <w:bottom w:val="nil"/>
          <w:right w:val="nil"/>
          <w:between w:val="nil"/>
        </w:pBdr>
        <w:spacing w:after="0" w:line="360" w:lineRule="auto"/>
        <w:jc w:val="both"/>
        <w:rPr>
          <w:rFonts w:ascii="Arial" w:eastAsia="Arial" w:hAnsi="Arial" w:cs="Arial"/>
          <w:sz w:val="24"/>
          <w:szCs w:val="24"/>
        </w:rPr>
      </w:pPr>
    </w:p>
    <w:p w14:paraId="0000027A" w14:textId="77777777" w:rsidR="00B133DD" w:rsidRDefault="00A50CB3">
      <w:pPr>
        <w:pBdr>
          <w:top w:val="nil"/>
          <w:left w:val="nil"/>
          <w:bottom w:val="nil"/>
          <w:right w:val="nil"/>
          <w:between w:val="nil"/>
        </w:pBdr>
        <w:spacing w:after="0" w:line="360" w:lineRule="auto"/>
        <w:jc w:val="both"/>
        <w:rPr>
          <w:rFonts w:ascii="Arial" w:eastAsia="Arial" w:hAnsi="Arial" w:cs="Arial"/>
          <w:sz w:val="24"/>
          <w:szCs w:val="24"/>
          <w:highlight w:val="yellow"/>
        </w:rPr>
      </w:pPr>
      <w:r>
        <w:rPr>
          <w:rFonts w:ascii="Arial" w:eastAsia="Arial" w:hAnsi="Arial" w:cs="Arial"/>
          <w:sz w:val="24"/>
          <w:szCs w:val="24"/>
          <w:highlight w:val="yellow"/>
        </w:rPr>
        <w:t>RELATE OUR RESULTS TO THE LITERATURE. DISCUSS MORE OUR OWN RESULTS AND HOW IT CONNECTS TO THE AVAILABLE EVIDENCE.</w:t>
      </w:r>
    </w:p>
    <w:p w14:paraId="0000027B" w14:textId="77777777" w:rsidR="00B133DD" w:rsidRDefault="00B133DD">
      <w:pPr>
        <w:pBdr>
          <w:top w:val="nil"/>
          <w:left w:val="nil"/>
          <w:bottom w:val="nil"/>
          <w:right w:val="nil"/>
          <w:between w:val="nil"/>
        </w:pBdr>
        <w:spacing w:after="0" w:line="360" w:lineRule="auto"/>
        <w:jc w:val="both"/>
        <w:rPr>
          <w:rFonts w:ascii="Arial" w:eastAsia="Arial" w:hAnsi="Arial" w:cs="Arial"/>
          <w:sz w:val="24"/>
          <w:szCs w:val="24"/>
          <w:highlight w:val="yellow"/>
        </w:rPr>
      </w:pPr>
    </w:p>
    <w:p w14:paraId="0000027C" w14:textId="77777777" w:rsidR="00B133DD" w:rsidRDefault="00A50CB3">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female-male gaps in the prevalence of chronic conditions, especially arthritis and depression and gender characteristics of the society. (</w:t>
      </w:r>
      <w:proofErr w:type="spellStart"/>
      <w:r>
        <w:rPr>
          <w:rFonts w:ascii="Arial" w:eastAsia="Arial" w:hAnsi="Arial" w:cs="Arial"/>
          <w:sz w:val="24"/>
          <w:szCs w:val="24"/>
        </w:rPr>
        <w:t>Boerma</w:t>
      </w:r>
      <w:proofErr w:type="spellEnd"/>
      <w:r>
        <w:rPr>
          <w:rFonts w:ascii="Arial" w:eastAsia="Arial" w:hAnsi="Arial" w:cs="Arial"/>
          <w:sz w:val="24"/>
          <w:szCs w:val="24"/>
        </w:rPr>
        <w:t xml:space="preserve">, Ties). Arthritis is consistent with the literature from different data sources and for a wide range of countries. </w:t>
      </w:r>
    </w:p>
    <w:p w14:paraId="0000027D" w14:textId="77777777" w:rsidR="00B133DD" w:rsidRDefault="00A50CB3">
      <w:pPr>
        <w:spacing w:after="0" w:line="360" w:lineRule="auto"/>
        <w:jc w:val="both"/>
        <w:rPr>
          <w:rFonts w:ascii="Arial" w:eastAsia="Arial" w:hAnsi="Arial" w:cs="Arial"/>
          <w:sz w:val="24"/>
          <w:szCs w:val="24"/>
        </w:rPr>
      </w:pPr>
      <w:r>
        <w:rPr>
          <w:rFonts w:ascii="Arial" w:eastAsia="Arial" w:hAnsi="Arial" w:cs="Arial"/>
          <w:sz w:val="24"/>
          <w:szCs w:val="24"/>
        </w:rPr>
        <w:t xml:space="preserve"> </w:t>
      </w:r>
    </w:p>
    <w:p w14:paraId="0000027E" w14:textId="77777777" w:rsidR="00B133DD" w:rsidRDefault="00A50CB3">
      <w:pPr>
        <w:spacing w:after="0" w:line="360" w:lineRule="auto"/>
        <w:jc w:val="both"/>
        <w:rPr>
          <w:rFonts w:ascii="Arial" w:eastAsia="Arial" w:hAnsi="Arial" w:cs="Arial"/>
          <w:sz w:val="24"/>
          <w:szCs w:val="24"/>
        </w:rPr>
      </w:pPr>
      <w:r>
        <w:rPr>
          <w:rFonts w:ascii="Arial" w:eastAsia="Arial" w:hAnsi="Arial" w:cs="Arial"/>
          <w:sz w:val="24"/>
          <w:szCs w:val="24"/>
        </w:rPr>
        <w:t xml:space="preserve">Evidence using the same data source as our study showed substantial heterogeneity in disability and morbidity across countries, especially after controlling for population age composition. However, they found that overall women have higher life expectancy and lower levels of diabetes and heart disease than </w:t>
      </w:r>
      <w:proofErr w:type="gramStart"/>
      <w:r>
        <w:rPr>
          <w:rFonts w:ascii="Arial" w:eastAsia="Arial" w:hAnsi="Arial" w:cs="Arial"/>
          <w:sz w:val="24"/>
          <w:szCs w:val="24"/>
        </w:rPr>
        <w:t>men( Lee</w:t>
      </w:r>
      <w:proofErr w:type="gramEnd"/>
      <w:r>
        <w:rPr>
          <w:rFonts w:ascii="Arial" w:eastAsia="Arial" w:hAnsi="Arial" w:cs="Arial"/>
          <w:sz w:val="24"/>
          <w:szCs w:val="24"/>
        </w:rPr>
        <w:t xml:space="preserve">2018a). </w:t>
      </w:r>
    </w:p>
    <w:p w14:paraId="0000027F" w14:textId="77777777" w:rsidR="00B133DD" w:rsidRDefault="00B133DD">
      <w:pPr>
        <w:pBdr>
          <w:top w:val="nil"/>
          <w:left w:val="nil"/>
          <w:bottom w:val="nil"/>
          <w:right w:val="nil"/>
          <w:between w:val="nil"/>
        </w:pBdr>
        <w:spacing w:after="0" w:line="360" w:lineRule="auto"/>
        <w:jc w:val="both"/>
        <w:rPr>
          <w:rFonts w:ascii="Arial" w:eastAsia="Arial" w:hAnsi="Arial" w:cs="Arial"/>
          <w:color w:val="000000"/>
          <w:sz w:val="24"/>
          <w:szCs w:val="24"/>
        </w:rPr>
      </w:pPr>
    </w:p>
    <w:p w14:paraId="00000280" w14:textId="77777777" w:rsidR="00B133DD" w:rsidRDefault="00B133DD">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1" w14:textId="77777777" w:rsidR="00B133DD" w:rsidRDefault="00B133DD">
      <w:pPr>
        <w:pBdr>
          <w:top w:val="nil"/>
          <w:left w:val="nil"/>
          <w:bottom w:val="nil"/>
          <w:right w:val="nil"/>
          <w:between w:val="nil"/>
        </w:pBdr>
        <w:spacing w:after="0" w:line="360" w:lineRule="auto"/>
        <w:jc w:val="both"/>
        <w:rPr>
          <w:rFonts w:ascii="Arial" w:eastAsia="Arial" w:hAnsi="Arial" w:cs="Arial"/>
          <w:color w:val="000000"/>
          <w:sz w:val="24"/>
          <w:szCs w:val="24"/>
        </w:rPr>
      </w:pPr>
    </w:p>
    <w:p w14:paraId="00000282" w14:textId="77777777" w:rsidR="00B133DD" w:rsidRDefault="00A50CB3">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highlight w:val="yellow"/>
        </w:rPr>
        <w:t>ADD CONTRIBUTIONS</w:t>
      </w:r>
    </w:p>
    <w:p w14:paraId="00000283" w14:textId="3E09EA1F" w:rsidR="00B133DD" w:rsidRDefault="00A50CB3">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color w:val="000000"/>
          <w:sz w:val="24"/>
          <w:szCs w:val="24"/>
        </w:rPr>
        <w:t xml:space="preserve">Another contribution of this study is the extent of the comparative analysis. </w:t>
      </w:r>
      <w:r>
        <w:rPr>
          <w:rFonts w:ascii="Arial" w:eastAsia="Arial" w:hAnsi="Arial" w:cs="Arial"/>
          <w:sz w:val="24"/>
          <w:szCs w:val="24"/>
        </w:rPr>
        <w:t xml:space="preserve">Studies that have performed global comparisons use less detailed health indicators and often lack in harmonization across the indicators </w:t>
      </w:r>
      <w:proofErr w:type="gramStart"/>
      <w:r>
        <w:rPr>
          <w:rFonts w:ascii="Arial" w:eastAsia="Arial" w:hAnsi="Arial" w:cs="Arial"/>
          <w:sz w:val="24"/>
          <w:szCs w:val="24"/>
        </w:rPr>
        <w:t>health</w:t>
      </w:r>
      <w:r>
        <w:rPr>
          <w:rFonts w:ascii="Arial" w:eastAsia="Arial" w:hAnsi="Arial" w:cs="Arial"/>
          <w:sz w:val="24"/>
          <w:szCs w:val="24"/>
          <w:highlight w:val="yellow"/>
        </w:rPr>
        <w:t>.(</w:t>
      </w:r>
      <w:proofErr w:type="gramEnd"/>
      <w:r>
        <w:rPr>
          <w:rFonts w:ascii="Arial" w:eastAsia="Arial" w:hAnsi="Arial" w:cs="Arial"/>
          <w:sz w:val="24"/>
          <w:szCs w:val="24"/>
          <w:highlight w:val="yellow"/>
        </w:rPr>
        <w:t xml:space="preserve">CITE). </w:t>
      </w:r>
      <w:r>
        <w:rPr>
          <w:rFonts w:ascii="Arial" w:eastAsia="Arial" w:hAnsi="Arial" w:cs="Arial"/>
          <w:sz w:val="24"/>
          <w:szCs w:val="24"/>
        </w:rPr>
        <w:t>So far, most of the research has focused on western countries, with few studies including countries like China, India and Korea and even fewer that include developing or Latin American countries like Mexico in the study.</w:t>
      </w:r>
    </w:p>
    <w:p w14:paraId="1D677171" w14:textId="77777777" w:rsidR="0083403D" w:rsidRDefault="0083403D">
      <w:pPr>
        <w:keepNext/>
        <w:pBdr>
          <w:top w:val="nil"/>
          <w:left w:val="nil"/>
          <w:bottom w:val="nil"/>
          <w:right w:val="nil"/>
          <w:between w:val="nil"/>
        </w:pBdr>
        <w:spacing w:after="0" w:line="360" w:lineRule="auto"/>
        <w:jc w:val="both"/>
        <w:rPr>
          <w:rFonts w:ascii="Arial" w:eastAsia="Arial" w:hAnsi="Arial" w:cs="Arial"/>
          <w:sz w:val="24"/>
          <w:szCs w:val="24"/>
        </w:rPr>
      </w:pPr>
    </w:p>
    <w:p w14:paraId="15BAEF5F" w14:textId="5E249F8E" w:rsidR="00252DCE" w:rsidRDefault="0083403D">
      <w:pPr>
        <w:keepNext/>
        <w:pBdr>
          <w:top w:val="nil"/>
          <w:left w:val="nil"/>
          <w:bottom w:val="nil"/>
          <w:right w:val="nil"/>
          <w:between w:val="nil"/>
        </w:pBdr>
        <w:spacing w:after="0" w:line="360" w:lineRule="auto"/>
        <w:jc w:val="both"/>
        <w:rPr>
          <w:rFonts w:ascii="Arial" w:eastAsia="Arial" w:hAnsi="Arial" w:cs="Arial"/>
          <w:sz w:val="24"/>
          <w:szCs w:val="24"/>
          <w:highlight w:val="yellow"/>
        </w:rPr>
      </w:pPr>
      <w:r w:rsidRPr="00C44C07">
        <w:rPr>
          <w:rFonts w:ascii="Arial" w:eastAsia="Arial" w:hAnsi="Arial" w:cs="Arial"/>
          <w:color w:val="000000"/>
          <w:sz w:val="24"/>
          <w:szCs w:val="24"/>
        </w:rPr>
        <w:t xml:space="preserve">women live longer and expect to spend a higher proportion of their lives in poorer health has startling effects on their well-being since poorer health for women </w:t>
      </w:r>
      <w:r w:rsidRPr="00C44C07">
        <w:rPr>
          <w:rFonts w:ascii="Arial" w:eastAsia="Arial" w:hAnsi="Arial" w:cs="Arial"/>
          <w:color w:val="000000"/>
          <w:sz w:val="24"/>
          <w:szCs w:val="24"/>
        </w:rPr>
        <w:lastRenderedPageBreak/>
        <w:t>usually means non-lethal, but debilitating conditions such as arthritis</w:t>
      </w:r>
      <w:r>
        <w:rPr>
          <w:rFonts w:ascii="Arial" w:eastAsia="Arial" w:hAnsi="Arial" w:cs="Arial"/>
          <w:color w:val="000000"/>
          <w:sz w:val="24"/>
          <w:szCs w:val="24"/>
        </w:rPr>
        <w:t xml:space="preserve">, </w:t>
      </w:r>
      <w:r w:rsidRPr="00C44C07">
        <w:rPr>
          <w:rFonts w:ascii="Arial" w:eastAsia="Arial" w:hAnsi="Arial" w:cs="Arial"/>
          <w:color w:val="000000"/>
          <w:sz w:val="24"/>
          <w:szCs w:val="24"/>
        </w:rPr>
        <w:t>which limit their ability to remain independent, engage in social activities, and usually demand long-term care (Freedman et al., 2016).</w:t>
      </w:r>
    </w:p>
    <w:p w14:paraId="00000284" w14:textId="45DF4500" w:rsidR="00B133DD" w:rsidRDefault="00A50CB3">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color w:val="000000"/>
          <w:sz w:val="24"/>
          <w:szCs w:val="24"/>
        </w:rPr>
        <w:t xml:space="preserve">Performing cross-country comparisons is crucial to identify common patterns and divergences that exist in health and mortality for different societal regimes (31, 32). It is particularly important when investigating those patterns by gender, as there is great variation in gender norms, welfare state systems, and socioeconomic development across countries that may directly or indirectly impact health and mortality indicators (33–37). However, comparative analysis </w:t>
      </w:r>
      <w:proofErr w:type="gramStart"/>
      <w:r>
        <w:rPr>
          <w:rFonts w:ascii="Arial" w:eastAsia="Arial" w:hAnsi="Arial" w:cs="Arial"/>
          <w:color w:val="000000"/>
          <w:sz w:val="24"/>
          <w:szCs w:val="24"/>
        </w:rPr>
        <w:t>are</w:t>
      </w:r>
      <w:proofErr w:type="gramEnd"/>
      <w:r>
        <w:rPr>
          <w:rFonts w:ascii="Arial" w:eastAsia="Arial" w:hAnsi="Arial" w:cs="Arial"/>
          <w:color w:val="000000"/>
          <w:sz w:val="24"/>
          <w:szCs w:val="24"/>
        </w:rPr>
        <w:t xml:space="preserve"> challenging, mainly because the quality, and validity of health indicators vary from country to country, which can lead to variations in results that are not accurately capturing health outcomes (38).  Some </w:t>
      </w:r>
      <w:r>
        <w:rPr>
          <w:rFonts w:ascii="Arial" w:eastAsia="Arial" w:hAnsi="Arial" w:cs="Arial"/>
          <w:sz w:val="24"/>
          <w:szCs w:val="24"/>
        </w:rPr>
        <w:t xml:space="preserve">studies using the Gateway of Global Ageing have </w:t>
      </w:r>
    </w:p>
    <w:p w14:paraId="2166D869" w14:textId="0188EB98" w:rsidR="00C44C07" w:rsidRDefault="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6CE23B55" w14:textId="46C6C4A4" w:rsidR="004B7C1F" w:rsidRDefault="00252DCE"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Furthermore, m</w:t>
      </w:r>
      <w:r w:rsidR="00C44C07" w:rsidRPr="00C44C07">
        <w:rPr>
          <w:rFonts w:ascii="Arial" w:eastAsia="Arial" w:hAnsi="Arial" w:cs="Arial"/>
          <w:color w:val="000000"/>
          <w:sz w:val="24"/>
          <w:szCs w:val="24"/>
        </w:rPr>
        <w:t>easuring gender disparities in health and mortality and what contributes to the gender gap across different countries is key for understanding what drives the gap. Different countries not only have specific health and mortality trajectories but their own cultural and gender roles, which may in turn affect the differentials. Cross-national comparisons are thus important to further shed light into the topic</w:t>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as</w:t>
      </w:r>
      <w:r w:rsidR="004B7C1F" w:rsidRPr="00C44C07">
        <w:rPr>
          <w:rFonts w:ascii="Arial" w:eastAsia="Arial" w:hAnsi="Arial" w:cs="Arial"/>
          <w:color w:val="000000"/>
          <w:sz w:val="24"/>
          <w:szCs w:val="24"/>
        </w:rPr>
        <w:t xml:space="preserve"> gender inequality in health is correlated to country-specific levels of development and to societal roles of women and men (</w:t>
      </w:r>
      <w:proofErr w:type="spellStart"/>
      <w:r w:rsidR="004B7C1F" w:rsidRPr="00C44C07">
        <w:rPr>
          <w:rFonts w:ascii="Arial" w:eastAsia="Arial" w:hAnsi="Arial" w:cs="Arial"/>
          <w:color w:val="000000"/>
          <w:sz w:val="24"/>
          <w:szCs w:val="24"/>
        </w:rPr>
        <w:t>Okojie</w:t>
      </w:r>
      <w:proofErr w:type="spellEnd"/>
      <w:r w:rsidR="004B7C1F" w:rsidRPr="00C44C07">
        <w:rPr>
          <w:rFonts w:ascii="Arial" w:eastAsia="Arial" w:hAnsi="Arial" w:cs="Arial"/>
          <w:color w:val="000000"/>
          <w:sz w:val="24"/>
          <w:szCs w:val="24"/>
        </w:rPr>
        <w:t xml:space="preserve"> 1994; WCF 2018).</w:t>
      </w:r>
      <w:r w:rsidR="004B7C1F">
        <w:rPr>
          <w:rFonts w:ascii="Arial" w:eastAsia="Arial" w:hAnsi="Arial" w:cs="Arial"/>
          <w:color w:val="000000"/>
          <w:sz w:val="24"/>
          <w:szCs w:val="24"/>
        </w:rPr>
        <w:t xml:space="preserve"> </w:t>
      </w:r>
      <w:r w:rsidR="004B7C1F" w:rsidRPr="00C44C07">
        <w:rPr>
          <w:rFonts w:ascii="Arial" w:eastAsia="Arial" w:hAnsi="Arial" w:cs="Arial"/>
          <w:color w:val="000000"/>
          <w:sz w:val="24"/>
          <w:szCs w:val="24"/>
        </w:rPr>
        <w:t xml:space="preserve">Therefore, </w:t>
      </w:r>
      <w:r w:rsidR="004B7C1F">
        <w:rPr>
          <w:rFonts w:ascii="Arial" w:eastAsia="Arial" w:hAnsi="Arial" w:cs="Arial"/>
          <w:color w:val="000000"/>
          <w:sz w:val="24"/>
          <w:szCs w:val="24"/>
        </w:rPr>
        <w:t xml:space="preserve">it is important </w:t>
      </w:r>
      <w:r w:rsidR="004B7C1F" w:rsidRPr="00C44C07">
        <w:rPr>
          <w:rFonts w:ascii="Arial" w:eastAsia="Arial" w:hAnsi="Arial" w:cs="Arial"/>
          <w:color w:val="000000"/>
          <w:sz w:val="24"/>
          <w:szCs w:val="24"/>
        </w:rPr>
        <w:t>to quantify health inequalities by gender and across countries with different levels of development</w:t>
      </w:r>
      <w:r w:rsidR="004B7C1F">
        <w:rPr>
          <w:rFonts w:ascii="Arial" w:eastAsia="Arial" w:hAnsi="Arial" w:cs="Arial"/>
          <w:color w:val="000000"/>
          <w:sz w:val="24"/>
          <w:szCs w:val="24"/>
        </w:rPr>
        <w:t xml:space="preserve">. </w:t>
      </w:r>
    </w:p>
    <w:p w14:paraId="367174FA" w14:textId="3F954FD6" w:rsidR="00C44C07" w:rsidRDefault="00C44C07"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487F21C7" w14:textId="77777777" w:rsidR="00243C56" w:rsidRPr="00C44C07"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5" w14:textId="77777777" w:rsidR="00B133DD" w:rsidRDefault="00B133DD">
      <w:pPr>
        <w:pBdr>
          <w:top w:val="nil"/>
          <w:left w:val="nil"/>
          <w:bottom w:val="nil"/>
          <w:right w:val="nil"/>
          <w:between w:val="nil"/>
        </w:pBdr>
        <w:spacing w:after="0" w:line="360" w:lineRule="auto"/>
        <w:jc w:val="both"/>
        <w:rPr>
          <w:rFonts w:ascii="Arial" w:eastAsia="Arial" w:hAnsi="Arial" w:cs="Arial"/>
          <w:color w:val="000000"/>
          <w:sz w:val="24"/>
          <w:szCs w:val="24"/>
        </w:rPr>
      </w:pPr>
    </w:p>
    <w:p w14:paraId="00000286" w14:textId="77777777" w:rsidR="00B133DD" w:rsidRDefault="00A50CB3">
      <w:pPr>
        <w:pBdr>
          <w:top w:val="nil"/>
          <w:left w:val="nil"/>
          <w:bottom w:val="nil"/>
          <w:right w:val="nil"/>
          <w:between w:val="nil"/>
        </w:pBdr>
        <w:spacing w:after="0" w:line="360" w:lineRule="auto"/>
        <w:jc w:val="both"/>
        <w:rPr>
          <w:rFonts w:ascii="Arial" w:eastAsia="Arial" w:hAnsi="Arial" w:cs="Arial"/>
          <w:color w:val="000000"/>
          <w:sz w:val="24"/>
          <w:szCs w:val="24"/>
          <w:highlight w:val="yellow"/>
        </w:rPr>
      </w:pPr>
      <w:r>
        <w:rPr>
          <w:rFonts w:ascii="Arial" w:eastAsia="Arial" w:hAnsi="Arial" w:cs="Arial"/>
          <w:color w:val="000000"/>
          <w:sz w:val="24"/>
          <w:szCs w:val="24"/>
          <w:highlight w:val="yellow"/>
        </w:rPr>
        <w:t>ADD LIMITATIONS</w:t>
      </w:r>
    </w:p>
    <w:p w14:paraId="00000287" w14:textId="77777777" w:rsidR="00B133DD" w:rsidRDefault="00A50CB3">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yellow"/>
        </w:rPr>
        <w:t xml:space="preserve">study is cross-sectional - we do not look into trends nor use the longitudinal potential of the dataset. However, our aim was to have the most countries included in the comparison.  </w:t>
      </w:r>
    </w:p>
    <w:p w14:paraId="00000288" w14:textId="77777777" w:rsidR="00B133DD" w:rsidRDefault="00B133DD">
      <w:pPr>
        <w:pBdr>
          <w:top w:val="nil"/>
          <w:left w:val="nil"/>
          <w:bottom w:val="nil"/>
          <w:right w:val="nil"/>
          <w:between w:val="nil"/>
        </w:pBdr>
        <w:spacing w:after="0"/>
        <w:rPr>
          <w:rFonts w:ascii="Arial" w:eastAsia="Arial" w:hAnsi="Arial" w:cs="Arial"/>
          <w:b/>
          <w:color w:val="000000"/>
          <w:sz w:val="24"/>
          <w:szCs w:val="24"/>
        </w:rPr>
      </w:pPr>
    </w:p>
    <w:p w14:paraId="00000289"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lastRenderedPageBreak/>
        <w:t>Materials and Methods</w:t>
      </w:r>
    </w:p>
    <w:p w14:paraId="0000028A" w14:textId="77777777" w:rsidR="00B133DD" w:rsidRDefault="00B133DD">
      <w:pPr>
        <w:pBdr>
          <w:top w:val="nil"/>
          <w:left w:val="nil"/>
          <w:bottom w:val="nil"/>
          <w:right w:val="nil"/>
          <w:between w:val="nil"/>
        </w:pBdr>
        <w:spacing w:after="0"/>
        <w:rPr>
          <w:rFonts w:ascii="Arial" w:eastAsia="Arial" w:hAnsi="Arial" w:cs="Arial"/>
          <w:b/>
          <w:color w:val="000000"/>
          <w:sz w:val="24"/>
          <w:szCs w:val="24"/>
        </w:rPr>
      </w:pPr>
    </w:p>
    <w:p w14:paraId="0000028B"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0000028C"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8D" w14:textId="77777777" w:rsidR="00B133DD" w:rsidRDefault="00DF7075">
      <w:pPr>
        <w:pBdr>
          <w:top w:val="nil"/>
          <w:left w:val="nil"/>
          <w:bottom w:val="nil"/>
          <w:right w:val="nil"/>
          <w:between w:val="nil"/>
        </w:pBdr>
        <w:spacing w:after="0"/>
        <w:rPr>
          <w:rFonts w:ascii="Arial" w:eastAsia="Arial" w:hAnsi="Arial" w:cs="Arial"/>
          <w:i/>
          <w:color w:val="000000"/>
          <w:sz w:val="24"/>
          <w:szCs w:val="24"/>
        </w:rPr>
      </w:pPr>
      <w:sdt>
        <w:sdtPr>
          <w:tag w:val="goog_rdk_42"/>
          <w:id w:val="-742796746"/>
        </w:sdtPr>
        <w:sdtContent>
          <w:commentRangeStart w:id="38"/>
        </w:sdtContent>
      </w:sdt>
      <w:r w:rsidR="00A50CB3">
        <w:rPr>
          <w:rFonts w:ascii="Arial" w:eastAsia="Arial" w:hAnsi="Arial" w:cs="Arial"/>
          <w:i/>
          <w:color w:val="000000"/>
          <w:sz w:val="24"/>
          <w:szCs w:val="24"/>
        </w:rPr>
        <w:t>Health</w:t>
      </w:r>
      <w:commentRangeEnd w:id="38"/>
      <w:r w:rsidR="00A50CB3">
        <w:commentReference w:id="38"/>
      </w:r>
      <w:r w:rsidR="00A50CB3">
        <w:rPr>
          <w:rFonts w:ascii="Arial" w:eastAsia="Arial" w:hAnsi="Arial" w:cs="Arial"/>
          <w:i/>
          <w:color w:val="000000"/>
          <w:sz w:val="24"/>
          <w:szCs w:val="24"/>
        </w:rPr>
        <w:t xml:space="preserve"> </w:t>
      </w:r>
    </w:p>
    <w:p w14:paraId="0000028E" w14:textId="77777777" w:rsidR="00B133DD" w:rsidRDefault="00B133DD">
      <w:pPr>
        <w:pBdr>
          <w:top w:val="nil"/>
          <w:left w:val="nil"/>
          <w:bottom w:val="nil"/>
          <w:right w:val="nil"/>
          <w:between w:val="nil"/>
        </w:pBdr>
        <w:spacing w:after="0"/>
        <w:rPr>
          <w:rFonts w:ascii="Arial" w:eastAsia="Arial" w:hAnsi="Arial" w:cs="Arial"/>
          <w:i/>
          <w:color w:val="000000"/>
          <w:sz w:val="24"/>
          <w:szCs w:val="24"/>
        </w:rPr>
      </w:pPr>
    </w:p>
    <w:p w14:paraId="0000028F" w14:textId="77777777" w:rsidR="00B133DD" w:rsidRDefault="00A50CB3">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In order to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Wave 5; CHARLS: Wave 2; and LASI Wave 1). The only exception is India, since the first wave of LASI was carried on between 2017-2019. We focus on this specific set of countries as our aim is to have the most diverse group of countries 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Different welfare state models and gender roles, which enable us to investigate whether specific gender patterns in inequality in health and mortality emerge in those settings.</w:t>
      </w:r>
    </w:p>
    <w:p w14:paraId="00000290" w14:textId="77777777" w:rsidR="00B133DD" w:rsidRDefault="00B133DD">
      <w:pPr>
        <w:pBdr>
          <w:top w:val="nil"/>
          <w:left w:val="nil"/>
          <w:bottom w:val="nil"/>
          <w:right w:val="nil"/>
          <w:between w:val="nil"/>
        </w:pBdr>
        <w:spacing w:after="0" w:line="360" w:lineRule="auto"/>
        <w:rPr>
          <w:rFonts w:ascii="Arial" w:eastAsia="Arial" w:hAnsi="Arial" w:cs="Arial"/>
          <w:color w:val="000000"/>
          <w:sz w:val="24"/>
          <w:szCs w:val="24"/>
        </w:rPr>
      </w:pPr>
    </w:p>
    <w:p w14:paraId="00000291" w14:textId="77777777" w:rsidR="00B133DD" w:rsidRDefault="00A50CB3">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For mortality we use life tables from the 2022 Revision of World Population Prospects (United Nations 2022) for all countries with the exceptions of England, where the life tables from the ONS estimates, as the ELSA study does not include Wales.</w:t>
      </w:r>
    </w:p>
    <w:sdt>
      <w:sdtPr>
        <w:tag w:val="goog_rdk_45"/>
        <w:id w:val="-1739704586"/>
      </w:sdtPr>
      <w:sdtContent>
        <w:p w14:paraId="00000292" w14:textId="77777777" w:rsidR="00B133DD" w:rsidRDefault="00DF7075">
          <w:pPr>
            <w:pBdr>
              <w:top w:val="nil"/>
              <w:left w:val="nil"/>
              <w:bottom w:val="nil"/>
              <w:right w:val="nil"/>
              <w:between w:val="nil"/>
            </w:pBdr>
            <w:spacing w:after="0"/>
            <w:rPr>
              <w:ins w:id="39" w:author="Vanessa Gabrielle di Lego" w:date="2023-03-31T10:12:00Z"/>
              <w:rFonts w:ascii="Arial" w:eastAsia="Arial" w:hAnsi="Arial" w:cs="Arial"/>
              <w:color w:val="000000"/>
              <w:sz w:val="24"/>
              <w:szCs w:val="24"/>
            </w:rPr>
          </w:pPr>
          <w:sdt>
            <w:sdtPr>
              <w:tag w:val="goog_rdk_44"/>
              <w:id w:val="2075232949"/>
            </w:sdtPr>
            <w:sdtContent/>
          </w:sdt>
        </w:p>
      </w:sdtContent>
    </w:sdt>
    <w:sdt>
      <w:sdtPr>
        <w:tag w:val="goog_rdk_47"/>
        <w:id w:val="1299490370"/>
      </w:sdtPr>
      <w:sdtContent>
        <w:p w14:paraId="00000293" w14:textId="77777777" w:rsidR="00B133DD" w:rsidRDefault="00DF7075">
          <w:pPr>
            <w:keepNext/>
            <w:spacing w:after="0" w:line="360" w:lineRule="auto"/>
            <w:jc w:val="both"/>
            <w:rPr>
              <w:ins w:id="40" w:author="Vanessa Gabrielle di Lego" w:date="2023-03-31T10:12:00Z"/>
              <w:rFonts w:ascii="Arial" w:eastAsia="Arial" w:hAnsi="Arial" w:cs="Arial"/>
              <w:color w:val="000000"/>
              <w:sz w:val="24"/>
              <w:szCs w:val="24"/>
            </w:rPr>
          </w:pPr>
          <w:sdt>
            <w:sdtPr>
              <w:tag w:val="goog_rdk_46"/>
              <w:id w:val="-976915571"/>
            </w:sdtPr>
            <w:sdtContent>
              <w:r w:rsidR="00A50CB3">
                <w:rPr>
                  <w:rFonts w:ascii="Arial" w:eastAsia="Arial" w:hAnsi="Arial" w:cs="Arial"/>
                  <w:color w:val="000000"/>
                  <w:sz w:val="24"/>
                  <w:szCs w:val="24"/>
                </w:rPr>
                <w:t xml:space="preserve">We estimate disability- and chronic disease-free life expectancies (DFLE and CFLE) for ages 60 and over using the Sullivan Method (24–26). For disability, we use the harmonized dummy variable constructed from a 5-item list of activities of daily living (ADLs), which include bathing, dressing, eating, getting in and out of bed, and using the toilet. For chronic doctor diagnosed diseases, we use the harmonized variables on specific chronic conditions diagnosed by a physician, which include diabetes, heart conditions, arthritis, cancer, stroke and lung disease. We use waves pertaining to year 2014-2015 (HRS: Wave 12; ELSA: Wave 7; SHARE: Wave 6; </w:t>
              </w:r>
              <w:proofErr w:type="spellStart"/>
              <w:r w:rsidR="00A50CB3">
                <w:rPr>
                  <w:rFonts w:ascii="Arial" w:eastAsia="Arial" w:hAnsi="Arial" w:cs="Arial"/>
                  <w:color w:val="000000"/>
                  <w:sz w:val="24"/>
                  <w:szCs w:val="24"/>
                </w:rPr>
                <w:t>KLoSA</w:t>
              </w:r>
              <w:proofErr w:type="spellEnd"/>
              <w:r w:rsidR="00A50CB3">
                <w:rPr>
                  <w:rFonts w:ascii="Arial" w:eastAsia="Arial" w:hAnsi="Arial" w:cs="Arial"/>
                  <w:color w:val="000000"/>
                  <w:sz w:val="24"/>
                  <w:szCs w:val="24"/>
                </w:rPr>
                <w:t xml:space="preserve">: Wave 5; CHARLS: Wave 2; and LASI Wave 1). The only exception is India, since the first wave of LASI was carried on between 2017-2019. The choice of years refers to the most recent waves for which harmonized data on health for this set of countries is available and there is concordance across surveys.  We focus on age 60 and above to be coherent towards the definition of old age across countries. While most developed countries define old age as 65, for China and Mexico it is age 60. Lastly, we apply the continuous change decomposition method (27, 28), so we can split gender differences in healthy life expectancy into mortality and disability/chronic disease effects by age (29). </w:t>
              </w:r>
            </w:sdtContent>
          </w:sdt>
        </w:p>
      </w:sdtContent>
    </w:sdt>
    <w:sdt>
      <w:sdtPr>
        <w:tag w:val="goog_rdk_49"/>
        <w:id w:val="-1615047028"/>
      </w:sdtPr>
      <w:sdtContent>
        <w:p w14:paraId="00000294" w14:textId="77777777" w:rsidR="00B133DD" w:rsidRPr="00B133DD" w:rsidRDefault="00DF7075">
          <w:pPr>
            <w:pBdr>
              <w:top w:val="nil"/>
              <w:left w:val="nil"/>
              <w:bottom w:val="nil"/>
              <w:right w:val="nil"/>
              <w:between w:val="nil"/>
            </w:pBdr>
            <w:spacing w:after="0"/>
            <w:rPr>
              <w:rFonts w:ascii="Arial" w:eastAsia="Arial" w:hAnsi="Arial" w:cs="Arial"/>
              <w:b/>
              <w:sz w:val="20"/>
              <w:szCs w:val="20"/>
              <w:rPrChange w:id="41" w:author="Vanessa Gabrielle di Lego" w:date="2023-03-31T10:12:00Z">
                <w:rPr>
                  <w:rFonts w:ascii="Arial" w:eastAsia="Arial" w:hAnsi="Arial" w:cs="Arial"/>
                  <w:b/>
                  <w:color w:val="000000"/>
                  <w:sz w:val="20"/>
                  <w:szCs w:val="20"/>
                </w:rPr>
              </w:rPrChange>
            </w:rPr>
          </w:pPr>
          <w:sdt>
            <w:sdtPr>
              <w:tag w:val="goog_rdk_48"/>
              <w:id w:val="-1650043025"/>
            </w:sdtPr>
            <w:sdtContent/>
          </w:sdt>
        </w:p>
      </w:sdtContent>
    </w:sdt>
    <w:p w14:paraId="00000295"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Methods</w:t>
      </w:r>
    </w:p>
    <w:p w14:paraId="00000296"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97"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To examine gender disparities in health expectancy, we estimate the disability-free life expectancy (</w:t>
      </w:r>
      <w:r>
        <w:rPr>
          <w:rFonts w:ascii="Arial" w:eastAsia="Arial" w:hAnsi="Arial" w:cs="Arial"/>
          <w:i/>
          <w:sz w:val="24"/>
          <w:szCs w:val="24"/>
        </w:rPr>
        <w:t>DFLE</w:t>
      </w:r>
      <w:r>
        <w:rPr>
          <w:rFonts w:ascii="Arial" w:eastAsia="Arial" w:hAnsi="Arial" w:cs="Arial"/>
          <w:sz w:val="24"/>
          <w:szCs w:val="24"/>
        </w:rPr>
        <w:t>) and the chronic-free life expectancy (CFLE) using the Sullivan Method (24), a methodological approach that has been used before in similar analyses (26). For each age group, we estimate the prevalence of disability and at least one chronic doctor diagnosed condition from the survey data for each country and combine it with the total number of person-years lived obtained from the life tables. The number of person-years lived free of disability (</w:t>
      </w:r>
      <m:oMath>
        <m:r>
          <w:rPr>
            <w:rFonts w:ascii="Cambria Math" w:eastAsia="Cambria Math" w:hAnsi="Cambria Math" w:cs="Cambria Math"/>
            <w:sz w:val="24"/>
            <w:szCs w:val="24"/>
          </w:rPr>
          <m:t xml:space="preserve">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oMath>
      <w:r>
        <w:rPr>
          <w:rFonts w:ascii="Arial" w:eastAsia="Arial" w:hAnsi="Arial" w:cs="Arial"/>
          <w:sz w:val="24"/>
          <w:szCs w:val="24"/>
        </w:rPr>
        <w:t>) is calculated as,</w:t>
      </w:r>
    </w:p>
    <w:p w14:paraId="00000298" w14:textId="77777777" w:rsidR="00B133DD" w:rsidRDefault="00B133DD">
      <w:pPr>
        <w:spacing w:after="0"/>
        <w:rPr>
          <w:rFonts w:ascii="Arial" w:eastAsia="Arial" w:hAnsi="Arial" w:cs="Arial"/>
          <w:sz w:val="24"/>
          <w:szCs w:val="24"/>
        </w:rPr>
      </w:pPr>
    </w:p>
    <w:p w14:paraId="00000299" w14:textId="77777777" w:rsidR="00B133DD" w:rsidRDefault="00A50CB3">
      <w:pPr>
        <w:jc w:val="center"/>
      </w:pPr>
      <m:oMath>
        <m:r>
          <w:rPr>
            <w:rFonts w:ascii="Cambria Math" w:eastAsia="Cambria Math" w:hAnsi="Cambria Math" w:cs="Cambria Math"/>
            <w:sz w:val="24"/>
            <w:szCs w:val="24"/>
          </w:rPr>
          <m:t xml:space="preserve">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r>
          <w:rPr>
            <w:rFonts w:ascii="Cambria Math" w:eastAsia="Cambria Math" w:hAnsi="Cambria Math" w:cs="Cambria Math"/>
            <w:sz w:val="24"/>
            <w:szCs w:val="24"/>
          </w:rPr>
          <m:t xml:space="preserve">=n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e>
          <m:sub>
            <m:r>
              <w:rPr>
                <w:rFonts w:ascii="Cambria Math" w:eastAsia="Cambria Math" w:hAnsi="Cambria Math" w:cs="Cambria Math"/>
                <w:sz w:val="24"/>
                <w:szCs w:val="24"/>
              </w:rPr>
              <m:t xml:space="preserve"> </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 xml:space="preserve">1-n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π</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e>
              <m:sub>
                <m:r>
                  <w:rPr>
                    <w:rFonts w:ascii="Cambria Math" w:eastAsia="Cambria Math" w:hAnsi="Cambria Math" w:cs="Cambria Math"/>
                    <w:sz w:val="24"/>
                    <w:szCs w:val="24"/>
                  </w:rPr>
                  <m:t xml:space="preserve"> </m:t>
                </m:r>
              </m:sub>
            </m:sSub>
          </m:e>
        </m:d>
        <m:r>
          <w:rPr>
            <w:rFonts w:ascii="Cambria Math" w:eastAsia="Cambria Math" w:hAnsi="Cambria Math" w:cs="Cambria Math"/>
            <w:sz w:val="24"/>
            <w:szCs w:val="24"/>
          </w:rPr>
          <m:t xml:space="preserve">    (1)</m:t>
        </m:r>
        <m:r>
          <w:rPr>
            <w:rFonts w:ascii="Cambria Math" w:eastAsia="Cambria Math" w:hAnsi="Cambria Math" w:cs="Cambria Math"/>
          </w:rPr>
          <m:t xml:space="preserve"> </m:t>
        </m:r>
      </m:oMath>
      <w:sdt>
        <w:sdtPr>
          <w:tag w:val="goog_rdk_50"/>
          <w:id w:val="-818888038"/>
        </w:sdtPr>
        <w:sdtContent>
          <w:commentRangeStart w:id="42"/>
        </w:sdtContent>
      </w:sdt>
      <w:commentRangeEnd w:id="42"/>
      <w:r>
        <w:commentReference w:id="42"/>
      </w:r>
    </w:p>
    <w:p w14:paraId="0000029A" w14:textId="77777777" w:rsidR="00B133DD" w:rsidRDefault="00B133DD">
      <w:pPr>
        <w:spacing w:line="360" w:lineRule="auto"/>
        <w:rPr>
          <w:rFonts w:ascii="Arial" w:eastAsia="Arial" w:hAnsi="Arial" w:cs="Arial"/>
          <w:sz w:val="24"/>
          <w:szCs w:val="24"/>
        </w:rPr>
      </w:pPr>
    </w:p>
    <w:p w14:paraId="0000029B" w14:textId="77777777" w:rsidR="00B133DD" w:rsidRDefault="00B133DD">
      <w:pPr>
        <w:spacing w:after="0"/>
        <w:rPr>
          <w:rFonts w:ascii="Arial" w:eastAsia="Arial" w:hAnsi="Arial" w:cs="Arial"/>
          <w:sz w:val="24"/>
          <w:szCs w:val="24"/>
        </w:rPr>
      </w:pPr>
    </w:p>
    <w:p w14:paraId="0000029C" w14:textId="77777777" w:rsidR="00B133DD" w:rsidRDefault="00B133DD">
      <w:pPr>
        <w:spacing w:after="0"/>
        <w:jc w:val="center"/>
        <w:rPr>
          <w:rFonts w:ascii="Arial" w:eastAsia="Arial" w:hAnsi="Arial" w:cs="Arial"/>
          <w:sz w:val="24"/>
          <w:szCs w:val="24"/>
        </w:rPr>
      </w:pPr>
    </w:p>
    <w:p w14:paraId="0000029D"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 xml:space="preserve">where </w:t>
      </w:r>
      <w:proofErr w:type="spellStart"/>
      <w:proofErr w:type="gram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r>
        <w:rPr>
          <w:rFonts w:ascii="Arial" w:eastAsia="Arial" w:hAnsi="Arial" w:cs="Arial"/>
          <w:i/>
          <w:sz w:val="24"/>
          <w:szCs w:val="24"/>
          <w:vertAlign w:val="superscript"/>
        </w:rPr>
        <w:t>i</w:t>
      </w:r>
      <w:proofErr w:type="spellEnd"/>
      <w:r>
        <w:rPr>
          <w:rFonts w:ascii="Arial" w:eastAsia="Arial" w:hAnsi="Arial" w:cs="Arial"/>
          <w:i/>
          <w:sz w:val="24"/>
          <w:szCs w:val="24"/>
        </w:rPr>
        <w:t xml:space="preserve"> </w:t>
      </w:r>
      <w:r>
        <w:rPr>
          <w:rFonts w:ascii="Arial" w:eastAsia="Arial" w:hAnsi="Arial" w:cs="Arial"/>
          <w:sz w:val="24"/>
          <w:szCs w:val="24"/>
        </w:rPr>
        <w:t xml:space="preserve"> is</w:t>
      </w:r>
      <w:proofErr w:type="gramEnd"/>
      <w:r>
        <w:rPr>
          <w:rFonts w:ascii="Arial" w:eastAsia="Arial" w:hAnsi="Arial" w:cs="Arial"/>
          <w:sz w:val="24"/>
          <w:szCs w:val="24"/>
        </w:rPr>
        <w:t xml:space="preserve"> the number of person-years lived without disability between ages</w:t>
      </w:r>
      <w:r>
        <w:rPr>
          <w:rFonts w:ascii="Arial" w:eastAsia="Arial" w:hAnsi="Arial" w:cs="Arial"/>
          <w:i/>
          <w:sz w:val="24"/>
          <w:szCs w:val="24"/>
        </w:rPr>
        <w:t xml:space="preserve"> 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w:t>
      </w:r>
      <w:proofErr w:type="spell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proofErr w:type="spellEnd"/>
      <w:r>
        <w:rPr>
          <w:rFonts w:ascii="Arial" w:eastAsia="Arial" w:hAnsi="Arial" w:cs="Arial"/>
          <w:sz w:val="24"/>
          <w:szCs w:val="24"/>
        </w:rPr>
        <w:t xml:space="preserve"> is the total number of person-years lived in the age group </w:t>
      </w:r>
      <w:r>
        <w:rPr>
          <w:rFonts w:ascii="Arial" w:eastAsia="Arial" w:hAnsi="Arial" w:cs="Arial"/>
          <w:i/>
          <w:sz w:val="24"/>
          <w:szCs w:val="24"/>
        </w:rPr>
        <w:t>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and </w:t>
      </w:r>
      <w:r>
        <w:rPr>
          <w:rFonts w:ascii="Arial" w:eastAsia="Arial" w:hAnsi="Arial" w:cs="Arial"/>
          <w:i/>
          <w:sz w:val="24"/>
          <w:szCs w:val="24"/>
          <w:vertAlign w:val="subscript"/>
        </w:rPr>
        <w:t>n</w:t>
      </w:r>
      <w:r>
        <w:rPr>
          <w:rFonts w:ascii="Arial" w:eastAsia="Arial" w:hAnsi="Arial" w:cs="Arial"/>
          <w:i/>
          <w:sz w:val="24"/>
          <w:szCs w:val="24"/>
        </w:rPr>
        <w:t>π</w:t>
      </w:r>
      <w:r>
        <w:rPr>
          <w:rFonts w:ascii="Arial" w:eastAsia="Arial" w:hAnsi="Arial" w:cs="Arial"/>
          <w:i/>
          <w:sz w:val="24"/>
          <w:szCs w:val="24"/>
          <w:vertAlign w:val="subscript"/>
        </w:rPr>
        <w:t>x</w:t>
      </w:r>
      <w:r>
        <w:rPr>
          <w:rFonts w:ascii="Arial" w:eastAsia="Arial" w:hAnsi="Arial" w:cs="Arial"/>
          <w:sz w:val="24"/>
          <w:szCs w:val="24"/>
        </w:rPr>
        <w:t xml:space="preserve"> is the proportion of disabled individuals in the age group </w:t>
      </w:r>
      <w:r>
        <w:rPr>
          <w:rFonts w:ascii="Arial" w:eastAsia="Arial" w:hAnsi="Arial" w:cs="Arial"/>
          <w:i/>
          <w:sz w:val="24"/>
          <w:szCs w:val="24"/>
        </w:rPr>
        <w:t xml:space="preserve">x </w:t>
      </w:r>
      <w:r>
        <w:rPr>
          <w:rFonts w:ascii="Arial" w:eastAsia="Arial" w:hAnsi="Arial" w:cs="Arial"/>
          <w:sz w:val="24"/>
          <w:szCs w:val="24"/>
        </w:rPr>
        <w:t xml:space="preserve">and </w:t>
      </w:r>
      <w:proofErr w:type="spellStart"/>
      <w:r>
        <w:rPr>
          <w:rFonts w:ascii="Arial" w:eastAsia="Arial" w:hAnsi="Arial" w:cs="Arial"/>
          <w:i/>
          <w:sz w:val="24"/>
          <w:szCs w:val="24"/>
        </w:rPr>
        <w:t>x+n</w:t>
      </w:r>
      <w:proofErr w:type="spellEnd"/>
      <w:r>
        <w:rPr>
          <w:rFonts w:ascii="Arial" w:eastAsia="Arial" w:hAnsi="Arial" w:cs="Arial"/>
          <w:sz w:val="24"/>
          <w:szCs w:val="24"/>
        </w:rPr>
        <w:t xml:space="preserve">. The same is for chronic-free person-years lived, however with the prevalence for at least one chronic condition instead of prevalence of ADLs, and we call the person-years derived by the same process as </w:t>
      </w:r>
      <m:oMath>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oMath>
      <w:r>
        <w:rPr>
          <w:rFonts w:ascii="Arial" w:eastAsia="Arial" w:hAnsi="Arial" w:cs="Arial"/>
          <w:sz w:val="24"/>
          <w:szCs w:val="24"/>
        </w:rPr>
        <w:t>.</w:t>
      </w:r>
    </w:p>
    <w:p w14:paraId="0000029E"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Then, life expectancy free of disability (</w:t>
      </w:r>
      <w:r>
        <w:rPr>
          <w:rFonts w:ascii="Arial" w:eastAsia="Arial" w:hAnsi="Arial" w:cs="Arial"/>
          <w:i/>
          <w:sz w:val="24"/>
          <w:szCs w:val="24"/>
        </w:rPr>
        <w:t>DFLE</w:t>
      </w:r>
      <w:r>
        <w:rPr>
          <w:rFonts w:ascii="Arial" w:eastAsia="Arial" w:hAnsi="Arial" w:cs="Arial"/>
          <w:sz w:val="24"/>
          <w:szCs w:val="24"/>
        </w:rPr>
        <w:t>) is calculated as:</w:t>
      </w:r>
    </w:p>
    <w:p w14:paraId="0000029F" w14:textId="6FF1D338" w:rsidR="00B133DD" w:rsidRDefault="00DF7075">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i</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(2)</m:t>
          </m:r>
          <m:r>
            <w:rPr>
              <w:rFonts w:ascii="Cambria Math" w:eastAsia="Cambria Math" w:hAnsi="Cambria Math" w:cs="Cambria Math"/>
            </w:rPr>
            <m:t xml:space="preserve"> </m:t>
          </m:r>
        </m:oMath>
      </m:oMathPara>
    </w:p>
    <w:p w14:paraId="000002A0"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With its equivalent life expectancy free of chronic disease (</w:t>
      </w:r>
      <w:r>
        <w:rPr>
          <w:rFonts w:ascii="Arial" w:eastAsia="Arial" w:hAnsi="Arial" w:cs="Arial"/>
          <w:i/>
          <w:sz w:val="24"/>
          <w:szCs w:val="24"/>
        </w:rPr>
        <w:t>CFLE</w:t>
      </w:r>
      <w:r>
        <w:rPr>
          <w:rFonts w:ascii="Arial" w:eastAsia="Arial" w:hAnsi="Arial" w:cs="Arial"/>
          <w:sz w:val="24"/>
          <w:szCs w:val="24"/>
        </w:rPr>
        <w:t>):</w:t>
      </w:r>
    </w:p>
    <w:p w14:paraId="000002A1" w14:textId="77680292" w:rsidR="00B133DD" w:rsidRDefault="00DF7075">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(3)</m:t>
          </m:r>
          <m:r>
            <w:rPr>
              <w:rFonts w:ascii="Cambria Math" w:eastAsia="Cambria Math" w:hAnsi="Cambria Math" w:cs="Cambria Math"/>
            </w:rPr>
            <m:t xml:space="preserve"> </m:t>
          </m:r>
        </m:oMath>
      </m:oMathPara>
    </w:p>
    <w:p w14:paraId="000002A2" w14:textId="77777777" w:rsidR="00B133DD" w:rsidRDefault="00B133DD">
      <w:pPr>
        <w:spacing w:line="360" w:lineRule="auto"/>
        <w:rPr>
          <w:rFonts w:ascii="Arial" w:eastAsia="Arial" w:hAnsi="Arial" w:cs="Arial"/>
          <w:sz w:val="24"/>
          <w:szCs w:val="24"/>
        </w:rPr>
      </w:pPr>
    </w:p>
    <w:p w14:paraId="000002A3"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 xml:space="preserve">where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disability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 xml:space="preserve">. Similarly,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chronic conditions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w:t>
      </w:r>
    </w:p>
    <w:p w14:paraId="000002A4"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 xml:space="preserve">We then calculate gender gap in </w:t>
      </w:r>
      <w:r>
        <w:rPr>
          <w:rFonts w:ascii="Arial" w:eastAsia="Arial" w:hAnsi="Arial" w:cs="Arial"/>
          <w:i/>
          <w:sz w:val="24"/>
          <w:szCs w:val="24"/>
        </w:rPr>
        <w:t xml:space="preserve">DFLE </w:t>
      </w:r>
      <w:r>
        <w:rPr>
          <w:rFonts w:ascii="Arial" w:eastAsia="Arial" w:hAnsi="Arial" w:cs="Arial"/>
          <w:sz w:val="24"/>
          <w:szCs w:val="24"/>
        </w:rPr>
        <w:t>as:</w:t>
      </w:r>
    </w:p>
    <w:p w14:paraId="000002A5" w14:textId="77777777" w:rsidR="00B133DD" w:rsidRDefault="00DF7075">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xDFLE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000002A6"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 xml:space="preserve">And the gender gap in </w:t>
      </w:r>
      <w:r>
        <w:rPr>
          <w:rFonts w:ascii="Arial" w:eastAsia="Arial" w:hAnsi="Arial" w:cs="Arial"/>
          <w:i/>
          <w:sz w:val="24"/>
          <w:szCs w:val="24"/>
        </w:rPr>
        <w:t xml:space="preserve">CFLE </w:t>
      </w:r>
      <w:r>
        <w:rPr>
          <w:rFonts w:ascii="Arial" w:eastAsia="Arial" w:hAnsi="Arial" w:cs="Arial"/>
          <w:sz w:val="24"/>
          <w:szCs w:val="24"/>
        </w:rPr>
        <w:t>as:</w:t>
      </w:r>
    </w:p>
    <w:p w14:paraId="000002A7" w14:textId="77777777" w:rsidR="00B133DD" w:rsidRDefault="00DF7075">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000002A8" w14:textId="77777777" w:rsidR="00B133DD" w:rsidRDefault="00B133DD">
      <w:pPr>
        <w:spacing w:line="360" w:lineRule="auto"/>
        <w:jc w:val="both"/>
        <w:rPr>
          <w:rFonts w:ascii="Georgia" w:eastAsia="Georgia" w:hAnsi="Georgia" w:cs="Georgia"/>
          <w:sz w:val="24"/>
          <w:szCs w:val="24"/>
        </w:rPr>
      </w:pPr>
    </w:p>
    <w:p w14:paraId="000002A9" w14:textId="77777777" w:rsidR="00B133DD" w:rsidRDefault="00A50CB3">
      <w:pPr>
        <w:spacing w:line="360" w:lineRule="auto"/>
        <w:jc w:val="both"/>
        <w:rPr>
          <w:rFonts w:ascii="Arial" w:eastAsia="Arial" w:hAnsi="Arial" w:cs="Arial"/>
          <w:color w:val="000000"/>
          <w:sz w:val="24"/>
          <w:szCs w:val="24"/>
          <w:highlight w:val="white"/>
        </w:rPr>
      </w:pPr>
      <w:r>
        <w:rPr>
          <w:rFonts w:ascii="Arial" w:eastAsia="Arial" w:hAnsi="Arial" w:cs="Arial"/>
          <w:sz w:val="24"/>
          <w:szCs w:val="24"/>
        </w:rPr>
        <w:lastRenderedPageBreak/>
        <w:t xml:space="preserve">We later split the gender differences in </w:t>
      </w:r>
      <w:r>
        <w:rPr>
          <w:rFonts w:ascii="Arial" w:eastAsia="Arial" w:hAnsi="Arial" w:cs="Arial"/>
          <w:i/>
          <w:sz w:val="24"/>
          <w:szCs w:val="24"/>
        </w:rPr>
        <w:t>DFLE</w:t>
      </w:r>
      <w:r>
        <w:rPr>
          <w:rFonts w:ascii="Arial" w:eastAsia="Arial" w:hAnsi="Arial" w:cs="Arial"/>
          <w:sz w:val="24"/>
          <w:szCs w:val="24"/>
        </w:rPr>
        <w:t xml:space="preserve"> and </w:t>
      </w:r>
      <w:r>
        <w:rPr>
          <w:rFonts w:ascii="Arial" w:eastAsia="Arial" w:hAnsi="Arial" w:cs="Arial"/>
          <w:i/>
          <w:sz w:val="24"/>
          <w:szCs w:val="24"/>
        </w:rPr>
        <w:t>CFLE</w:t>
      </w:r>
      <w:r>
        <w:rPr>
          <w:rFonts w:ascii="Arial" w:eastAsia="Arial" w:hAnsi="Arial" w:cs="Arial"/>
          <w:sz w:val="24"/>
          <w:szCs w:val="24"/>
        </w:rPr>
        <w:t xml:space="preserve"> at age </w:t>
      </w:r>
      <w:r>
        <w:rPr>
          <w:rFonts w:ascii="Arial" w:eastAsia="Arial" w:hAnsi="Arial" w:cs="Arial"/>
          <w:i/>
          <w:sz w:val="24"/>
          <w:szCs w:val="24"/>
        </w:rPr>
        <w:t>x</w:t>
      </w:r>
      <w:r>
        <w:rPr>
          <w:rFonts w:ascii="Arial" w:eastAsia="Arial" w:hAnsi="Arial" w:cs="Arial"/>
          <w:sz w:val="24"/>
          <w:szCs w:val="24"/>
        </w:rPr>
        <w:t xml:space="preserve"> into mortality and disability/chronic effects by five-year age groups. To decompose the gap, we apply the continuous change decomposition method that was developed by Horiuchi et al. (27) and implemented in R by Riffe (28). 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t>
      </w:r>
      <w:r>
        <w:rPr>
          <w:rFonts w:ascii="Arial" w:eastAsia="Arial" w:hAnsi="Arial" w:cs="Arial"/>
          <w:i/>
          <w:sz w:val="24"/>
          <w:szCs w:val="24"/>
        </w:rPr>
        <w:t>n</w:t>
      </w:r>
      <w:r>
        <w:rPr>
          <w:rFonts w:ascii="Arial" w:eastAsia="Arial" w:hAnsi="Arial" w:cs="Arial"/>
          <w:sz w:val="24"/>
          <w:szCs w:val="24"/>
        </w:rPr>
        <w:t xml:space="preserve"> partial derivatives of the function with respect to the covariates (27). Then, numerical integration is used to obtain the total contribution of the covariates for the variation of the aggregate measure. </w:t>
      </w:r>
      <w:r>
        <w:rPr>
          <w:rFonts w:ascii="Arial" w:eastAsia="Arial" w:hAnsi="Arial" w:cs="Arial"/>
          <w:color w:val="000000"/>
          <w:sz w:val="24"/>
          <w:szCs w:val="24"/>
          <w:highlight w:val="white"/>
        </w:rPr>
        <w:t xml:space="preserve">This allows us to estimate the contribution of disability and chronic conditions to explaining gender inequality.  In addition, the </w:t>
      </w:r>
      <w:r>
        <w:rPr>
          <w:rFonts w:ascii="Arial" w:eastAsia="Arial" w:hAnsi="Arial" w:cs="Arial"/>
          <w:sz w:val="24"/>
          <w:szCs w:val="24"/>
        </w:rPr>
        <w:t>method is very flexible, and can be used for decomposing gaps in different aggregate measures, including healthy life expectancy, as presented by van Raalte and Nepomuceno (29). Previous research has employed the methodology to estimate gaps in disability for LAC countries (22).</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w:t>
      </w:r>
      <w:r>
        <w:rPr>
          <w:rFonts w:ascii="Arial" w:eastAsia="Arial" w:hAnsi="Arial" w:cs="Arial"/>
          <w:sz w:val="24"/>
          <w:szCs w:val="24"/>
          <w:highlight w:val="white"/>
        </w:rPr>
        <w:lastRenderedPageBreak/>
        <w:t>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20">
        <w:r>
          <w:rPr>
            <w:rFonts w:ascii="Arial" w:eastAsia="Arial" w:hAnsi="Arial" w:cs="Arial"/>
            <w:sz w:val="24"/>
            <w:szCs w:val="24"/>
            <w:highlight w:val="white"/>
          </w:rPr>
          <w:t xml:space="preserve"> </w:t>
        </w:r>
      </w:hyperlink>
      <w:hyperlink r:id="rId21">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22">
        <w:r>
          <w:rPr>
            <w:rFonts w:ascii="Arial" w:eastAsia="Arial" w:hAnsi="Arial" w:cs="Arial"/>
            <w:sz w:val="24"/>
            <w:szCs w:val="24"/>
            <w:highlight w:val="white"/>
          </w:rPr>
          <w:t xml:space="preserve"> </w:t>
        </w:r>
      </w:hyperlink>
      <w:hyperlink r:id="rId23">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000002B7"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8"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 </w:t>
      </w:r>
      <w:r>
        <w:rPr>
          <w:rFonts w:ascii="Arial" w:eastAsia="Arial" w:hAnsi="Arial" w:cs="Arial"/>
          <w:sz w:val="20"/>
          <w:szCs w:val="20"/>
        </w:rPr>
        <w:tab/>
        <w:t>World Economic Forum, “The Global Gender Gap Report 2021” (2021).</w:t>
      </w:r>
    </w:p>
    <w:p w14:paraId="000002B9"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 </w:t>
      </w:r>
      <w:r>
        <w:rPr>
          <w:rFonts w:ascii="Arial" w:eastAsia="Arial" w:hAnsi="Arial" w:cs="Arial"/>
          <w:sz w:val="20"/>
          <w:szCs w:val="20"/>
        </w:rPr>
        <w:tab/>
        <w:t>WHO (World Health Organization), “Understanding the drivers of health equity: the power of political participation” (2020).</w:t>
      </w:r>
    </w:p>
    <w:p w14:paraId="000002BA"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 </w:t>
      </w:r>
      <w:r>
        <w:rPr>
          <w:rFonts w:ascii="Arial" w:eastAsia="Arial" w:hAnsi="Arial" w:cs="Arial"/>
          <w:sz w:val="20"/>
          <w:szCs w:val="20"/>
        </w:rPr>
        <w:tab/>
        <w:t>European Institute for Gender Equality, “Gender Equality Index 2021: Health” (2021) https:/doi.org/10.2839/633501.</w:t>
      </w:r>
    </w:p>
    <w:p w14:paraId="000002BB"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4. </w:t>
      </w:r>
      <w:r>
        <w:rPr>
          <w:rFonts w:ascii="Arial" w:eastAsia="Arial" w:hAnsi="Arial" w:cs="Arial"/>
          <w:sz w:val="20"/>
          <w:szCs w:val="20"/>
        </w:rPr>
        <w:tab/>
        <w:t xml:space="preserve">A. Case, C. Paxson, Sex Differences in Morbidity and Mortality. </w:t>
      </w:r>
      <w:r>
        <w:rPr>
          <w:rFonts w:ascii="Arial" w:eastAsia="Arial" w:hAnsi="Arial" w:cs="Arial"/>
          <w:i/>
          <w:sz w:val="20"/>
          <w:szCs w:val="20"/>
        </w:rPr>
        <w:t>Demography</w:t>
      </w:r>
      <w:r>
        <w:rPr>
          <w:rFonts w:ascii="Arial" w:eastAsia="Arial" w:hAnsi="Arial" w:cs="Arial"/>
          <w:sz w:val="20"/>
          <w:szCs w:val="20"/>
        </w:rPr>
        <w:t xml:space="preserve"> </w:t>
      </w:r>
      <w:r>
        <w:rPr>
          <w:rFonts w:ascii="Arial" w:eastAsia="Arial" w:hAnsi="Arial" w:cs="Arial"/>
          <w:b/>
          <w:sz w:val="20"/>
          <w:szCs w:val="20"/>
        </w:rPr>
        <w:t>42</w:t>
      </w:r>
      <w:r>
        <w:rPr>
          <w:rFonts w:ascii="Arial" w:eastAsia="Arial" w:hAnsi="Arial" w:cs="Arial"/>
          <w:sz w:val="20"/>
          <w:szCs w:val="20"/>
        </w:rPr>
        <w:t>, 189–214 (2005).</w:t>
      </w:r>
    </w:p>
    <w:p w14:paraId="000002BC"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5. </w:t>
      </w:r>
      <w:r>
        <w:rPr>
          <w:rFonts w:ascii="Arial" w:eastAsia="Arial" w:hAnsi="Arial" w:cs="Arial"/>
          <w:sz w:val="20"/>
          <w:szCs w:val="20"/>
        </w:rPr>
        <w:tab/>
        <w:t xml:space="preserve">E. M. Crimmins, J. K. Kim, A. </w:t>
      </w:r>
      <w:proofErr w:type="spellStart"/>
      <w:r>
        <w:rPr>
          <w:rFonts w:ascii="Arial" w:eastAsia="Arial" w:hAnsi="Arial" w:cs="Arial"/>
          <w:sz w:val="20"/>
          <w:szCs w:val="20"/>
        </w:rPr>
        <w:t>Solé-Auró</w:t>
      </w:r>
      <w:proofErr w:type="spellEnd"/>
      <w:r>
        <w:rPr>
          <w:rFonts w:ascii="Arial" w:eastAsia="Arial" w:hAnsi="Arial" w:cs="Arial"/>
          <w:sz w:val="20"/>
          <w:szCs w:val="20"/>
        </w:rPr>
        <w:t xml:space="preserve">, Gender differences in health: results from SHARE, ELSA and HRS. </w:t>
      </w:r>
      <w:r>
        <w:rPr>
          <w:rFonts w:ascii="Arial" w:eastAsia="Arial" w:hAnsi="Arial" w:cs="Arial"/>
          <w:i/>
          <w:sz w:val="20"/>
          <w:szCs w:val="20"/>
        </w:rPr>
        <w:t>Eur. J. Public Health</w:t>
      </w:r>
      <w:r>
        <w:rPr>
          <w:rFonts w:ascii="Arial" w:eastAsia="Arial" w:hAnsi="Arial" w:cs="Arial"/>
          <w:sz w:val="20"/>
          <w:szCs w:val="20"/>
        </w:rPr>
        <w:t xml:space="preserve"> </w:t>
      </w:r>
      <w:r>
        <w:rPr>
          <w:rFonts w:ascii="Arial" w:eastAsia="Arial" w:hAnsi="Arial" w:cs="Arial"/>
          <w:b/>
          <w:sz w:val="20"/>
          <w:szCs w:val="20"/>
        </w:rPr>
        <w:t>21</w:t>
      </w:r>
      <w:r>
        <w:rPr>
          <w:rFonts w:ascii="Arial" w:eastAsia="Arial" w:hAnsi="Arial" w:cs="Arial"/>
          <w:sz w:val="20"/>
          <w:szCs w:val="20"/>
        </w:rPr>
        <w:t>, 81–91 (2011).</w:t>
      </w:r>
    </w:p>
    <w:p w14:paraId="000002BD"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6. </w:t>
      </w:r>
      <w:r>
        <w:rPr>
          <w:rFonts w:ascii="Arial" w:eastAsia="Arial" w:hAnsi="Arial" w:cs="Arial"/>
          <w:sz w:val="20"/>
          <w:szCs w:val="20"/>
        </w:rPr>
        <w:tab/>
        <w:t xml:space="preserve">L. M. </w:t>
      </w:r>
      <w:proofErr w:type="spellStart"/>
      <w:r>
        <w:rPr>
          <w:rFonts w:ascii="Arial" w:eastAsia="Arial" w:hAnsi="Arial" w:cs="Arial"/>
          <w:sz w:val="20"/>
          <w:szCs w:val="20"/>
        </w:rPr>
        <w:t>Verbrugge</w:t>
      </w:r>
      <w:proofErr w:type="spellEnd"/>
      <w:r>
        <w:rPr>
          <w:rFonts w:ascii="Arial" w:eastAsia="Arial" w:hAnsi="Arial" w:cs="Arial"/>
          <w:sz w:val="20"/>
          <w:szCs w:val="20"/>
        </w:rPr>
        <w:t xml:space="preserve">, D. L. Wingard, Sex Differentials in Health and Mortality. </w:t>
      </w:r>
      <w:r>
        <w:rPr>
          <w:rFonts w:ascii="Arial" w:eastAsia="Arial" w:hAnsi="Arial" w:cs="Arial"/>
          <w:i/>
          <w:sz w:val="20"/>
          <w:szCs w:val="20"/>
        </w:rPr>
        <w:t>Women Health</w:t>
      </w:r>
      <w:r>
        <w:rPr>
          <w:rFonts w:ascii="Arial" w:eastAsia="Arial" w:hAnsi="Arial" w:cs="Arial"/>
          <w:sz w:val="20"/>
          <w:szCs w:val="20"/>
        </w:rPr>
        <w:t xml:space="preserve"> </w:t>
      </w:r>
      <w:r>
        <w:rPr>
          <w:rFonts w:ascii="Arial" w:eastAsia="Arial" w:hAnsi="Arial" w:cs="Arial"/>
          <w:b/>
          <w:sz w:val="20"/>
          <w:szCs w:val="20"/>
        </w:rPr>
        <w:t>12</w:t>
      </w:r>
      <w:r>
        <w:rPr>
          <w:rFonts w:ascii="Arial" w:eastAsia="Arial" w:hAnsi="Arial" w:cs="Arial"/>
          <w:sz w:val="20"/>
          <w:szCs w:val="20"/>
        </w:rPr>
        <w:t>, 103–145 (1987).</w:t>
      </w:r>
    </w:p>
    <w:p w14:paraId="000002BE"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7. </w:t>
      </w:r>
      <w:r>
        <w:rPr>
          <w:rFonts w:ascii="Arial" w:eastAsia="Arial" w:hAnsi="Arial" w:cs="Arial"/>
          <w:sz w:val="20"/>
          <w:szCs w:val="20"/>
        </w:rPr>
        <w:tab/>
        <w:t xml:space="preserve">G. </w:t>
      </w:r>
      <w:proofErr w:type="spellStart"/>
      <w:r>
        <w:rPr>
          <w:rFonts w:ascii="Arial" w:eastAsia="Arial" w:hAnsi="Arial" w:cs="Arial"/>
          <w:sz w:val="20"/>
          <w:szCs w:val="20"/>
        </w:rPr>
        <w:t>Doblhammer</w:t>
      </w:r>
      <w:proofErr w:type="spellEnd"/>
      <w:r>
        <w:rPr>
          <w:rFonts w:ascii="Arial" w:eastAsia="Arial" w:hAnsi="Arial" w:cs="Arial"/>
          <w:sz w:val="20"/>
          <w:szCs w:val="20"/>
        </w:rPr>
        <w:t xml:space="preserve">, J. </w:t>
      </w:r>
      <w:proofErr w:type="spellStart"/>
      <w:r>
        <w:rPr>
          <w:rFonts w:ascii="Arial" w:eastAsia="Arial" w:hAnsi="Arial" w:cs="Arial"/>
          <w:sz w:val="20"/>
          <w:szCs w:val="20"/>
        </w:rPr>
        <w:t>Gumà</w:t>
      </w:r>
      <w:proofErr w:type="spellEnd"/>
      <w:r>
        <w:rPr>
          <w:rFonts w:ascii="Arial" w:eastAsia="Arial" w:hAnsi="Arial" w:cs="Arial"/>
          <w:sz w:val="20"/>
          <w:szCs w:val="20"/>
        </w:rPr>
        <w:t xml:space="preserve">, </w:t>
      </w:r>
      <w:r>
        <w:rPr>
          <w:rFonts w:ascii="Arial" w:eastAsia="Arial" w:hAnsi="Arial" w:cs="Arial"/>
          <w:i/>
          <w:sz w:val="20"/>
          <w:szCs w:val="20"/>
        </w:rPr>
        <w:t>A Demographic Perspective on Gender, Family and Health in Europe</w:t>
      </w:r>
      <w:r>
        <w:rPr>
          <w:rFonts w:ascii="Arial" w:eastAsia="Arial" w:hAnsi="Arial" w:cs="Arial"/>
          <w:sz w:val="20"/>
          <w:szCs w:val="20"/>
        </w:rPr>
        <w:t xml:space="preserve">, G. </w:t>
      </w:r>
      <w:proofErr w:type="spellStart"/>
      <w:r>
        <w:rPr>
          <w:rFonts w:ascii="Arial" w:eastAsia="Arial" w:hAnsi="Arial" w:cs="Arial"/>
          <w:sz w:val="20"/>
          <w:szCs w:val="20"/>
        </w:rPr>
        <w:t>Doblhammer</w:t>
      </w:r>
      <w:proofErr w:type="spellEnd"/>
      <w:r>
        <w:rPr>
          <w:rFonts w:ascii="Arial" w:eastAsia="Arial" w:hAnsi="Arial" w:cs="Arial"/>
          <w:sz w:val="20"/>
          <w:szCs w:val="20"/>
        </w:rPr>
        <w:t xml:space="preserve">, J. </w:t>
      </w:r>
      <w:proofErr w:type="spellStart"/>
      <w:r>
        <w:rPr>
          <w:rFonts w:ascii="Arial" w:eastAsia="Arial" w:hAnsi="Arial" w:cs="Arial"/>
          <w:sz w:val="20"/>
          <w:szCs w:val="20"/>
        </w:rPr>
        <w:t>Gumà</w:t>
      </w:r>
      <w:proofErr w:type="spellEnd"/>
      <w:r>
        <w:rPr>
          <w:rFonts w:ascii="Arial" w:eastAsia="Arial" w:hAnsi="Arial" w:cs="Arial"/>
          <w:sz w:val="20"/>
          <w:szCs w:val="20"/>
        </w:rPr>
        <w:t>, Eds. (Springer International Publishing, 2018) https:/doi.org/10.1007/978-3-319-72356-3.</w:t>
      </w:r>
    </w:p>
    <w:p w14:paraId="000002BF"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8. </w:t>
      </w:r>
      <w:r>
        <w:rPr>
          <w:rFonts w:ascii="Arial" w:eastAsia="Arial" w:hAnsi="Arial" w:cs="Arial"/>
          <w:sz w:val="20"/>
          <w:szCs w:val="20"/>
        </w:rPr>
        <w:tab/>
        <w:t xml:space="preserve">V. </w:t>
      </w:r>
      <w:proofErr w:type="spellStart"/>
      <w:r>
        <w:rPr>
          <w:rFonts w:ascii="Arial" w:eastAsia="Arial" w:hAnsi="Arial" w:cs="Arial"/>
          <w:sz w:val="20"/>
          <w:szCs w:val="20"/>
        </w:rPr>
        <w:t>Zarulli</w:t>
      </w:r>
      <w:proofErr w:type="spellEnd"/>
      <w:r>
        <w:rPr>
          <w:rFonts w:ascii="Arial" w:eastAsia="Arial" w:hAnsi="Arial" w:cs="Arial"/>
          <w:sz w:val="20"/>
          <w:szCs w:val="20"/>
        </w:rPr>
        <w:t xml:space="preserve">, </w:t>
      </w:r>
      <w:r>
        <w:rPr>
          <w:rFonts w:ascii="Arial" w:eastAsia="Arial" w:hAnsi="Arial" w:cs="Arial"/>
          <w:i/>
          <w:sz w:val="20"/>
          <w:szCs w:val="20"/>
        </w:rPr>
        <w:t>et al.</w:t>
      </w:r>
      <w:r>
        <w:rPr>
          <w:rFonts w:ascii="Arial" w:eastAsia="Arial" w:hAnsi="Arial" w:cs="Arial"/>
          <w:sz w:val="20"/>
          <w:szCs w:val="20"/>
        </w:rPr>
        <w:t xml:space="preserve">, Women live longer than men even during severe famines and epidemics. </w:t>
      </w:r>
      <w:r>
        <w:rPr>
          <w:rFonts w:ascii="Arial" w:eastAsia="Arial" w:hAnsi="Arial" w:cs="Arial"/>
          <w:i/>
          <w:sz w:val="20"/>
          <w:szCs w:val="20"/>
        </w:rPr>
        <w:t>Proc. Natl. Acad. Sci.</w:t>
      </w:r>
      <w:r>
        <w:rPr>
          <w:rFonts w:ascii="Arial" w:eastAsia="Arial" w:hAnsi="Arial" w:cs="Arial"/>
          <w:sz w:val="20"/>
          <w:szCs w:val="20"/>
        </w:rPr>
        <w:t xml:space="preserve"> (2018) https:/doi.org/10.1073/pnas.1701535115.</w:t>
      </w:r>
    </w:p>
    <w:p w14:paraId="000002C0"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9. </w:t>
      </w:r>
      <w:r>
        <w:rPr>
          <w:rFonts w:ascii="Arial" w:eastAsia="Arial" w:hAnsi="Arial" w:cs="Arial"/>
          <w:sz w:val="20"/>
          <w:szCs w:val="20"/>
        </w:rPr>
        <w:tab/>
        <w:t xml:space="preserve">F. C. Drumond Andrade, P. E. Guevara, M. L. </w:t>
      </w:r>
      <w:proofErr w:type="spellStart"/>
      <w:r>
        <w:rPr>
          <w:rFonts w:ascii="Arial" w:eastAsia="Arial" w:hAnsi="Arial" w:cs="Arial"/>
          <w:sz w:val="20"/>
          <w:szCs w:val="20"/>
        </w:rPr>
        <w:t>Lebrão</w:t>
      </w:r>
      <w:proofErr w:type="spellEnd"/>
      <w:r>
        <w:rPr>
          <w:rFonts w:ascii="Arial" w:eastAsia="Arial" w:hAnsi="Arial" w:cs="Arial"/>
          <w:sz w:val="20"/>
          <w:szCs w:val="20"/>
        </w:rPr>
        <w:t xml:space="preserve">, Y. A. de Oliveira Duarte, J. L. F. Santos, Gender Differences in Life Expectancy and Disability-Free Life Expectancy Among Older Adults in São Paulo, Brazil. </w:t>
      </w:r>
      <w:r>
        <w:rPr>
          <w:rFonts w:ascii="Arial" w:eastAsia="Arial" w:hAnsi="Arial" w:cs="Arial"/>
          <w:i/>
          <w:sz w:val="20"/>
          <w:szCs w:val="20"/>
        </w:rPr>
        <w:t>Women’s Heal. Issues</w:t>
      </w:r>
      <w:r>
        <w:rPr>
          <w:rFonts w:ascii="Arial" w:eastAsia="Arial" w:hAnsi="Arial" w:cs="Arial"/>
          <w:sz w:val="20"/>
          <w:szCs w:val="20"/>
        </w:rPr>
        <w:t xml:space="preserve"> </w:t>
      </w:r>
      <w:r>
        <w:rPr>
          <w:rFonts w:ascii="Arial" w:eastAsia="Arial" w:hAnsi="Arial" w:cs="Arial"/>
          <w:b/>
          <w:sz w:val="20"/>
          <w:szCs w:val="20"/>
        </w:rPr>
        <w:t>21</w:t>
      </w:r>
      <w:r>
        <w:rPr>
          <w:rFonts w:ascii="Arial" w:eastAsia="Arial" w:hAnsi="Arial" w:cs="Arial"/>
          <w:sz w:val="20"/>
          <w:szCs w:val="20"/>
        </w:rPr>
        <w:t>, 64–70 (2011).</w:t>
      </w:r>
    </w:p>
    <w:p w14:paraId="000002C1"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10. </w:t>
      </w:r>
      <w:r>
        <w:rPr>
          <w:rFonts w:ascii="Arial" w:eastAsia="Arial" w:hAnsi="Arial" w:cs="Arial"/>
          <w:sz w:val="20"/>
          <w:szCs w:val="20"/>
        </w:rPr>
        <w:tab/>
        <w:t>V. Di Lego, P. Di Giulio, M. Luy, “Gender Differences in Healthy and Unhealthy Life Expectancy” in (2020), pp. 151–172.</w:t>
      </w:r>
    </w:p>
    <w:p w14:paraId="000002C2"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11. </w:t>
      </w:r>
      <w:r>
        <w:rPr>
          <w:rFonts w:ascii="Arial" w:eastAsia="Arial" w:hAnsi="Arial" w:cs="Arial"/>
          <w:sz w:val="20"/>
          <w:szCs w:val="20"/>
        </w:rPr>
        <w:tab/>
        <w:t xml:space="preserve">E. Grundy, “Gender and healthy aging” in </w:t>
      </w:r>
      <w:r>
        <w:rPr>
          <w:rFonts w:ascii="Arial" w:eastAsia="Arial" w:hAnsi="Arial" w:cs="Arial"/>
          <w:i/>
          <w:sz w:val="20"/>
          <w:szCs w:val="20"/>
        </w:rPr>
        <w:t>Longer Life and Healthy Aging</w:t>
      </w:r>
      <w:r>
        <w:rPr>
          <w:rFonts w:ascii="Arial" w:eastAsia="Arial" w:hAnsi="Arial" w:cs="Arial"/>
          <w:sz w:val="20"/>
          <w:szCs w:val="20"/>
        </w:rPr>
        <w:t>, (2006), pp. 173–199.</w:t>
      </w:r>
    </w:p>
    <w:p w14:paraId="000002C3"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12. </w:t>
      </w:r>
      <w:r>
        <w:rPr>
          <w:rFonts w:ascii="Arial" w:eastAsia="Arial" w:hAnsi="Arial" w:cs="Arial"/>
          <w:sz w:val="20"/>
          <w:szCs w:val="20"/>
        </w:rPr>
        <w:tab/>
        <w:t xml:space="preserve">C. D. Mathers, R. </w:t>
      </w:r>
      <w:proofErr w:type="spellStart"/>
      <w:r>
        <w:rPr>
          <w:rFonts w:ascii="Arial" w:eastAsia="Arial" w:hAnsi="Arial" w:cs="Arial"/>
          <w:sz w:val="20"/>
          <w:szCs w:val="20"/>
        </w:rPr>
        <w:t>Sadana</w:t>
      </w:r>
      <w:proofErr w:type="spellEnd"/>
      <w:r>
        <w:rPr>
          <w:rFonts w:ascii="Arial" w:eastAsia="Arial" w:hAnsi="Arial" w:cs="Arial"/>
          <w:sz w:val="20"/>
          <w:szCs w:val="20"/>
        </w:rPr>
        <w:t xml:space="preserve">, J. A. Salomon, C. J. L. Murray, A. D. Lopez, Healthy life expectancy in 191 countries, 1999. </w:t>
      </w:r>
      <w:r>
        <w:rPr>
          <w:rFonts w:ascii="Arial" w:eastAsia="Arial" w:hAnsi="Arial" w:cs="Arial"/>
          <w:i/>
          <w:sz w:val="20"/>
          <w:szCs w:val="20"/>
        </w:rPr>
        <w:t>Lancet</w:t>
      </w:r>
      <w:r>
        <w:rPr>
          <w:rFonts w:ascii="Arial" w:eastAsia="Arial" w:hAnsi="Arial" w:cs="Arial"/>
          <w:sz w:val="20"/>
          <w:szCs w:val="20"/>
        </w:rPr>
        <w:t xml:space="preserve"> </w:t>
      </w:r>
      <w:r>
        <w:rPr>
          <w:rFonts w:ascii="Arial" w:eastAsia="Arial" w:hAnsi="Arial" w:cs="Arial"/>
          <w:b/>
          <w:sz w:val="20"/>
          <w:szCs w:val="20"/>
        </w:rPr>
        <w:t>357</w:t>
      </w:r>
      <w:r>
        <w:rPr>
          <w:rFonts w:ascii="Arial" w:eastAsia="Arial" w:hAnsi="Arial" w:cs="Arial"/>
          <w:sz w:val="20"/>
          <w:szCs w:val="20"/>
        </w:rPr>
        <w:t>, 1685–1691 (2001).</w:t>
      </w:r>
    </w:p>
    <w:p w14:paraId="000002C4"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13. </w:t>
      </w:r>
      <w:r>
        <w:rPr>
          <w:rFonts w:ascii="Arial" w:eastAsia="Arial" w:hAnsi="Arial" w:cs="Arial"/>
          <w:sz w:val="20"/>
          <w:szCs w:val="20"/>
        </w:rPr>
        <w:tab/>
        <w:t xml:space="preserve">A. </w:t>
      </w:r>
      <w:proofErr w:type="spellStart"/>
      <w:r>
        <w:rPr>
          <w:rFonts w:ascii="Arial" w:eastAsia="Arial" w:hAnsi="Arial" w:cs="Arial"/>
          <w:sz w:val="20"/>
          <w:szCs w:val="20"/>
        </w:rPr>
        <w:t>Oksuzyan</w:t>
      </w:r>
      <w:proofErr w:type="spellEnd"/>
      <w:r>
        <w:rPr>
          <w:rFonts w:ascii="Arial" w:eastAsia="Arial" w:hAnsi="Arial" w:cs="Arial"/>
          <w:sz w:val="20"/>
          <w:szCs w:val="20"/>
        </w:rPr>
        <w:t xml:space="preserve">, M. </w:t>
      </w:r>
      <w:proofErr w:type="spellStart"/>
      <w:r>
        <w:rPr>
          <w:rFonts w:ascii="Arial" w:eastAsia="Arial" w:hAnsi="Arial" w:cs="Arial"/>
          <w:sz w:val="20"/>
          <w:szCs w:val="20"/>
        </w:rPr>
        <w:t>Shkolnikova</w:t>
      </w:r>
      <w:proofErr w:type="spellEnd"/>
      <w:r>
        <w:rPr>
          <w:rFonts w:ascii="Arial" w:eastAsia="Arial" w:hAnsi="Arial" w:cs="Arial"/>
          <w:sz w:val="20"/>
          <w:szCs w:val="20"/>
        </w:rPr>
        <w:t xml:space="preserve">, J. W. </w:t>
      </w:r>
      <w:proofErr w:type="spellStart"/>
      <w:r>
        <w:rPr>
          <w:rFonts w:ascii="Arial" w:eastAsia="Arial" w:hAnsi="Arial" w:cs="Arial"/>
          <w:sz w:val="20"/>
          <w:szCs w:val="20"/>
        </w:rPr>
        <w:t>Vaupel</w:t>
      </w:r>
      <w:proofErr w:type="spellEnd"/>
      <w:r>
        <w:rPr>
          <w:rFonts w:ascii="Arial" w:eastAsia="Arial" w:hAnsi="Arial" w:cs="Arial"/>
          <w:sz w:val="20"/>
          <w:szCs w:val="20"/>
        </w:rPr>
        <w:t xml:space="preserve">, K. Christensen, V. M. </w:t>
      </w:r>
      <w:proofErr w:type="spellStart"/>
      <w:r>
        <w:rPr>
          <w:rFonts w:ascii="Arial" w:eastAsia="Arial" w:hAnsi="Arial" w:cs="Arial"/>
          <w:sz w:val="20"/>
          <w:szCs w:val="20"/>
        </w:rPr>
        <w:t>Shkolnikov</w:t>
      </w:r>
      <w:proofErr w:type="spellEnd"/>
      <w:r>
        <w:rPr>
          <w:rFonts w:ascii="Arial" w:eastAsia="Arial" w:hAnsi="Arial" w:cs="Arial"/>
          <w:sz w:val="20"/>
          <w:szCs w:val="20"/>
        </w:rPr>
        <w:t xml:space="preserve">, Sex differences in health and mortality in Moscow and Denmark. </w:t>
      </w:r>
      <w:r>
        <w:rPr>
          <w:rFonts w:ascii="Arial" w:eastAsia="Arial" w:hAnsi="Arial" w:cs="Arial"/>
          <w:i/>
          <w:sz w:val="20"/>
          <w:szCs w:val="20"/>
        </w:rPr>
        <w:t>Eur. J. Epidemiol.</w:t>
      </w:r>
      <w:r>
        <w:rPr>
          <w:rFonts w:ascii="Arial" w:eastAsia="Arial" w:hAnsi="Arial" w:cs="Arial"/>
          <w:sz w:val="20"/>
          <w:szCs w:val="20"/>
        </w:rPr>
        <w:t xml:space="preserve"> </w:t>
      </w:r>
      <w:r>
        <w:rPr>
          <w:rFonts w:ascii="Arial" w:eastAsia="Arial" w:hAnsi="Arial" w:cs="Arial"/>
          <w:b/>
          <w:sz w:val="20"/>
          <w:szCs w:val="20"/>
        </w:rPr>
        <w:t>29</w:t>
      </w:r>
      <w:r>
        <w:rPr>
          <w:rFonts w:ascii="Arial" w:eastAsia="Arial" w:hAnsi="Arial" w:cs="Arial"/>
          <w:sz w:val="20"/>
          <w:szCs w:val="20"/>
        </w:rPr>
        <w:t>, 243–252 (2014).</w:t>
      </w:r>
    </w:p>
    <w:p w14:paraId="000002C5"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14. </w:t>
      </w:r>
      <w:r>
        <w:rPr>
          <w:rFonts w:ascii="Arial" w:eastAsia="Arial" w:hAnsi="Arial" w:cs="Arial"/>
          <w:sz w:val="20"/>
          <w:szCs w:val="20"/>
        </w:rPr>
        <w:tab/>
        <w:t xml:space="preserve">E. M. Crimmins, J. K. Kim, A. Hagedorn, Life </w:t>
      </w:r>
      <w:proofErr w:type="gramStart"/>
      <w:r>
        <w:rPr>
          <w:rFonts w:ascii="Arial" w:eastAsia="Arial" w:hAnsi="Arial" w:cs="Arial"/>
          <w:sz w:val="20"/>
          <w:szCs w:val="20"/>
        </w:rPr>
        <w:t>With</w:t>
      </w:r>
      <w:proofErr w:type="gramEnd"/>
      <w:r>
        <w:rPr>
          <w:rFonts w:ascii="Arial" w:eastAsia="Arial" w:hAnsi="Arial" w:cs="Arial"/>
          <w:sz w:val="20"/>
          <w:szCs w:val="20"/>
        </w:rPr>
        <w:t xml:space="preserve"> and Without Disease: Women Experience More of Both. </w:t>
      </w:r>
      <w:r>
        <w:rPr>
          <w:rFonts w:ascii="Arial" w:eastAsia="Arial" w:hAnsi="Arial" w:cs="Arial"/>
          <w:i/>
          <w:sz w:val="20"/>
          <w:szCs w:val="20"/>
        </w:rPr>
        <w:t>J. Women Aging</w:t>
      </w:r>
      <w:r>
        <w:rPr>
          <w:rFonts w:ascii="Arial" w:eastAsia="Arial" w:hAnsi="Arial" w:cs="Arial"/>
          <w:sz w:val="20"/>
          <w:szCs w:val="20"/>
        </w:rPr>
        <w:t xml:space="preserve"> </w:t>
      </w:r>
      <w:r>
        <w:rPr>
          <w:rFonts w:ascii="Arial" w:eastAsia="Arial" w:hAnsi="Arial" w:cs="Arial"/>
          <w:b/>
          <w:sz w:val="20"/>
          <w:szCs w:val="20"/>
        </w:rPr>
        <w:t>14</w:t>
      </w:r>
      <w:r>
        <w:rPr>
          <w:rFonts w:ascii="Arial" w:eastAsia="Arial" w:hAnsi="Arial" w:cs="Arial"/>
          <w:sz w:val="20"/>
          <w:szCs w:val="20"/>
        </w:rPr>
        <w:t>, 47–59 (2002).</w:t>
      </w:r>
    </w:p>
    <w:p w14:paraId="000002C6"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15. </w:t>
      </w:r>
      <w:r>
        <w:rPr>
          <w:rFonts w:ascii="Arial" w:eastAsia="Arial" w:hAnsi="Arial" w:cs="Arial"/>
          <w:sz w:val="20"/>
          <w:szCs w:val="20"/>
        </w:rPr>
        <w:tab/>
        <w:t xml:space="preserve">M. Luy, Y. Minagawa, Gender gaps--Life expectancy and proportion of life in poor health. </w:t>
      </w:r>
      <w:r>
        <w:rPr>
          <w:rFonts w:ascii="Arial" w:eastAsia="Arial" w:hAnsi="Arial" w:cs="Arial"/>
          <w:i/>
          <w:sz w:val="20"/>
          <w:szCs w:val="20"/>
        </w:rPr>
        <w:t>Heal. reports</w:t>
      </w:r>
      <w:r>
        <w:rPr>
          <w:rFonts w:ascii="Arial" w:eastAsia="Arial" w:hAnsi="Arial" w:cs="Arial"/>
          <w:sz w:val="20"/>
          <w:szCs w:val="20"/>
        </w:rPr>
        <w:t xml:space="preserve"> </w:t>
      </w:r>
      <w:r>
        <w:rPr>
          <w:rFonts w:ascii="Arial" w:eastAsia="Arial" w:hAnsi="Arial" w:cs="Arial"/>
          <w:b/>
          <w:sz w:val="20"/>
          <w:szCs w:val="20"/>
        </w:rPr>
        <w:t>25</w:t>
      </w:r>
      <w:r>
        <w:rPr>
          <w:rFonts w:ascii="Arial" w:eastAsia="Arial" w:hAnsi="Arial" w:cs="Arial"/>
          <w:sz w:val="20"/>
          <w:szCs w:val="20"/>
        </w:rPr>
        <w:t>, 12–9 (2014).</w:t>
      </w:r>
    </w:p>
    <w:p w14:paraId="000002C7"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16. </w:t>
      </w:r>
      <w:r>
        <w:rPr>
          <w:rFonts w:ascii="Arial" w:eastAsia="Arial" w:hAnsi="Arial" w:cs="Arial"/>
          <w:sz w:val="20"/>
          <w:szCs w:val="20"/>
        </w:rPr>
        <w:tab/>
        <w:t xml:space="preserve">J.-M. </w:t>
      </w:r>
      <w:proofErr w:type="spellStart"/>
      <w:r>
        <w:rPr>
          <w:rFonts w:ascii="Arial" w:eastAsia="Arial" w:hAnsi="Arial" w:cs="Arial"/>
          <w:sz w:val="20"/>
          <w:szCs w:val="20"/>
        </w:rPr>
        <w:t>Robine</w:t>
      </w:r>
      <w:proofErr w:type="spellEnd"/>
      <w:r>
        <w:rPr>
          <w:rFonts w:ascii="Arial" w:eastAsia="Arial" w:hAnsi="Arial" w:cs="Arial"/>
          <w:sz w:val="20"/>
          <w:szCs w:val="20"/>
        </w:rPr>
        <w:t xml:space="preserve">, C. Jagger, I. </w:t>
      </w:r>
      <w:proofErr w:type="spellStart"/>
      <w:r>
        <w:rPr>
          <w:rFonts w:ascii="Arial" w:eastAsia="Arial" w:hAnsi="Arial" w:cs="Arial"/>
          <w:sz w:val="20"/>
          <w:szCs w:val="20"/>
        </w:rPr>
        <w:t>Romieu</w:t>
      </w:r>
      <w:proofErr w:type="spellEnd"/>
      <w:r>
        <w:rPr>
          <w:rFonts w:ascii="Arial" w:eastAsia="Arial" w:hAnsi="Arial" w:cs="Arial"/>
          <w:sz w:val="20"/>
          <w:szCs w:val="20"/>
        </w:rPr>
        <w:t xml:space="preserve">, Disability-free life expectancies in the European Union countries: calculation and comparisons. </w:t>
      </w:r>
      <w:r>
        <w:rPr>
          <w:rFonts w:ascii="Arial" w:eastAsia="Arial" w:hAnsi="Arial" w:cs="Arial"/>
          <w:i/>
          <w:sz w:val="20"/>
          <w:szCs w:val="20"/>
        </w:rPr>
        <w:t>Genus</w:t>
      </w:r>
      <w:r>
        <w:rPr>
          <w:rFonts w:ascii="Arial" w:eastAsia="Arial" w:hAnsi="Arial" w:cs="Arial"/>
          <w:sz w:val="20"/>
          <w:szCs w:val="20"/>
        </w:rPr>
        <w:t xml:space="preserve"> </w:t>
      </w:r>
      <w:r>
        <w:rPr>
          <w:rFonts w:ascii="Arial" w:eastAsia="Arial" w:hAnsi="Arial" w:cs="Arial"/>
          <w:b/>
          <w:sz w:val="20"/>
          <w:szCs w:val="20"/>
        </w:rPr>
        <w:t>57</w:t>
      </w:r>
      <w:r>
        <w:rPr>
          <w:rFonts w:ascii="Arial" w:eastAsia="Arial" w:hAnsi="Arial" w:cs="Arial"/>
          <w:sz w:val="20"/>
          <w:szCs w:val="20"/>
        </w:rPr>
        <w:t>, 89–101 (2001).</w:t>
      </w:r>
    </w:p>
    <w:p w14:paraId="000002C8"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17. </w:t>
      </w:r>
      <w:r>
        <w:rPr>
          <w:rFonts w:ascii="Arial" w:eastAsia="Arial" w:hAnsi="Arial" w:cs="Arial"/>
          <w:sz w:val="20"/>
          <w:szCs w:val="20"/>
        </w:rPr>
        <w:tab/>
        <w:t xml:space="preserve">T. Riffe, A. A. van Raalte, M. J. </w:t>
      </w:r>
      <w:proofErr w:type="spellStart"/>
      <w:r>
        <w:rPr>
          <w:rFonts w:ascii="Arial" w:eastAsia="Arial" w:hAnsi="Arial" w:cs="Arial"/>
          <w:sz w:val="20"/>
          <w:szCs w:val="20"/>
        </w:rPr>
        <w:t>Bijlsma</w:t>
      </w:r>
      <w:proofErr w:type="spellEnd"/>
      <w:r>
        <w:rPr>
          <w:rFonts w:ascii="Arial" w:eastAsia="Arial" w:hAnsi="Arial" w:cs="Arial"/>
          <w:sz w:val="20"/>
          <w:szCs w:val="20"/>
        </w:rPr>
        <w:t xml:space="preserve">, “Healthy life expectancy, mortality, and age </w:t>
      </w:r>
      <w:r>
        <w:rPr>
          <w:rFonts w:ascii="Arial" w:eastAsia="Arial" w:hAnsi="Arial" w:cs="Arial"/>
          <w:sz w:val="20"/>
          <w:szCs w:val="20"/>
        </w:rPr>
        <w:lastRenderedPageBreak/>
        <w:t>prevalence of morbidity” (2017) https:/doi.org/10.4054/MPIDR-WP-2017-015.</w:t>
      </w:r>
    </w:p>
    <w:p w14:paraId="000002C9"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18. </w:t>
      </w:r>
      <w:r>
        <w:rPr>
          <w:rFonts w:ascii="Arial" w:eastAsia="Arial" w:hAnsi="Arial" w:cs="Arial"/>
          <w:sz w:val="20"/>
          <w:szCs w:val="20"/>
        </w:rPr>
        <w:tab/>
        <w:t xml:space="preserve">I. </w:t>
      </w:r>
      <w:proofErr w:type="spellStart"/>
      <w:r>
        <w:rPr>
          <w:rFonts w:ascii="Arial" w:eastAsia="Arial" w:hAnsi="Arial" w:cs="Arial"/>
          <w:sz w:val="20"/>
          <w:szCs w:val="20"/>
        </w:rPr>
        <w:t>Mairey</w:t>
      </w:r>
      <w:proofErr w:type="spellEnd"/>
      <w:r>
        <w:rPr>
          <w:rFonts w:ascii="Arial" w:eastAsia="Arial" w:hAnsi="Arial" w:cs="Arial"/>
          <w:sz w:val="20"/>
          <w:szCs w:val="20"/>
        </w:rPr>
        <w:t xml:space="preserve">, P. </w:t>
      </w:r>
      <w:proofErr w:type="spellStart"/>
      <w:r>
        <w:rPr>
          <w:rFonts w:ascii="Arial" w:eastAsia="Arial" w:hAnsi="Arial" w:cs="Arial"/>
          <w:sz w:val="20"/>
          <w:szCs w:val="20"/>
        </w:rPr>
        <w:t>Bjerregaard</w:t>
      </w:r>
      <w:proofErr w:type="spellEnd"/>
      <w:r>
        <w:rPr>
          <w:rFonts w:ascii="Arial" w:eastAsia="Arial" w:hAnsi="Arial" w:cs="Arial"/>
          <w:sz w:val="20"/>
          <w:szCs w:val="20"/>
        </w:rPr>
        <w:t xml:space="preserve">, H. </w:t>
      </w:r>
      <w:proofErr w:type="spellStart"/>
      <w:r>
        <w:rPr>
          <w:rFonts w:ascii="Arial" w:eastAsia="Arial" w:hAnsi="Arial" w:cs="Arial"/>
          <w:sz w:val="20"/>
          <w:szCs w:val="20"/>
        </w:rPr>
        <w:t>Brønnum</w:t>
      </w:r>
      <w:proofErr w:type="spellEnd"/>
      <w:r>
        <w:rPr>
          <w:rFonts w:ascii="Arial" w:eastAsia="Arial" w:hAnsi="Arial" w:cs="Arial"/>
          <w:sz w:val="20"/>
          <w:szCs w:val="20"/>
        </w:rPr>
        <w:t xml:space="preserve"> Hansen, Gender difference in health expectancy trends in Greenland. </w:t>
      </w:r>
      <w:r>
        <w:rPr>
          <w:rFonts w:ascii="Arial" w:eastAsia="Arial" w:hAnsi="Arial" w:cs="Arial"/>
          <w:i/>
          <w:sz w:val="20"/>
          <w:szCs w:val="20"/>
        </w:rPr>
        <w:t>Scand. J. Public Health</w:t>
      </w:r>
      <w:r>
        <w:rPr>
          <w:rFonts w:ascii="Arial" w:eastAsia="Arial" w:hAnsi="Arial" w:cs="Arial"/>
          <w:sz w:val="20"/>
          <w:szCs w:val="20"/>
        </w:rPr>
        <w:t xml:space="preserve"> </w:t>
      </w:r>
      <w:r>
        <w:rPr>
          <w:rFonts w:ascii="Arial" w:eastAsia="Arial" w:hAnsi="Arial" w:cs="Arial"/>
          <w:b/>
          <w:sz w:val="20"/>
          <w:szCs w:val="20"/>
        </w:rPr>
        <w:t>42</w:t>
      </w:r>
      <w:r>
        <w:rPr>
          <w:rFonts w:ascii="Arial" w:eastAsia="Arial" w:hAnsi="Arial" w:cs="Arial"/>
          <w:sz w:val="20"/>
          <w:szCs w:val="20"/>
        </w:rPr>
        <w:t>, 751–758 (2014).</w:t>
      </w:r>
    </w:p>
    <w:p w14:paraId="000002CA"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19. </w:t>
      </w:r>
      <w:r>
        <w:rPr>
          <w:rFonts w:ascii="Arial" w:eastAsia="Arial" w:hAnsi="Arial" w:cs="Arial"/>
          <w:sz w:val="20"/>
          <w:szCs w:val="20"/>
        </w:rPr>
        <w:tab/>
        <w:t xml:space="preserve">W. J. </w:t>
      </w:r>
      <w:proofErr w:type="spellStart"/>
      <w:r>
        <w:rPr>
          <w:rFonts w:ascii="Arial" w:eastAsia="Arial" w:hAnsi="Arial" w:cs="Arial"/>
          <w:sz w:val="20"/>
          <w:szCs w:val="20"/>
        </w:rPr>
        <w:t>Nusselder</w:t>
      </w:r>
      <w:proofErr w:type="spellEnd"/>
      <w:r>
        <w:rPr>
          <w:rFonts w:ascii="Arial" w:eastAsia="Arial" w:hAnsi="Arial" w:cs="Arial"/>
          <w:sz w:val="20"/>
          <w:szCs w:val="20"/>
        </w:rPr>
        <w:t xml:space="preserve">, C. W. N. </w:t>
      </w:r>
      <w:proofErr w:type="spellStart"/>
      <w:r>
        <w:rPr>
          <w:rFonts w:ascii="Arial" w:eastAsia="Arial" w:hAnsi="Arial" w:cs="Arial"/>
          <w:sz w:val="20"/>
          <w:szCs w:val="20"/>
        </w:rPr>
        <w:t>Looman</w:t>
      </w:r>
      <w:proofErr w:type="spellEnd"/>
      <w:r>
        <w:rPr>
          <w:rFonts w:ascii="Arial" w:eastAsia="Arial" w:hAnsi="Arial" w:cs="Arial"/>
          <w:sz w:val="20"/>
          <w:szCs w:val="20"/>
        </w:rPr>
        <w:t xml:space="preserve">, H. van Oyen, J. M. </w:t>
      </w:r>
      <w:proofErr w:type="spellStart"/>
      <w:r>
        <w:rPr>
          <w:rFonts w:ascii="Arial" w:eastAsia="Arial" w:hAnsi="Arial" w:cs="Arial"/>
          <w:sz w:val="20"/>
          <w:szCs w:val="20"/>
        </w:rPr>
        <w:t>Robine</w:t>
      </w:r>
      <w:proofErr w:type="spellEnd"/>
      <w:r>
        <w:rPr>
          <w:rFonts w:ascii="Arial" w:eastAsia="Arial" w:hAnsi="Arial" w:cs="Arial"/>
          <w:sz w:val="20"/>
          <w:szCs w:val="20"/>
        </w:rPr>
        <w:t xml:space="preserve">, C. Jagger, Gender differences in health of EU10 and EU15 populations: the double burden of EU10 men. </w:t>
      </w:r>
      <w:r>
        <w:rPr>
          <w:rFonts w:ascii="Arial" w:eastAsia="Arial" w:hAnsi="Arial" w:cs="Arial"/>
          <w:i/>
          <w:sz w:val="20"/>
          <w:szCs w:val="20"/>
        </w:rPr>
        <w:t>Eur. J. Ageing</w:t>
      </w:r>
      <w:r>
        <w:rPr>
          <w:rFonts w:ascii="Arial" w:eastAsia="Arial" w:hAnsi="Arial" w:cs="Arial"/>
          <w:sz w:val="20"/>
          <w:szCs w:val="20"/>
        </w:rPr>
        <w:t xml:space="preserve"> </w:t>
      </w:r>
      <w:r>
        <w:rPr>
          <w:rFonts w:ascii="Arial" w:eastAsia="Arial" w:hAnsi="Arial" w:cs="Arial"/>
          <w:b/>
          <w:sz w:val="20"/>
          <w:szCs w:val="20"/>
        </w:rPr>
        <w:t>7</w:t>
      </w:r>
      <w:r>
        <w:rPr>
          <w:rFonts w:ascii="Arial" w:eastAsia="Arial" w:hAnsi="Arial" w:cs="Arial"/>
          <w:sz w:val="20"/>
          <w:szCs w:val="20"/>
        </w:rPr>
        <w:t>, 219–227 (2010).</w:t>
      </w:r>
    </w:p>
    <w:p w14:paraId="000002CB"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20. </w:t>
      </w:r>
      <w:r>
        <w:rPr>
          <w:rFonts w:ascii="Arial" w:eastAsia="Arial" w:hAnsi="Arial" w:cs="Arial"/>
          <w:sz w:val="20"/>
          <w:szCs w:val="20"/>
        </w:rPr>
        <w:tab/>
        <w:t xml:space="preserve">W. J. </w:t>
      </w:r>
      <w:proofErr w:type="spellStart"/>
      <w:r>
        <w:rPr>
          <w:rFonts w:ascii="Arial" w:eastAsia="Arial" w:hAnsi="Arial" w:cs="Arial"/>
          <w:sz w:val="20"/>
          <w:szCs w:val="20"/>
        </w:rPr>
        <w:t>Nusselder</w:t>
      </w:r>
      <w:proofErr w:type="spellEnd"/>
      <w:r>
        <w:rPr>
          <w:rFonts w:ascii="Arial" w:eastAsia="Arial" w:hAnsi="Arial" w:cs="Arial"/>
          <w:sz w:val="20"/>
          <w:szCs w:val="20"/>
        </w:rPr>
        <w:t xml:space="preserve">, C. W. </w:t>
      </w:r>
      <w:proofErr w:type="spellStart"/>
      <w:r>
        <w:rPr>
          <w:rFonts w:ascii="Arial" w:eastAsia="Arial" w:hAnsi="Arial" w:cs="Arial"/>
          <w:sz w:val="20"/>
          <w:szCs w:val="20"/>
        </w:rPr>
        <w:t>Looman</w:t>
      </w:r>
      <w:proofErr w:type="spellEnd"/>
      <w:r>
        <w:rPr>
          <w:rFonts w:ascii="Arial" w:eastAsia="Arial" w:hAnsi="Arial" w:cs="Arial"/>
          <w:sz w:val="20"/>
          <w:szCs w:val="20"/>
        </w:rPr>
        <w:t xml:space="preserve">, Decomposition of differences in health expectancy by cause. </w:t>
      </w:r>
      <w:r>
        <w:rPr>
          <w:rFonts w:ascii="Arial" w:eastAsia="Arial" w:hAnsi="Arial" w:cs="Arial"/>
          <w:i/>
          <w:sz w:val="20"/>
          <w:szCs w:val="20"/>
        </w:rPr>
        <w:t>Demography</w:t>
      </w:r>
      <w:r>
        <w:rPr>
          <w:rFonts w:ascii="Arial" w:eastAsia="Arial" w:hAnsi="Arial" w:cs="Arial"/>
          <w:sz w:val="20"/>
          <w:szCs w:val="20"/>
        </w:rPr>
        <w:t xml:space="preserve"> </w:t>
      </w:r>
      <w:r>
        <w:rPr>
          <w:rFonts w:ascii="Arial" w:eastAsia="Arial" w:hAnsi="Arial" w:cs="Arial"/>
          <w:b/>
          <w:sz w:val="20"/>
          <w:szCs w:val="20"/>
        </w:rPr>
        <w:t>41</w:t>
      </w:r>
      <w:r>
        <w:rPr>
          <w:rFonts w:ascii="Arial" w:eastAsia="Arial" w:hAnsi="Arial" w:cs="Arial"/>
          <w:sz w:val="20"/>
          <w:szCs w:val="20"/>
        </w:rPr>
        <w:t>, 315–34 (2004).</w:t>
      </w:r>
    </w:p>
    <w:p w14:paraId="000002CC"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21. </w:t>
      </w:r>
      <w:r>
        <w:rPr>
          <w:rFonts w:ascii="Arial" w:eastAsia="Arial" w:hAnsi="Arial" w:cs="Arial"/>
          <w:sz w:val="20"/>
          <w:szCs w:val="20"/>
        </w:rPr>
        <w:tab/>
        <w:t xml:space="preserve">H. Van Oyen, </w:t>
      </w:r>
      <w:r>
        <w:rPr>
          <w:rFonts w:ascii="Arial" w:eastAsia="Arial" w:hAnsi="Arial" w:cs="Arial"/>
          <w:i/>
          <w:sz w:val="20"/>
          <w:szCs w:val="20"/>
        </w:rPr>
        <w:t>et al.</w:t>
      </w:r>
      <w:r>
        <w:rPr>
          <w:rFonts w:ascii="Arial" w:eastAsia="Arial" w:hAnsi="Arial" w:cs="Arial"/>
          <w:sz w:val="20"/>
          <w:szCs w:val="20"/>
        </w:rPr>
        <w:t xml:space="preserve">, Gender differences in healthy life years within the EU: an exploration of the “health–survival” paradox. </w:t>
      </w:r>
      <w:r>
        <w:rPr>
          <w:rFonts w:ascii="Arial" w:eastAsia="Arial" w:hAnsi="Arial" w:cs="Arial"/>
          <w:i/>
          <w:sz w:val="20"/>
          <w:szCs w:val="20"/>
        </w:rPr>
        <w:t>Int. J. Public Health</w:t>
      </w:r>
      <w:r>
        <w:rPr>
          <w:rFonts w:ascii="Arial" w:eastAsia="Arial" w:hAnsi="Arial" w:cs="Arial"/>
          <w:sz w:val="20"/>
          <w:szCs w:val="20"/>
        </w:rPr>
        <w:t xml:space="preserve"> </w:t>
      </w:r>
      <w:r>
        <w:rPr>
          <w:rFonts w:ascii="Arial" w:eastAsia="Arial" w:hAnsi="Arial" w:cs="Arial"/>
          <w:b/>
          <w:sz w:val="20"/>
          <w:szCs w:val="20"/>
        </w:rPr>
        <w:t>58</w:t>
      </w:r>
      <w:r>
        <w:rPr>
          <w:rFonts w:ascii="Arial" w:eastAsia="Arial" w:hAnsi="Arial" w:cs="Arial"/>
          <w:sz w:val="20"/>
          <w:szCs w:val="20"/>
        </w:rPr>
        <w:t>, 143–155 (2013).</w:t>
      </w:r>
    </w:p>
    <w:p w14:paraId="000002CD"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22. </w:t>
      </w:r>
      <w:r>
        <w:rPr>
          <w:rFonts w:ascii="Arial" w:eastAsia="Arial" w:hAnsi="Arial" w:cs="Arial"/>
          <w:sz w:val="20"/>
          <w:szCs w:val="20"/>
        </w:rPr>
        <w:tab/>
        <w:t xml:space="preserve">M. R. Nepomuceno, V. di Lego, C. M. </w:t>
      </w:r>
      <w:proofErr w:type="spellStart"/>
      <w:r>
        <w:rPr>
          <w:rFonts w:ascii="Arial" w:eastAsia="Arial" w:hAnsi="Arial" w:cs="Arial"/>
          <w:sz w:val="20"/>
          <w:szCs w:val="20"/>
        </w:rPr>
        <w:t>Turra</w:t>
      </w:r>
      <w:proofErr w:type="spellEnd"/>
      <w:r>
        <w:rPr>
          <w:rFonts w:ascii="Arial" w:eastAsia="Arial" w:hAnsi="Arial" w:cs="Arial"/>
          <w:sz w:val="20"/>
          <w:szCs w:val="20"/>
        </w:rPr>
        <w:t xml:space="preserve">, Gender disparities in health at older ages and their consequences for well-being in Latin America and the Caribbean. </w:t>
      </w:r>
      <w:r>
        <w:rPr>
          <w:rFonts w:ascii="Arial" w:eastAsia="Arial" w:hAnsi="Arial" w:cs="Arial"/>
          <w:i/>
          <w:sz w:val="20"/>
          <w:szCs w:val="20"/>
        </w:rPr>
        <w:t xml:space="preserve">Vienna </w:t>
      </w:r>
      <w:proofErr w:type="spellStart"/>
      <w:r>
        <w:rPr>
          <w:rFonts w:ascii="Arial" w:eastAsia="Arial" w:hAnsi="Arial" w:cs="Arial"/>
          <w:i/>
          <w:sz w:val="20"/>
          <w:szCs w:val="20"/>
        </w:rPr>
        <w:t>Yearb</w:t>
      </w:r>
      <w:proofErr w:type="spellEnd"/>
      <w:r>
        <w:rPr>
          <w:rFonts w:ascii="Arial" w:eastAsia="Arial" w:hAnsi="Arial" w:cs="Arial"/>
          <w:i/>
          <w:sz w:val="20"/>
          <w:szCs w:val="20"/>
        </w:rPr>
        <w:t xml:space="preserve">. </w:t>
      </w:r>
      <w:proofErr w:type="spellStart"/>
      <w:r>
        <w:rPr>
          <w:rFonts w:ascii="Arial" w:eastAsia="Arial" w:hAnsi="Arial" w:cs="Arial"/>
          <w:i/>
          <w:sz w:val="20"/>
          <w:szCs w:val="20"/>
        </w:rPr>
        <w:t>Popul</w:t>
      </w:r>
      <w:proofErr w:type="spellEnd"/>
      <w:r>
        <w:rPr>
          <w:rFonts w:ascii="Arial" w:eastAsia="Arial" w:hAnsi="Arial" w:cs="Arial"/>
          <w:i/>
          <w:sz w:val="20"/>
          <w:szCs w:val="20"/>
        </w:rPr>
        <w:t>. Res.</w:t>
      </w:r>
      <w:r>
        <w:rPr>
          <w:rFonts w:ascii="Arial" w:eastAsia="Arial" w:hAnsi="Arial" w:cs="Arial"/>
          <w:sz w:val="20"/>
          <w:szCs w:val="20"/>
        </w:rPr>
        <w:t xml:space="preserve"> </w:t>
      </w:r>
      <w:r>
        <w:rPr>
          <w:rFonts w:ascii="Arial" w:eastAsia="Arial" w:hAnsi="Arial" w:cs="Arial"/>
          <w:b/>
          <w:sz w:val="20"/>
          <w:szCs w:val="20"/>
        </w:rPr>
        <w:t>19</w:t>
      </w:r>
      <w:r>
        <w:rPr>
          <w:rFonts w:ascii="Arial" w:eastAsia="Arial" w:hAnsi="Arial" w:cs="Arial"/>
          <w:sz w:val="20"/>
          <w:szCs w:val="20"/>
        </w:rPr>
        <w:t xml:space="preserve"> (2021).</w:t>
      </w:r>
    </w:p>
    <w:p w14:paraId="000002CE"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23. </w:t>
      </w:r>
      <w:r>
        <w:rPr>
          <w:rFonts w:ascii="Arial" w:eastAsia="Arial" w:hAnsi="Arial" w:cs="Arial"/>
          <w:sz w:val="20"/>
          <w:szCs w:val="20"/>
        </w:rPr>
        <w:tab/>
        <w:t xml:space="preserve">J. Lee, D. Phillips, J. Wilkens, Gateway to Global Aging Data: Resources for Cross-National Comparisons of Family, Social Environment, and Healthy Aging. </w:t>
      </w:r>
      <w:r>
        <w:rPr>
          <w:rFonts w:ascii="Arial" w:eastAsia="Arial" w:hAnsi="Arial" w:cs="Arial"/>
          <w:i/>
          <w:sz w:val="20"/>
          <w:szCs w:val="20"/>
        </w:rPr>
        <w:t xml:space="preserve">Journals </w:t>
      </w:r>
      <w:proofErr w:type="spellStart"/>
      <w:r>
        <w:rPr>
          <w:rFonts w:ascii="Arial" w:eastAsia="Arial" w:hAnsi="Arial" w:cs="Arial"/>
          <w:i/>
          <w:sz w:val="20"/>
          <w:szCs w:val="20"/>
        </w:rPr>
        <w:t>Gerontol</w:t>
      </w:r>
      <w:proofErr w:type="spellEnd"/>
      <w:r>
        <w:rPr>
          <w:rFonts w:ascii="Arial" w:eastAsia="Arial" w:hAnsi="Arial" w:cs="Arial"/>
          <w:i/>
          <w:sz w:val="20"/>
          <w:szCs w:val="20"/>
        </w:rPr>
        <w:t>. Ser. B Psychol. Sci. Soc. Sci.</w:t>
      </w:r>
      <w:r>
        <w:rPr>
          <w:rFonts w:ascii="Arial" w:eastAsia="Arial" w:hAnsi="Arial" w:cs="Arial"/>
          <w:sz w:val="20"/>
          <w:szCs w:val="20"/>
        </w:rPr>
        <w:t xml:space="preserve"> </w:t>
      </w:r>
      <w:r>
        <w:rPr>
          <w:rFonts w:ascii="Arial" w:eastAsia="Arial" w:hAnsi="Arial" w:cs="Arial"/>
          <w:b/>
          <w:sz w:val="20"/>
          <w:szCs w:val="20"/>
        </w:rPr>
        <w:t>76</w:t>
      </w:r>
      <w:r>
        <w:rPr>
          <w:rFonts w:ascii="Arial" w:eastAsia="Arial" w:hAnsi="Arial" w:cs="Arial"/>
          <w:sz w:val="20"/>
          <w:szCs w:val="20"/>
        </w:rPr>
        <w:t>, S5 (2021).</w:t>
      </w:r>
    </w:p>
    <w:p w14:paraId="000002CF"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24. </w:t>
      </w:r>
      <w:r>
        <w:rPr>
          <w:rFonts w:ascii="Arial" w:eastAsia="Arial" w:hAnsi="Arial" w:cs="Arial"/>
          <w:sz w:val="20"/>
          <w:szCs w:val="20"/>
        </w:rPr>
        <w:tab/>
      </w:r>
      <w:proofErr w:type="gramStart"/>
      <w:r>
        <w:rPr>
          <w:rFonts w:ascii="Arial" w:eastAsia="Arial" w:hAnsi="Arial" w:cs="Arial"/>
          <w:sz w:val="20"/>
          <w:szCs w:val="20"/>
        </w:rPr>
        <w:t>D. .</w:t>
      </w:r>
      <w:proofErr w:type="gramEnd"/>
      <w:r>
        <w:rPr>
          <w:rFonts w:ascii="Arial" w:eastAsia="Arial" w:hAnsi="Arial" w:cs="Arial"/>
          <w:sz w:val="20"/>
          <w:szCs w:val="20"/>
        </w:rPr>
        <w:t xml:space="preserve"> Sullivan, A single index of mortality and morbidity. </w:t>
      </w:r>
      <w:r>
        <w:rPr>
          <w:rFonts w:ascii="Arial" w:eastAsia="Arial" w:hAnsi="Arial" w:cs="Arial"/>
          <w:i/>
          <w:sz w:val="20"/>
          <w:szCs w:val="20"/>
        </w:rPr>
        <w:t>HSMHA Health Rep.</w:t>
      </w:r>
      <w:r>
        <w:rPr>
          <w:rFonts w:ascii="Arial" w:eastAsia="Arial" w:hAnsi="Arial" w:cs="Arial"/>
          <w:sz w:val="20"/>
          <w:szCs w:val="20"/>
        </w:rPr>
        <w:t xml:space="preserve"> </w:t>
      </w:r>
      <w:r>
        <w:rPr>
          <w:rFonts w:ascii="Arial" w:eastAsia="Arial" w:hAnsi="Arial" w:cs="Arial"/>
          <w:b/>
          <w:sz w:val="20"/>
          <w:szCs w:val="20"/>
        </w:rPr>
        <w:t>86</w:t>
      </w:r>
      <w:r>
        <w:rPr>
          <w:rFonts w:ascii="Arial" w:eastAsia="Arial" w:hAnsi="Arial" w:cs="Arial"/>
          <w:sz w:val="20"/>
          <w:szCs w:val="20"/>
        </w:rPr>
        <w:t>, 347–54 (1971).</w:t>
      </w:r>
    </w:p>
    <w:p w14:paraId="000002D0"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25. </w:t>
      </w:r>
      <w:r>
        <w:rPr>
          <w:rFonts w:ascii="Arial" w:eastAsia="Arial" w:hAnsi="Arial" w:cs="Arial"/>
          <w:sz w:val="20"/>
          <w:szCs w:val="20"/>
        </w:rPr>
        <w:tab/>
        <w:t xml:space="preserve">Y. Saito, J. M. </w:t>
      </w:r>
      <w:proofErr w:type="spellStart"/>
      <w:r>
        <w:rPr>
          <w:rFonts w:ascii="Arial" w:eastAsia="Arial" w:hAnsi="Arial" w:cs="Arial"/>
          <w:sz w:val="20"/>
          <w:szCs w:val="20"/>
        </w:rPr>
        <w:t>Robine</w:t>
      </w:r>
      <w:proofErr w:type="spellEnd"/>
      <w:r>
        <w:rPr>
          <w:rFonts w:ascii="Arial" w:eastAsia="Arial" w:hAnsi="Arial" w:cs="Arial"/>
          <w:sz w:val="20"/>
          <w:szCs w:val="20"/>
        </w:rPr>
        <w:t xml:space="preserve">, E. M. Crimmins, The methods and materials of health expectancy. </w:t>
      </w:r>
      <w:r>
        <w:rPr>
          <w:rFonts w:ascii="Arial" w:eastAsia="Arial" w:hAnsi="Arial" w:cs="Arial"/>
          <w:i/>
          <w:sz w:val="20"/>
          <w:szCs w:val="20"/>
        </w:rPr>
        <w:t>Stat. J. IAOS</w:t>
      </w:r>
      <w:r>
        <w:rPr>
          <w:rFonts w:ascii="Arial" w:eastAsia="Arial" w:hAnsi="Arial" w:cs="Arial"/>
          <w:sz w:val="20"/>
          <w:szCs w:val="20"/>
        </w:rPr>
        <w:t xml:space="preserve"> </w:t>
      </w:r>
      <w:r>
        <w:rPr>
          <w:rFonts w:ascii="Arial" w:eastAsia="Arial" w:hAnsi="Arial" w:cs="Arial"/>
          <w:b/>
          <w:sz w:val="20"/>
          <w:szCs w:val="20"/>
        </w:rPr>
        <w:t>30</w:t>
      </w:r>
      <w:r>
        <w:rPr>
          <w:rFonts w:ascii="Arial" w:eastAsia="Arial" w:hAnsi="Arial" w:cs="Arial"/>
          <w:sz w:val="20"/>
          <w:szCs w:val="20"/>
        </w:rPr>
        <w:t>, 209–223 (2014).</w:t>
      </w:r>
    </w:p>
    <w:p w14:paraId="000002D1"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26. </w:t>
      </w:r>
      <w:r>
        <w:rPr>
          <w:rFonts w:ascii="Arial" w:eastAsia="Arial" w:hAnsi="Arial" w:cs="Arial"/>
          <w:sz w:val="20"/>
          <w:szCs w:val="20"/>
        </w:rPr>
        <w:tab/>
        <w:t xml:space="preserve">E. M. Crimmins, Y. Zhang, Y. Saito, Trends Over 4 Decades in Disability-Free Life Expectancy in the United States. </w:t>
      </w:r>
      <w:r>
        <w:rPr>
          <w:rFonts w:ascii="Arial" w:eastAsia="Arial" w:hAnsi="Arial" w:cs="Arial"/>
          <w:b/>
          <w:sz w:val="20"/>
          <w:szCs w:val="20"/>
        </w:rPr>
        <w:t>106</w:t>
      </w:r>
      <w:r>
        <w:rPr>
          <w:rFonts w:ascii="Arial" w:eastAsia="Arial" w:hAnsi="Arial" w:cs="Arial"/>
          <w:sz w:val="20"/>
          <w:szCs w:val="20"/>
        </w:rPr>
        <w:t>, 1287–1293 (2016).</w:t>
      </w:r>
    </w:p>
    <w:p w14:paraId="000002D2"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27. </w:t>
      </w:r>
      <w:r>
        <w:rPr>
          <w:rFonts w:ascii="Arial" w:eastAsia="Arial" w:hAnsi="Arial" w:cs="Arial"/>
          <w:sz w:val="20"/>
          <w:szCs w:val="20"/>
        </w:rPr>
        <w:tab/>
        <w:t xml:space="preserve">S. Horiuchi, J. R. Wilmoth, S. D. Pletcher, A decomposition method based on a model of continuous change. </w:t>
      </w:r>
      <w:r>
        <w:rPr>
          <w:rFonts w:ascii="Arial" w:eastAsia="Arial" w:hAnsi="Arial" w:cs="Arial"/>
          <w:i/>
          <w:sz w:val="20"/>
          <w:szCs w:val="20"/>
        </w:rPr>
        <w:t>Demography</w:t>
      </w:r>
      <w:r>
        <w:rPr>
          <w:rFonts w:ascii="Arial" w:eastAsia="Arial" w:hAnsi="Arial" w:cs="Arial"/>
          <w:sz w:val="20"/>
          <w:szCs w:val="20"/>
        </w:rPr>
        <w:t xml:space="preserve"> </w:t>
      </w:r>
      <w:r>
        <w:rPr>
          <w:rFonts w:ascii="Arial" w:eastAsia="Arial" w:hAnsi="Arial" w:cs="Arial"/>
          <w:b/>
          <w:sz w:val="20"/>
          <w:szCs w:val="20"/>
        </w:rPr>
        <w:t>45</w:t>
      </w:r>
      <w:r>
        <w:rPr>
          <w:rFonts w:ascii="Arial" w:eastAsia="Arial" w:hAnsi="Arial" w:cs="Arial"/>
          <w:sz w:val="20"/>
          <w:szCs w:val="20"/>
        </w:rPr>
        <w:t>, 785–801 (2008).</w:t>
      </w:r>
    </w:p>
    <w:p w14:paraId="000002D3"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28. </w:t>
      </w:r>
      <w:r>
        <w:rPr>
          <w:rFonts w:ascii="Arial" w:eastAsia="Arial" w:hAnsi="Arial" w:cs="Arial"/>
          <w:sz w:val="20"/>
          <w:szCs w:val="20"/>
        </w:rPr>
        <w:tab/>
        <w:t>T. Riffe, Package “</w:t>
      </w:r>
      <w:proofErr w:type="spellStart"/>
      <w:r>
        <w:rPr>
          <w:rFonts w:ascii="Arial" w:eastAsia="Arial" w:hAnsi="Arial" w:cs="Arial"/>
          <w:sz w:val="20"/>
          <w:szCs w:val="20"/>
        </w:rPr>
        <w:t>DemoDecomp</w:t>
      </w:r>
      <w:proofErr w:type="spellEnd"/>
      <w:r>
        <w:rPr>
          <w:rFonts w:ascii="Arial" w:eastAsia="Arial" w:hAnsi="Arial" w:cs="Arial"/>
          <w:sz w:val="20"/>
          <w:szCs w:val="20"/>
        </w:rPr>
        <w:t>” Type Package Title Decompose Demographic Functions (2018) https:/doi.org/10.1353/dem.0.0033 (October 15, 2019).</w:t>
      </w:r>
    </w:p>
    <w:p w14:paraId="000002D4"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29. </w:t>
      </w:r>
      <w:r>
        <w:rPr>
          <w:rFonts w:ascii="Arial" w:eastAsia="Arial" w:hAnsi="Arial" w:cs="Arial"/>
          <w:sz w:val="20"/>
          <w:szCs w:val="20"/>
        </w:rPr>
        <w:tab/>
        <w:t>A. A. van Raalte, M. R. Nepomuceno, “Decomposing Gaps in Healthy Life Expectancy” in (2020), pp. 107–122.</w:t>
      </w:r>
    </w:p>
    <w:p w14:paraId="000002D5"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30. </w:t>
      </w:r>
      <w:r>
        <w:rPr>
          <w:rFonts w:ascii="Arial" w:eastAsia="Arial" w:hAnsi="Arial" w:cs="Arial"/>
          <w:sz w:val="20"/>
          <w:szCs w:val="20"/>
        </w:rPr>
        <w:tab/>
        <w:t xml:space="preserve">J. Dahlin, J. </w:t>
      </w:r>
      <w:proofErr w:type="spellStart"/>
      <w:r>
        <w:rPr>
          <w:rFonts w:ascii="Arial" w:eastAsia="Arial" w:hAnsi="Arial" w:cs="Arial"/>
          <w:sz w:val="20"/>
          <w:szCs w:val="20"/>
        </w:rPr>
        <w:t>Härkönen</w:t>
      </w:r>
      <w:proofErr w:type="spellEnd"/>
      <w:r>
        <w:rPr>
          <w:rFonts w:ascii="Arial" w:eastAsia="Arial" w:hAnsi="Arial" w:cs="Arial"/>
          <w:sz w:val="20"/>
          <w:szCs w:val="20"/>
        </w:rPr>
        <w:t xml:space="preserve">, Cross-national differences in the gender gap in subjective health in Europe: Does country-level gender equality matter? </w:t>
      </w:r>
      <w:r>
        <w:rPr>
          <w:rFonts w:ascii="Arial" w:eastAsia="Arial" w:hAnsi="Arial" w:cs="Arial"/>
          <w:i/>
          <w:sz w:val="20"/>
          <w:szCs w:val="20"/>
        </w:rPr>
        <w:t>Soc. Sci. Med.</w:t>
      </w:r>
      <w:r>
        <w:rPr>
          <w:rFonts w:ascii="Arial" w:eastAsia="Arial" w:hAnsi="Arial" w:cs="Arial"/>
          <w:sz w:val="20"/>
          <w:szCs w:val="20"/>
        </w:rPr>
        <w:t xml:space="preserve"> </w:t>
      </w:r>
      <w:r>
        <w:rPr>
          <w:rFonts w:ascii="Arial" w:eastAsia="Arial" w:hAnsi="Arial" w:cs="Arial"/>
          <w:b/>
          <w:sz w:val="20"/>
          <w:szCs w:val="20"/>
        </w:rPr>
        <w:t>98</w:t>
      </w:r>
      <w:r>
        <w:rPr>
          <w:rFonts w:ascii="Arial" w:eastAsia="Arial" w:hAnsi="Arial" w:cs="Arial"/>
          <w:sz w:val="20"/>
          <w:szCs w:val="20"/>
        </w:rPr>
        <w:t>, 24–28 (2013).</w:t>
      </w:r>
    </w:p>
    <w:p w14:paraId="000002D6"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31. </w:t>
      </w:r>
      <w:r>
        <w:rPr>
          <w:rFonts w:ascii="Arial" w:eastAsia="Arial" w:hAnsi="Arial" w:cs="Arial"/>
          <w:sz w:val="20"/>
          <w:szCs w:val="20"/>
        </w:rPr>
        <w:tab/>
        <w:t xml:space="preserve">J. </w:t>
      </w:r>
      <w:proofErr w:type="spellStart"/>
      <w:r>
        <w:rPr>
          <w:rFonts w:ascii="Arial" w:eastAsia="Arial" w:hAnsi="Arial" w:cs="Arial"/>
          <w:sz w:val="20"/>
          <w:szCs w:val="20"/>
        </w:rPr>
        <w:t>Ailshire</w:t>
      </w:r>
      <w:proofErr w:type="spellEnd"/>
      <w:r>
        <w:rPr>
          <w:rFonts w:ascii="Arial" w:eastAsia="Arial" w:hAnsi="Arial" w:cs="Arial"/>
          <w:sz w:val="20"/>
          <w:szCs w:val="20"/>
        </w:rPr>
        <w:t xml:space="preserve">, D. </w:t>
      </w:r>
      <w:proofErr w:type="spellStart"/>
      <w:r>
        <w:rPr>
          <w:rFonts w:ascii="Arial" w:eastAsia="Arial" w:hAnsi="Arial" w:cs="Arial"/>
          <w:sz w:val="20"/>
          <w:szCs w:val="20"/>
        </w:rPr>
        <w:t>Carr</w:t>
      </w:r>
      <w:proofErr w:type="spellEnd"/>
      <w:r>
        <w:rPr>
          <w:rFonts w:ascii="Arial" w:eastAsia="Arial" w:hAnsi="Arial" w:cs="Arial"/>
          <w:sz w:val="20"/>
          <w:szCs w:val="20"/>
        </w:rPr>
        <w:t xml:space="preserve">, Cross-National Comparisons of Social and Economic Contexts of Aging. </w:t>
      </w:r>
      <w:r>
        <w:rPr>
          <w:rFonts w:ascii="Arial" w:eastAsia="Arial" w:hAnsi="Arial" w:cs="Arial"/>
          <w:i/>
          <w:sz w:val="20"/>
          <w:szCs w:val="20"/>
        </w:rPr>
        <w:t xml:space="preserve">Journals </w:t>
      </w:r>
      <w:proofErr w:type="spellStart"/>
      <w:r>
        <w:rPr>
          <w:rFonts w:ascii="Arial" w:eastAsia="Arial" w:hAnsi="Arial" w:cs="Arial"/>
          <w:i/>
          <w:sz w:val="20"/>
          <w:szCs w:val="20"/>
        </w:rPr>
        <w:t>Gerontol</w:t>
      </w:r>
      <w:proofErr w:type="spellEnd"/>
      <w:r>
        <w:rPr>
          <w:rFonts w:ascii="Arial" w:eastAsia="Arial" w:hAnsi="Arial" w:cs="Arial"/>
          <w:i/>
          <w:sz w:val="20"/>
          <w:szCs w:val="20"/>
        </w:rPr>
        <w:t>. Ser. B</w:t>
      </w:r>
      <w:r>
        <w:rPr>
          <w:rFonts w:ascii="Arial" w:eastAsia="Arial" w:hAnsi="Arial" w:cs="Arial"/>
          <w:sz w:val="20"/>
          <w:szCs w:val="20"/>
        </w:rPr>
        <w:t xml:space="preserve"> </w:t>
      </w:r>
      <w:r>
        <w:rPr>
          <w:rFonts w:ascii="Arial" w:eastAsia="Arial" w:hAnsi="Arial" w:cs="Arial"/>
          <w:b/>
          <w:sz w:val="20"/>
          <w:szCs w:val="20"/>
        </w:rPr>
        <w:t>76</w:t>
      </w:r>
      <w:r>
        <w:rPr>
          <w:rFonts w:ascii="Arial" w:eastAsia="Arial" w:hAnsi="Arial" w:cs="Arial"/>
          <w:sz w:val="20"/>
          <w:szCs w:val="20"/>
        </w:rPr>
        <w:t>, S1–S4 (2021).</w:t>
      </w:r>
    </w:p>
    <w:p w14:paraId="000002D7"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32. </w:t>
      </w:r>
      <w:r>
        <w:rPr>
          <w:rFonts w:ascii="Arial" w:eastAsia="Arial" w:hAnsi="Arial" w:cs="Arial"/>
          <w:sz w:val="20"/>
          <w:szCs w:val="20"/>
        </w:rPr>
        <w:tab/>
        <w:t xml:space="preserve">P. Gardner, K. </w:t>
      </w:r>
      <w:proofErr w:type="spellStart"/>
      <w:r>
        <w:rPr>
          <w:rFonts w:ascii="Arial" w:eastAsia="Arial" w:hAnsi="Arial" w:cs="Arial"/>
          <w:sz w:val="20"/>
          <w:szCs w:val="20"/>
        </w:rPr>
        <w:t>Katagiri</w:t>
      </w:r>
      <w:proofErr w:type="spellEnd"/>
      <w:r>
        <w:rPr>
          <w:rFonts w:ascii="Arial" w:eastAsia="Arial" w:hAnsi="Arial" w:cs="Arial"/>
          <w:sz w:val="20"/>
          <w:szCs w:val="20"/>
        </w:rPr>
        <w:t xml:space="preserve">, J. Parsons, J. Lee, R. </w:t>
      </w:r>
      <w:proofErr w:type="spellStart"/>
      <w:r>
        <w:rPr>
          <w:rFonts w:ascii="Arial" w:eastAsia="Arial" w:hAnsi="Arial" w:cs="Arial"/>
          <w:sz w:val="20"/>
          <w:szCs w:val="20"/>
        </w:rPr>
        <w:t>Thevannoor</w:t>
      </w:r>
      <w:proofErr w:type="spellEnd"/>
      <w:r>
        <w:rPr>
          <w:rFonts w:ascii="Arial" w:eastAsia="Arial" w:hAnsi="Arial" w:cs="Arial"/>
          <w:sz w:val="20"/>
          <w:szCs w:val="20"/>
        </w:rPr>
        <w:t xml:space="preserve">, “Not for the fainthearted”: Engaging in cross-national comparative research. </w:t>
      </w:r>
      <w:r>
        <w:rPr>
          <w:rFonts w:ascii="Arial" w:eastAsia="Arial" w:hAnsi="Arial" w:cs="Arial"/>
          <w:i/>
          <w:sz w:val="20"/>
          <w:szCs w:val="20"/>
        </w:rPr>
        <w:t>J. Aging Stud.</w:t>
      </w:r>
      <w:r>
        <w:rPr>
          <w:rFonts w:ascii="Arial" w:eastAsia="Arial" w:hAnsi="Arial" w:cs="Arial"/>
          <w:sz w:val="20"/>
          <w:szCs w:val="20"/>
        </w:rPr>
        <w:t xml:space="preserve"> </w:t>
      </w:r>
      <w:r>
        <w:rPr>
          <w:rFonts w:ascii="Arial" w:eastAsia="Arial" w:hAnsi="Arial" w:cs="Arial"/>
          <w:b/>
          <w:sz w:val="20"/>
          <w:szCs w:val="20"/>
        </w:rPr>
        <w:t>26</w:t>
      </w:r>
      <w:r>
        <w:rPr>
          <w:rFonts w:ascii="Arial" w:eastAsia="Arial" w:hAnsi="Arial" w:cs="Arial"/>
          <w:sz w:val="20"/>
          <w:szCs w:val="20"/>
        </w:rPr>
        <w:t>, 253–261 (2012).</w:t>
      </w:r>
    </w:p>
    <w:p w14:paraId="000002D8"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33. </w:t>
      </w:r>
      <w:r>
        <w:rPr>
          <w:rFonts w:ascii="Arial" w:eastAsia="Arial" w:hAnsi="Arial" w:cs="Arial"/>
          <w:sz w:val="20"/>
          <w:szCs w:val="20"/>
        </w:rPr>
        <w:tab/>
        <w:t xml:space="preserve">J. L. Angel, W. Vega, M. López-Ortega, R. </w:t>
      </w:r>
      <w:proofErr w:type="spellStart"/>
      <w:r>
        <w:rPr>
          <w:rFonts w:ascii="Arial" w:eastAsia="Arial" w:hAnsi="Arial" w:cs="Arial"/>
          <w:sz w:val="20"/>
          <w:szCs w:val="20"/>
        </w:rPr>
        <w:t>Pruchno</w:t>
      </w:r>
      <w:proofErr w:type="spellEnd"/>
      <w:r>
        <w:rPr>
          <w:rFonts w:ascii="Arial" w:eastAsia="Arial" w:hAnsi="Arial" w:cs="Arial"/>
          <w:sz w:val="20"/>
          <w:szCs w:val="20"/>
        </w:rPr>
        <w:t xml:space="preserve">, Aging in Mexico: Population trends and emerging issues. </w:t>
      </w:r>
      <w:r>
        <w:rPr>
          <w:rFonts w:ascii="Arial" w:eastAsia="Arial" w:hAnsi="Arial" w:cs="Arial"/>
          <w:i/>
          <w:sz w:val="20"/>
          <w:szCs w:val="20"/>
        </w:rPr>
        <w:t>Gerontologist</w:t>
      </w:r>
      <w:r>
        <w:rPr>
          <w:rFonts w:ascii="Arial" w:eastAsia="Arial" w:hAnsi="Arial" w:cs="Arial"/>
          <w:sz w:val="20"/>
          <w:szCs w:val="20"/>
        </w:rPr>
        <w:t xml:space="preserve"> </w:t>
      </w:r>
      <w:r>
        <w:rPr>
          <w:rFonts w:ascii="Arial" w:eastAsia="Arial" w:hAnsi="Arial" w:cs="Arial"/>
          <w:b/>
          <w:sz w:val="20"/>
          <w:szCs w:val="20"/>
        </w:rPr>
        <w:t>57</w:t>
      </w:r>
      <w:r>
        <w:rPr>
          <w:rFonts w:ascii="Arial" w:eastAsia="Arial" w:hAnsi="Arial" w:cs="Arial"/>
          <w:sz w:val="20"/>
          <w:szCs w:val="20"/>
        </w:rPr>
        <w:t>, 153–162 (2017).</w:t>
      </w:r>
    </w:p>
    <w:p w14:paraId="000002D9"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34. </w:t>
      </w:r>
      <w:r>
        <w:rPr>
          <w:rFonts w:ascii="Arial" w:eastAsia="Arial" w:hAnsi="Arial" w:cs="Arial"/>
          <w:sz w:val="20"/>
          <w:szCs w:val="20"/>
        </w:rPr>
        <w:tab/>
        <w:t xml:space="preserve">R. Pelletier, </w:t>
      </w:r>
      <w:r>
        <w:rPr>
          <w:rFonts w:ascii="Arial" w:eastAsia="Arial" w:hAnsi="Arial" w:cs="Arial"/>
          <w:i/>
          <w:sz w:val="20"/>
          <w:szCs w:val="20"/>
        </w:rPr>
        <w:t>et al.</w:t>
      </w:r>
      <w:r>
        <w:rPr>
          <w:rFonts w:ascii="Arial" w:eastAsia="Arial" w:hAnsi="Arial" w:cs="Arial"/>
          <w:sz w:val="20"/>
          <w:szCs w:val="20"/>
        </w:rPr>
        <w:t xml:space="preserve">, Sex Versus Gender-Related Characteristics Which Predicts Outcome after Acute Coronary Syndrome in the Young? </w:t>
      </w:r>
      <w:r>
        <w:rPr>
          <w:rFonts w:ascii="Arial" w:eastAsia="Arial" w:hAnsi="Arial" w:cs="Arial"/>
          <w:i/>
          <w:sz w:val="20"/>
          <w:szCs w:val="20"/>
        </w:rPr>
        <w:t xml:space="preserve">J. Am. Coll. </w:t>
      </w:r>
      <w:proofErr w:type="spellStart"/>
      <w:r>
        <w:rPr>
          <w:rFonts w:ascii="Arial" w:eastAsia="Arial" w:hAnsi="Arial" w:cs="Arial"/>
          <w:i/>
          <w:sz w:val="20"/>
          <w:szCs w:val="20"/>
        </w:rPr>
        <w:t>Cardiol</w:t>
      </w:r>
      <w:proofErr w:type="spellEnd"/>
      <w:r>
        <w:rPr>
          <w:rFonts w:ascii="Arial" w:eastAsia="Arial" w:hAnsi="Arial" w:cs="Arial"/>
          <w:i/>
          <w:sz w:val="20"/>
          <w:szCs w:val="20"/>
        </w:rPr>
        <w:t>.</w:t>
      </w:r>
      <w:r>
        <w:rPr>
          <w:rFonts w:ascii="Arial" w:eastAsia="Arial" w:hAnsi="Arial" w:cs="Arial"/>
          <w:sz w:val="20"/>
          <w:szCs w:val="20"/>
        </w:rPr>
        <w:t xml:space="preserve"> </w:t>
      </w:r>
      <w:r>
        <w:rPr>
          <w:rFonts w:ascii="Arial" w:eastAsia="Arial" w:hAnsi="Arial" w:cs="Arial"/>
          <w:b/>
          <w:sz w:val="20"/>
          <w:szCs w:val="20"/>
        </w:rPr>
        <w:t>67</w:t>
      </w:r>
      <w:r>
        <w:rPr>
          <w:rFonts w:ascii="Arial" w:eastAsia="Arial" w:hAnsi="Arial" w:cs="Arial"/>
          <w:sz w:val="20"/>
          <w:szCs w:val="20"/>
        </w:rPr>
        <w:t>, 127–135 (2016).</w:t>
      </w:r>
    </w:p>
    <w:p w14:paraId="000002DA"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lastRenderedPageBreak/>
        <w:t xml:space="preserve">35. </w:t>
      </w:r>
      <w:r>
        <w:rPr>
          <w:rFonts w:ascii="Arial" w:eastAsia="Arial" w:hAnsi="Arial" w:cs="Arial"/>
          <w:sz w:val="20"/>
          <w:szCs w:val="20"/>
        </w:rPr>
        <w:tab/>
        <w:t xml:space="preserve">R. D. Edwards, S. </w:t>
      </w:r>
      <w:proofErr w:type="spellStart"/>
      <w:r>
        <w:rPr>
          <w:rFonts w:ascii="Arial" w:eastAsia="Arial" w:hAnsi="Arial" w:cs="Arial"/>
          <w:sz w:val="20"/>
          <w:szCs w:val="20"/>
        </w:rPr>
        <w:t>Tuljapurkar</w:t>
      </w:r>
      <w:proofErr w:type="spellEnd"/>
      <w:r>
        <w:rPr>
          <w:rFonts w:ascii="Arial" w:eastAsia="Arial" w:hAnsi="Arial" w:cs="Arial"/>
          <w:sz w:val="20"/>
          <w:szCs w:val="20"/>
        </w:rPr>
        <w:t xml:space="preserve">, Inequality in Life Spans and Mortality Convergence Across Industrialized Countries. </w:t>
      </w:r>
      <w:proofErr w:type="spellStart"/>
      <w:r>
        <w:rPr>
          <w:rFonts w:ascii="Arial" w:eastAsia="Arial" w:hAnsi="Arial" w:cs="Arial"/>
          <w:i/>
          <w:sz w:val="20"/>
          <w:szCs w:val="20"/>
        </w:rPr>
        <w:t>Popul</w:t>
      </w:r>
      <w:proofErr w:type="spellEnd"/>
      <w:r>
        <w:rPr>
          <w:rFonts w:ascii="Arial" w:eastAsia="Arial" w:hAnsi="Arial" w:cs="Arial"/>
          <w:i/>
          <w:sz w:val="20"/>
          <w:szCs w:val="20"/>
        </w:rPr>
        <w:t>. Dev. Rev.</w:t>
      </w:r>
      <w:r>
        <w:rPr>
          <w:rFonts w:ascii="Arial" w:eastAsia="Arial" w:hAnsi="Arial" w:cs="Arial"/>
          <w:sz w:val="20"/>
          <w:szCs w:val="20"/>
        </w:rPr>
        <w:t xml:space="preserve"> </w:t>
      </w:r>
      <w:r>
        <w:rPr>
          <w:rFonts w:ascii="Arial" w:eastAsia="Arial" w:hAnsi="Arial" w:cs="Arial"/>
          <w:b/>
          <w:sz w:val="20"/>
          <w:szCs w:val="20"/>
        </w:rPr>
        <w:t>31</w:t>
      </w:r>
      <w:r>
        <w:rPr>
          <w:rFonts w:ascii="Arial" w:eastAsia="Arial" w:hAnsi="Arial" w:cs="Arial"/>
          <w:sz w:val="20"/>
          <w:szCs w:val="20"/>
        </w:rPr>
        <w:t>, 1–36 (2005).</w:t>
      </w:r>
    </w:p>
    <w:p w14:paraId="000002DB"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36. </w:t>
      </w:r>
      <w:r>
        <w:rPr>
          <w:rFonts w:ascii="Arial" w:eastAsia="Arial" w:hAnsi="Arial" w:cs="Arial"/>
          <w:sz w:val="20"/>
          <w:szCs w:val="20"/>
        </w:rPr>
        <w:tab/>
        <w:t xml:space="preserve">I. </w:t>
      </w:r>
      <w:proofErr w:type="spellStart"/>
      <w:r>
        <w:rPr>
          <w:rFonts w:ascii="Arial" w:eastAsia="Arial" w:hAnsi="Arial" w:cs="Arial"/>
          <w:sz w:val="20"/>
          <w:szCs w:val="20"/>
        </w:rPr>
        <w:t>Permanyer</w:t>
      </w:r>
      <w:proofErr w:type="spellEnd"/>
      <w:r>
        <w:rPr>
          <w:rFonts w:ascii="Arial" w:eastAsia="Arial" w:hAnsi="Arial" w:cs="Arial"/>
          <w:sz w:val="20"/>
          <w:szCs w:val="20"/>
        </w:rPr>
        <w:t xml:space="preserve">, J. </w:t>
      </w:r>
      <w:proofErr w:type="spellStart"/>
      <w:r>
        <w:rPr>
          <w:rFonts w:ascii="Arial" w:eastAsia="Arial" w:hAnsi="Arial" w:cs="Arial"/>
          <w:sz w:val="20"/>
          <w:szCs w:val="20"/>
        </w:rPr>
        <w:t>Spijker</w:t>
      </w:r>
      <w:proofErr w:type="spellEnd"/>
      <w:r>
        <w:rPr>
          <w:rFonts w:ascii="Arial" w:eastAsia="Arial" w:hAnsi="Arial" w:cs="Arial"/>
          <w:sz w:val="20"/>
          <w:szCs w:val="20"/>
        </w:rPr>
        <w:t xml:space="preserve">, A. Blanes, E. Renteria, Longevity and Lifespan Variation by Educational Attainment in Spain: 1960–2015. </w:t>
      </w:r>
      <w:r>
        <w:rPr>
          <w:rFonts w:ascii="Arial" w:eastAsia="Arial" w:hAnsi="Arial" w:cs="Arial"/>
          <w:i/>
          <w:sz w:val="20"/>
          <w:szCs w:val="20"/>
        </w:rPr>
        <w:t>Demography</w:t>
      </w:r>
      <w:r>
        <w:rPr>
          <w:rFonts w:ascii="Arial" w:eastAsia="Arial" w:hAnsi="Arial" w:cs="Arial"/>
          <w:sz w:val="20"/>
          <w:szCs w:val="20"/>
        </w:rPr>
        <w:t xml:space="preserve"> (2018) https:/doi.org/10.1007/s13524-018-0718-z.</w:t>
      </w:r>
    </w:p>
    <w:p w14:paraId="000002DC"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37. </w:t>
      </w:r>
      <w:r>
        <w:rPr>
          <w:rFonts w:ascii="Arial" w:eastAsia="Arial" w:hAnsi="Arial" w:cs="Arial"/>
          <w:sz w:val="20"/>
          <w:szCs w:val="20"/>
        </w:rPr>
        <w:tab/>
        <w:t xml:space="preserve">C. E. Ross, R. K. Masters, R. A. Hummer, Education and the Gender Gaps in Health and Mortality. </w:t>
      </w:r>
      <w:r>
        <w:rPr>
          <w:rFonts w:ascii="Arial" w:eastAsia="Arial" w:hAnsi="Arial" w:cs="Arial"/>
          <w:i/>
          <w:sz w:val="20"/>
          <w:szCs w:val="20"/>
        </w:rPr>
        <w:t>Demography</w:t>
      </w:r>
      <w:r>
        <w:rPr>
          <w:rFonts w:ascii="Arial" w:eastAsia="Arial" w:hAnsi="Arial" w:cs="Arial"/>
          <w:sz w:val="20"/>
          <w:szCs w:val="20"/>
        </w:rPr>
        <w:t xml:space="preserve"> </w:t>
      </w:r>
      <w:r>
        <w:rPr>
          <w:rFonts w:ascii="Arial" w:eastAsia="Arial" w:hAnsi="Arial" w:cs="Arial"/>
          <w:b/>
          <w:sz w:val="20"/>
          <w:szCs w:val="20"/>
        </w:rPr>
        <w:t>49</w:t>
      </w:r>
      <w:r>
        <w:rPr>
          <w:rFonts w:ascii="Arial" w:eastAsia="Arial" w:hAnsi="Arial" w:cs="Arial"/>
          <w:sz w:val="20"/>
          <w:szCs w:val="20"/>
        </w:rPr>
        <w:t>, 1157–1183 (2012).</w:t>
      </w:r>
    </w:p>
    <w:p w14:paraId="000002DD"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38. </w:t>
      </w:r>
      <w:r>
        <w:rPr>
          <w:rFonts w:ascii="Arial" w:eastAsia="Arial" w:hAnsi="Arial" w:cs="Arial"/>
          <w:sz w:val="20"/>
          <w:szCs w:val="20"/>
        </w:rPr>
        <w:tab/>
        <w:t xml:space="preserve">H. </w:t>
      </w:r>
      <w:proofErr w:type="spellStart"/>
      <w:r>
        <w:rPr>
          <w:rFonts w:ascii="Arial" w:eastAsia="Arial" w:hAnsi="Arial" w:cs="Arial"/>
          <w:sz w:val="20"/>
          <w:szCs w:val="20"/>
        </w:rPr>
        <w:t>Tolonen</w:t>
      </w:r>
      <w:proofErr w:type="spellEnd"/>
      <w:r>
        <w:rPr>
          <w:rFonts w:ascii="Arial" w:eastAsia="Arial" w:hAnsi="Arial" w:cs="Arial"/>
          <w:sz w:val="20"/>
          <w:szCs w:val="20"/>
        </w:rPr>
        <w:t xml:space="preserve">, </w:t>
      </w:r>
      <w:r>
        <w:rPr>
          <w:rFonts w:ascii="Arial" w:eastAsia="Arial" w:hAnsi="Arial" w:cs="Arial"/>
          <w:i/>
          <w:sz w:val="20"/>
          <w:szCs w:val="20"/>
        </w:rPr>
        <w:t>et al.</w:t>
      </w:r>
      <w:r>
        <w:rPr>
          <w:rFonts w:ascii="Arial" w:eastAsia="Arial" w:hAnsi="Arial" w:cs="Arial"/>
          <w:sz w:val="20"/>
          <w:szCs w:val="20"/>
        </w:rPr>
        <w:t xml:space="preserve">, Cross-national comparisons of health indicators require standardized definitions and common data sources. </w:t>
      </w:r>
      <w:r>
        <w:rPr>
          <w:rFonts w:ascii="Arial" w:eastAsia="Arial" w:hAnsi="Arial" w:cs="Arial"/>
          <w:i/>
          <w:sz w:val="20"/>
          <w:szCs w:val="20"/>
        </w:rPr>
        <w:t>Arch. Public Heal. 2021 791</w:t>
      </w:r>
      <w:r>
        <w:rPr>
          <w:rFonts w:ascii="Arial" w:eastAsia="Arial" w:hAnsi="Arial" w:cs="Arial"/>
          <w:sz w:val="20"/>
          <w:szCs w:val="20"/>
        </w:rPr>
        <w:t xml:space="preserve"> </w:t>
      </w:r>
      <w:r>
        <w:rPr>
          <w:rFonts w:ascii="Arial" w:eastAsia="Arial" w:hAnsi="Arial" w:cs="Arial"/>
          <w:b/>
          <w:sz w:val="20"/>
          <w:szCs w:val="20"/>
        </w:rPr>
        <w:t>79</w:t>
      </w:r>
      <w:r>
        <w:rPr>
          <w:rFonts w:ascii="Arial" w:eastAsia="Arial" w:hAnsi="Arial" w:cs="Arial"/>
          <w:sz w:val="20"/>
          <w:szCs w:val="20"/>
        </w:rPr>
        <w:t>, 1–14 (2021).</w:t>
      </w:r>
    </w:p>
    <w:p w14:paraId="000002DE" w14:textId="77777777" w:rsidR="00B133DD" w:rsidRDefault="00B133DD">
      <w:pPr>
        <w:pBdr>
          <w:top w:val="nil"/>
          <w:left w:val="nil"/>
          <w:bottom w:val="nil"/>
          <w:right w:val="nil"/>
          <w:between w:val="nil"/>
        </w:pBdr>
        <w:rPr>
          <w:rFonts w:ascii="Arial" w:eastAsia="Arial" w:hAnsi="Arial" w:cs="Arial"/>
          <w:color w:val="000000"/>
          <w:sz w:val="20"/>
          <w:szCs w:val="20"/>
        </w:rPr>
      </w:pPr>
    </w:p>
    <w:p w14:paraId="000002DF"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0" w14:textId="77777777" w:rsidR="00B133DD" w:rsidRDefault="00B133DD">
      <w:pPr>
        <w:keepNext/>
        <w:pBdr>
          <w:top w:val="nil"/>
          <w:left w:val="nil"/>
          <w:bottom w:val="nil"/>
          <w:right w:val="nil"/>
          <w:between w:val="nil"/>
        </w:pBdr>
        <w:spacing w:before="240" w:after="0"/>
        <w:jc w:val="both"/>
        <w:rPr>
          <w:rFonts w:ascii="Arial" w:eastAsia="Arial" w:hAnsi="Arial" w:cs="Arial"/>
          <w:color w:val="000000"/>
          <w:sz w:val="20"/>
          <w:szCs w:val="20"/>
        </w:rPr>
      </w:pPr>
    </w:p>
    <w:p w14:paraId="000002E1" w14:textId="77777777" w:rsidR="00B133DD" w:rsidRDefault="00B133DD">
      <w:pPr>
        <w:keepNext/>
        <w:pBdr>
          <w:top w:val="nil"/>
          <w:left w:val="nil"/>
          <w:bottom w:val="nil"/>
          <w:right w:val="nil"/>
          <w:between w:val="nil"/>
        </w:pBdr>
        <w:spacing w:after="0"/>
        <w:jc w:val="both"/>
        <w:rPr>
          <w:rFonts w:ascii="Arial" w:eastAsia="Arial" w:hAnsi="Arial" w:cs="Arial"/>
          <w:color w:val="000000"/>
          <w:sz w:val="20"/>
          <w:szCs w:val="20"/>
        </w:rPr>
      </w:pPr>
    </w:p>
    <w:p w14:paraId="000002E2" w14:textId="77777777" w:rsidR="00B133DD" w:rsidRDefault="00A50CB3">
      <w:pPr>
        <w:keepNext/>
        <w:pBdr>
          <w:top w:val="nil"/>
          <w:left w:val="nil"/>
          <w:bottom w:val="nil"/>
          <w:right w:val="nil"/>
          <w:between w:val="nil"/>
        </w:pBdr>
        <w:spacing w:after="0"/>
        <w:jc w:val="both"/>
        <w:rPr>
          <w:rFonts w:ascii="Arial" w:eastAsia="Arial" w:hAnsi="Arial" w:cs="Arial"/>
          <w:b/>
          <w:color w:val="000000"/>
          <w:sz w:val="24"/>
          <w:szCs w:val="24"/>
        </w:rPr>
      </w:pPr>
      <w:r>
        <w:rPr>
          <w:rFonts w:ascii="Arial" w:eastAsia="Arial" w:hAnsi="Arial" w:cs="Arial"/>
          <w:b/>
          <w:color w:val="000000"/>
          <w:sz w:val="24"/>
          <w:szCs w:val="24"/>
        </w:rPr>
        <w:t>Figures and Tables</w:t>
      </w:r>
    </w:p>
    <w:p w14:paraId="000002E3" w14:textId="77777777" w:rsidR="00B133DD" w:rsidRDefault="00B133DD">
      <w:pPr>
        <w:keepNext/>
        <w:pBdr>
          <w:top w:val="nil"/>
          <w:left w:val="nil"/>
          <w:bottom w:val="nil"/>
          <w:right w:val="nil"/>
          <w:between w:val="nil"/>
        </w:pBdr>
        <w:spacing w:after="0"/>
        <w:rPr>
          <w:rFonts w:ascii="Arial" w:eastAsia="Arial" w:hAnsi="Arial" w:cs="Arial"/>
          <w:b/>
          <w:color w:val="000000"/>
          <w:sz w:val="20"/>
          <w:szCs w:val="20"/>
        </w:rPr>
      </w:pPr>
    </w:p>
    <w:p w14:paraId="000002E4" w14:textId="77777777" w:rsidR="00B133DD" w:rsidRDefault="00A50CB3">
      <w:pPr>
        <w:keepNext/>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b/>
          <w:color w:val="000000"/>
          <w:sz w:val="20"/>
          <w:szCs w:val="20"/>
        </w:rPr>
        <w:t xml:space="preserve">Figure 1. </w:t>
      </w:r>
      <w:r>
        <w:rPr>
          <w:rFonts w:ascii="Arial" w:eastAsia="Arial" w:hAnsi="Arial" w:cs="Arial"/>
          <w:color w:val="000000"/>
          <w:sz w:val="20"/>
          <w:szCs w:val="20"/>
        </w:rPr>
        <w:t>Type or paste legend here.  Paste figure above the legend.</w:t>
      </w:r>
    </w:p>
    <w:p w14:paraId="000002E5"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6" w14:textId="77777777" w:rsidR="00B133DD" w:rsidRDefault="00A50CB3">
      <w:p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color w:val="000000"/>
          <w:sz w:val="20"/>
          <w:szCs w:val="20"/>
        </w:rPr>
        <w:t>&lt;insert page break here&gt;</w:t>
      </w:r>
    </w:p>
    <w:p w14:paraId="000002E7"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8"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9" w14:textId="77777777" w:rsidR="00B133DD" w:rsidRDefault="00A50CB3">
      <w:pPr>
        <w:keepNext/>
        <w:pBdr>
          <w:top w:val="nil"/>
          <w:left w:val="nil"/>
          <w:bottom w:val="nil"/>
          <w:right w:val="nil"/>
          <w:between w:val="nil"/>
        </w:pBdr>
        <w:spacing w:after="0"/>
        <w:rPr>
          <w:rFonts w:ascii="Arial" w:eastAsia="Arial" w:hAnsi="Arial" w:cs="Arial"/>
          <w:b/>
          <w:color w:val="000000"/>
          <w:sz w:val="20"/>
          <w:szCs w:val="20"/>
        </w:rPr>
      </w:pPr>
      <w:r>
        <w:rPr>
          <w:rFonts w:ascii="Arial" w:eastAsia="Arial" w:hAnsi="Arial" w:cs="Arial"/>
          <w:b/>
          <w:color w:val="000000"/>
          <w:sz w:val="20"/>
          <w:szCs w:val="20"/>
        </w:rPr>
        <w:t xml:space="preserve">Figure 2. </w:t>
      </w:r>
      <w:r>
        <w:rPr>
          <w:rFonts w:ascii="Arial" w:eastAsia="Arial" w:hAnsi="Arial" w:cs="Arial"/>
          <w:color w:val="000000"/>
          <w:sz w:val="20"/>
          <w:szCs w:val="20"/>
        </w:rPr>
        <w:t>Type or paste legend here.  Paste figure above the legend.</w:t>
      </w:r>
    </w:p>
    <w:p w14:paraId="000002EA"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B" w14:textId="77777777" w:rsidR="00B133DD" w:rsidRDefault="00A50CB3">
      <w:p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color w:val="000000"/>
          <w:sz w:val="20"/>
          <w:szCs w:val="20"/>
        </w:rPr>
        <w:t>&lt;insert page break here&gt;</w:t>
      </w:r>
    </w:p>
    <w:p w14:paraId="000002E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D"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E" w14:textId="77777777" w:rsidR="00B133DD" w:rsidRDefault="00A50CB3">
      <w:pPr>
        <w:keepNext/>
        <w:pBdr>
          <w:top w:val="nil"/>
          <w:left w:val="nil"/>
          <w:bottom w:val="nil"/>
          <w:right w:val="nil"/>
          <w:between w:val="nil"/>
        </w:pBdr>
        <w:spacing w:after="0"/>
        <w:rPr>
          <w:rFonts w:ascii="Arial" w:eastAsia="Arial" w:hAnsi="Arial" w:cs="Arial"/>
          <w:b/>
          <w:color w:val="000000"/>
          <w:sz w:val="20"/>
          <w:szCs w:val="20"/>
        </w:rPr>
      </w:pPr>
      <w:r>
        <w:rPr>
          <w:rFonts w:ascii="Arial" w:eastAsia="Arial" w:hAnsi="Arial" w:cs="Arial"/>
          <w:b/>
          <w:color w:val="000000"/>
          <w:sz w:val="20"/>
          <w:szCs w:val="20"/>
        </w:rPr>
        <w:t xml:space="preserve">Table 1. </w:t>
      </w:r>
      <w:r>
        <w:rPr>
          <w:rFonts w:ascii="Arial" w:eastAsia="Arial" w:hAnsi="Arial" w:cs="Arial"/>
          <w:color w:val="000000"/>
          <w:sz w:val="20"/>
          <w:szCs w:val="20"/>
        </w:rPr>
        <w:t>Type or paste table title here. Paste table below the title.</w:t>
      </w:r>
    </w:p>
    <w:p w14:paraId="000002EF"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F0" w14:textId="77777777" w:rsidR="00B133DD" w:rsidRDefault="00A50CB3">
      <w:p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color w:val="000000"/>
          <w:sz w:val="20"/>
          <w:szCs w:val="20"/>
        </w:rPr>
        <w:t>&lt;insert page break here&gt;</w:t>
      </w:r>
    </w:p>
    <w:p w14:paraId="000002F1"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F2"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F3" w14:textId="77777777" w:rsidR="00B133DD" w:rsidRDefault="00A50CB3">
      <w:pPr>
        <w:keepNext/>
        <w:pBdr>
          <w:top w:val="nil"/>
          <w:left w:val="nil"/>
          <w:bottom w:val="nil"/>
          <w:right w:val="nil"/>
          <w:between w:val="nil"/>
        </w:pBdr>
        <w:spacing w:after="0"/>
        <w:rPr>
          <w:rFonts w:ascii="Arial" w:eastAsia="Arial" w:hAnsi="Arial" w:cs="Arial"/>
          <w:b/>
          <w:color w:val="000000"/>
          <w:sz w:val="20"/>
          <w:szCs w:val="20"/>
        </w:rPr>
      </w:pPr>
      <w:r>
        <w:rPr>
          <w:rFonts w:ascii="Arial" w:eastAsia="Arial" w:hAnsi="Arial" w:cs="Arial"/>
          <w:b/>
          <w:color w:val="000000"/>
          <w:sz w:val="20"/>
          <w:szCs w:val="20"/>
        </w:rPr>
        <w:t>Table 2.</w:t>
      </w:r>
      <w:r>
        <w:rPr>
          <w:rFonts w:ascii="Arial" w:eastAsia="Arial" w:hAnsi="Arial" w:cs="Arial"/>
          <w:color w:val="000000"/>
          <w:sz w:val="20"/>
          <w:szCs w:val="20"/>
        </w:rPr>
        <w:t xml:space="preserve"> Type or paste table title here. Paste table below the title. </w:t>
      </w:r>
    </w:p>
    <w:p w14:paraId="000002F4" w14:textId="77777777" w:rsidR="00B133DD" w:rsidRDefault="00B133DD">
      <w:pPr>
        <w:keepNext/>
        <w:pBdr>
          <w:top w:val="nil"/>
          <w:left w:val="nil"/>
          <w:bottom w:val="nil"/>
          <w:right w:val="nil"/>
          <w:between w:val="nil"/>
        </w:pBdr>
        <w:spacing w:after="0"/>
        <w:rPr>
          <w:rFonts w:ascii="Arial" w:eastAsia="Arial" w:hAnsi="Arial" w:cs="Arial"/>
          <w:color w:val="000000"/>
          <w:sz w:val="20"/>
          <w:szCs w:val="20"/>
        </w:rPr>
      </w:pPr>
    </w:p>
    <w:p w14:paraId="000002F5" w14:textId="77777777" w:rsidR="00B133DD" w:rsidRDefault="00B133DD">
      <w:pPr>
        <w:rPr>
          <w:rFonts w:ascii="Arial" w:eastAsia="Arial" w:hAnsi="Arial" w:cs="Arial"/>
          <w:sz w:val="20"/>
          <w:szCs w:val="20"/>
        </w:rPr>
      </w:pPr>
    </w:p>
    <w:sectPr w:rsidR="00B133DD">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Vanessa Gabrielle di Lego" w:date="2023-03-25T10:34:00Z" w:initials="">
    <w:p w14:paraId="000002FB" w14:textId="77777777" w:rsidR="00DF7075" w:rsidRDefault="00DF7075">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note to myself: add reference later</w:t>
      </w:r>
    </w:p>
  </w:comment>
  <w:comment w:id="38" w:author="Vanessa Gabrielle di Lego" w:date="2023-03-25T11:23:00Z" w:initials="">
    <w:p w14:paraId="000002FC" w14:textId="77777777" w:rsidR="00DF7075" w:rsidRDefault="00DF7075">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NOTE TO MY SELF: add here the refs and details on def. of chronic disease and disability. add table with sample size characteristics and survey description in the appendix.</w:t>
      </w:r>
    </w:p>
  </w:comment>
  <w:comment w:id="42" w:author="Vanessa Gabrielle di Lego" w:date="2023-03-25T11:21:00Z" w:initials="">
    <w:p w14:paraId="000002FA" w14:textId="77777777" w:rsidR="00DF7075" w:rsidRDefault="00DF7075">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a </w:t>
      </w:r>
      <w:proofErr w:type="spellStart"/>
      <w:r>
        <w:rPr>
          <w:rFonts w:ascii="Arial" w:eastAsia="Arial" w:hAnsi="Arial" w:cs="Arial"/>
          <w:color w:val="000000"/>
        </w:rPr>
        <w:t>formatação</w:t>
      </w:r>
      <w:proofErr w:type="spellEnd"/>
      <w:r>
        <w:rPr>
          <w:rFonts w:ascii="Arial" w:eastAsia="Arial" w:hAnsi="Arial" w:cs="Arial"/>
          <w:color w:val="000000"/>
        </w:rPr>
        <w:t xml:space="preserve"> da </w:t>
      </w:r>
      <w:proofErr w:type="spellStart"/>
      <w:r>
        <w:rPr>
          <w:rFonts w:ascii="Arial" w:eastAsia="Arial" w:hAnsi="Arial" w:cs="Arial"/>
          <w:color w:val="000000"/>
        </w:rPr>
        <w:t>equação</w:t>
      </w:r>
      <w:proofErr w:type="spellEnd"/>
      <w:r>
        <w:rPr>
          <w:rFonts w:ascii="Arial" w:eastAsia="Arial" w:hAnsi="Arial" w:cs="Arial"/>
          <w:color w:val="000000"/>
        </w:rPr>
        <w:t xml:space="preserve"> </w:t>
      </w:r>
      <w:proofErr w:type="spellStart"/>
      <w:r>
        <w:rPr>
          <w:rFonts w:ascii="Arial" w:eastAsia="Arial" w:hAnsi="Arial" w:cs="Arial"/>
          <w:color w:val="000000"/>
        </w:rPr>
        <w:t>fica</w:t>
      </w:r>
      <w:proofErr w:type="spellEnd"/>
      <w:r>
        <w:rPr>
          <w:rFonts w:ascii="Arial" w:eastAsia="Arial" w:hAnsi="Arial" w:cs="Arial"/>
          <w:color w:val="000000"/>
        </w:rPr>
        <w:t xml:space="preserve"> </w:t>
      </w:r>
      <w:proofErr w:type="spellStart"/>
      <w:r>
        <w:rPr>
          <w:rFonts w:ascii="Arial" w:eastAsia="Arial" w:hAnsi="Arial" w:cs="Arial"/>
          <w:color w:val="000000"/>
        </w:rPr>
        <w:t>desconfigurada</w:t>
      </w:r>
      <w:proofErr w:type="spellEnd"/>
      <w:r>
        <w:rPr>
          <w:rFonts w:ascii="Arial" w:eastAsia="Arial" w:hAnsi="Arial" w:cs="Arial"/>
          <w:color w:val="000000"/>
        </w:rPr>
        <w:t xml:space="preserve"> no drive. </w:t>
      </w:r>
      <w:proofErr w:type="spellStart"/>
      <w:r>
        <w:rPr>
          <w:rFonts w:ascii="Arial" w:eastAsia="Arial" w:hAnsi="Arial" w:cs="Arial"/>
          <w:color w:val="000000"/>
        </w:rPr>
        <w:t>Quando</w:t>
      </w:r>
      <w:proofErr w:type="spellEnd"/>
      <w:r>
        <w:rPr>
          <w:rFonts w:ascii="Arial" w:eastAsia="Arial" w:hAnsi="Arial" w:cs="Arial"/>
          <w:color w:val="000000"/>
        </w:rPr>
        <w:t xml:space="preserve"> a </w:t>
      </w:r>
      <w:proofErr w:type="spellStart"/>
      <w:r>
        <w:rPr>
          <w:rFonts w:ascii="Arial" w:eastAsia="Arial" w:hAnsi="Arial" w:cs="Arial"/>
          <w:color w:val="000000"/>
        </w:rPr>
        <w:t>gente</w:t>
      </w:r>
      <w:proofErr w:type="spellEnd"/>
      <w:r>
        <w:rPr>
          <w:rFonts w:ascii="Arial" w:eastAsia="Arial" w:hAnsi="Arial" w:cs="Arial"/>
          <w:color w:val="000000"/>
        </w:rPr>
        <w:t xml:space="preserve"> </w:t>
      </w:r>
      <w:proofErr w:type="spellStart"/>
      <w:r>
        <w:rPr>
          <w:rFonts w:ascii="Arial" w:eastAsia="Arial" w:hAnsi="Arial" w:cs="Arial"/>
          <w:color w:val="000000"/>
        </w:rPr>
        <w:t>concluir</w:t>
      </w:r>
      <w:proofErr w:type="spellEnd"/>
      <w:r>
        <w:rPr>
          <w:rFonts w:ascii="Arial" w:eastAsia="Arial" w:hAnsi="Arial" w:cs="Arial"/>
          <w:color w:val="000000"/>
        </w:rPr>
        <w:t xml:space="preserve"> o </w:t>
      </w:r>
      <w:proofErr w:type="spellStart"/>
      <w:r>
        <w:rPr>
          <w:rFonts w:ascii="Arial" w:eastAsia="Arial" w:hAnsi="Arial" w:cs="Arial"/>
          <w:color w:val="000000"/>
        </w:rPr>
        <w:t>artigo</w:t>
      </w:r>
      <w:proofErr w:type="spellEnd"/>
      <w:r>
        <w:rPr>
          <w:rFonts w:ascii="Arial" w:eastAsia="Arial" w:hAnsi="Arial" w:cs="Arial"/>
          <w:color w:val="000000"/>
        </w:rPr>
        <w:t xml:space="preserve"> </w:t>
      </w:r>
      <w:proofErr w:type="spellStart"/>
      <w:r>
        <w:rPr>
          <w:rFonts w:ascii="Arial" w:eastAsia="Arial" w:hAnsi="Arial" w:cs="Arial"/>
          <w:color w:val="000000"/>
        </w:rPr>
        <w:t>eu</w:t>
      </w:r>
      <w:proofErr w:type="spellEnd"/>
      <w:r>
        <w:rPr>
          <w:rFonts w:ascii="Arial" w:eastAsia="Arial" w:hAnsi="Arial" w:cs="Arial"/>
          <w:color w:val="000000"/>
        </w:rPr>
        <w:t xml:space="preserve"> </w:t>
      </w:r>
      <w:proofErr w:type="spellStart"/>
      <w:r>
        <w:rPr>
          <w:rFonts w:ascii="Arial" w:eastAsia="Arial" w:hAnsi="Arial" w:cs="Arial"/>
          <w:color w:val="000000"/>
        </w:rPr>
        <w:t>ajusto</w:t>
      </w:r>
      <w:proofErr w:type="spellEnd"/>
      <w:r>
        <w:rPr>
          <w:rFonts w:ascii="Arial" w:eastAsia="Arial" w:hAnsi="Arial" w:cs="Arial"/>
          <w:color w:val="000000"/>
        </w:rPr>
        <w:t xml:space="preserve"> </w:t>
      </w:r>
      <w:proofErr w:type="spellStart"/>
      <w:r>
        <w:rPr>
          <w:rFonts w:ascii="Arial" w:eastAsia="Arial" w:hAnsi="Arial" w:cs="Arial"/>
          <w:color w:val="000000"/>
        </w:rPr>
        <w:t>tudo</w:t>
      </w:r>
      <w:proofErr w:type="spellEnd"/>
      <w:r>
        <w:rPr>
          <w:rFonts w:ascii="Arial" w:eastAsia="Arial" w:hAnsi="Arial" w:cs="Arial"/>
          <w:color w:val="000000"/>
        </w:rPr>
        <w:t xml:space="preserve"> </w:t>
      </w:r>
      <w:proofErr w:type="spellStart"/>
      <w:r>
        <w:rPr>
          <w:rFonts w:ascii="Arial" w:eastAsia="Arial" w:hAnsi="Arial" w:cs="Arial"/>
          <w:color w:val="000000"/>
        </w:rPr>
        <w:t>na</w:t>
      </w:r>
      <w:proofErr w:type="spellEnd"/>
      <w:r>
        <w:rPr>
          <w:rFonts w:ascii="Arial" w:eastAsia="Arial" w:hAnsi="Arial" w:cs="Arial"/>
          <w:color w:val="000000"/>
        </w:rPr>
        <w:t xml:space="preserve"> </w:t>
      </w:r>
      <w:proofErr w:type="spellStart"/>
      <w:r>
        <w:rPr>
          <w:rFonts w:ascii="Arial" w:eastAsia="Arial" w:hAnsi="Arial" w:cs="Arial"/>
          <w:color w:val="000000"/>
        </w:rPr>
        <w:t>versão</w:t>
      </w:r>
      <w:proofErr w:type="spellEnd"/>
      <w:r>
        <w:rPr>
          <w:rFonts w:ascii="Arial" w:eastAsia="Arial" w:hAnsi="Arial" w:cs="Arial"/>
          <w:color w:val="000000"/>
        </w:rPr>
        <w:t xml:space="preserve"> final.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2FB" w15:done="0"/>
  <w15:commentEx w15:paraId="000002FC" w15:done="0"/>
  <w15:commentEx w15:paraId="000002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2FB" w16cid:durableId="27D56486"/>
  <w16cid:commentId w16cid:paraId="000002FC" w16cid:durableId="27D56485"/>
  <w16cid:commentId w16cid:paraId="000002FA" w16cid:durableId="27D564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4F28D" w14:textId="77777777" w:rsidR="00AC6A68" w:rsidRDefault="00AC6A68">
      <w:pPr>
        <w:spacing w:after="0"/>
      </w:pPr>
      <w:r>
        <w:separator/>
      </w:r>
    </w:p>
  </w:endnote>
  <w:endnote w:type="continuationSeparator" w:id="0">
    <w:p w14:paraId="6DC439D0" w14:textId="77777777" w:rsidR="00AC6A68" w:rsidRDefault="00AC6A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8" w14:textId="306CBD6D" w:rsidR="00DF7075" w:rsidRDefault="00DF7075">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DF7075" w:rsidRDefault="00DF7075">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F2B50" w14:textId="77777777" w:rsidR="00AC6A68" w:rsidRDefault="00AC6A68">
      <w:pPr>
        <w:spacing w:after="0"/>
      </w:pPr>
      <w:r>
        <w:separator/>
      </w:r>
    </w:p>
  </w:footnote>
  <w:footnote w:type="continuationSeparator" w:id="0">
    <w:p w14:paraId="15682579" w14:textId="77777777" w:rsidR="00AC6A68" w:rsidRDefault="00AC6A6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6" w14:textId="77777777" w:rsidR="00DF7075" w:rsidRDefault="00DF7075">
    <w:pPr>
      <w:jc w:val="right"/>
      <w:rPr>
        <w:sz w:val="20"/>
        <w:szCs w:val="20"/>
      </w:rPr>
    </w:pPr>
  </w:p>
  <w:p w14:paraId="000002F7" w14:textId="77777777" w:rsidR="00DF7075" w:rsidRDefault="00DF707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3DD"/>
    <w:rsid w:val="00036D14"/>
    <w:rsid w:val="00067464"/>
    <w:rsid w:val="000B47DE"/>
    <w:rsid w:val="000F1580"/>
    <w:rsid w:val="00106216"/>
    <w:rsid w:val="00175B36"/>
    <w:rsid w:val="00183C30"/>
    <w:rsid w:val="00184CB4"/>
    <w:rsid w:val="001A1B33"/>
    <w:rsid w:val="002115EB"/>
    <w:rsid w:val="00214911"/>
    <w:rsid w:val="00227F78"/>
    <w:rsid w:val="002363D7"/>
    <w:rsid w:val="00243C56"/>
    <w:rsid w:val="00252DCE"/>
    <w:rsid w:val="00264162"/>
    <w:rsid w:val="002C007B"/>
    <w:rsid w:val="002F3A49"/>
    <w:rsid w:val="002F3FE1"/>
    <w:rsid w:val="002F5852"/>
    <w:rsid w:val="00313987"/>
    <w:rsid w:val="00322FE2"/>
    <w:rsid w:val="0034087B"/>
    <w:rsid w:val="00357859"/>
    <w:rsid w:val="00377B69"/>
    <w:rsid w:val="003B723B"/>
    <w:rsid w:val="003D6C1B"/>
    <w:rsid w:val="003E095A"/>
    <w:rsid w:val="003F62F1"/>
    <w:rsid w:val="00451F62"/>
    <w:rsid w:val="00464535"/>
    <w:rsid w:val="0046557A"/>
    <w:rsid w:val="004A558D"/>
    <w:rsid w:val="004A7ABC"/>
    <w:rsid w:val="004B7C1F"/>
    <w:rsid w:val="005104A6"/>
    <w:rsid w:val="00543F29"/>
    <w:rsid w:val="005A0906"/>
    <w:rsid w:val="005A0B32"/>
    <w:rsid w:val="005C7293"/>
    <w:rsid w:val="005E2CBB"/>
    <w:rsid w:val="006A22B5"/>
    <w:rsid w:val="006C51E4"/>
    <w:rsid w:val="006E3BBD"/>
    <w:rsid w:val="006E58CF"/>
    <w:rsid w:val="0074583A"/>
    <w:rsid w:val="00785706"/>
    <w:rsid w:val="0079339A"/>
    <w:rsid w:val="00797456"/>
    <w:rsid w:val="007C6354"/>
    <w:rsid w:val="007C6B99"/>
    <w:rsid w:val="007D62F6"/>
    <w:rsid w:val="007E0FF4"/>
    <w:rsid w:val="007E1C32"/>
    <w:rsid w:val="00802F76"/>
    <w:rsid w:val="00812D86"/>
    <w:rsid w:val="0081335C"/>
    <w:rsid w:val="0083403D"/>
    <w:rsid w:val="00845A3D"/>
    <w:rsid w:val="00864507"/>
    <w:rsid w:val="00874F1E"/>
    <w:rsid w:val="008B6ECA"/>
    <w:rsid w:val="008B7966"/>
    <w:rsid w:val="008C16BC"/>
    <w:rsid w:val="008D789A"/>
    <w:rsid w:val="009207E2"/>
    <w:rsid w:val="00934E77"/>
    <w:rsid w:val="00962880"/>
    <w:rsid w:val="009639A9"/>
    <w:rsid w:val="00972727"/>
    <w:rsid w:val="009A1A97"/>
    <w:rsid w:val="009D54D2"/>
    <w:rsid w:val="009E2049"/>
    <w:rsid w:val="009F252A"/>
    <w:rsid w:val="00A14635"/>
    <w:rsid w:val="00A17299"/>
    <w:rsid w:val="00A42A07"/>
    <w:rsid w:val="00A50CB3"/>
    <w:rsid w:val="00A80760"/>
    <w:rsid w:val="00A93FE6"/>
    <w:rsid w:val="00A94022"/>
    <w:rsid w:val="00A96678"/>
    <w:rsid w:val="00AB0ED5"/>
    <w:rsid w:val="00AB4B93"/>
    <w:rsid w:val="00AB64B4"/>
    <w:rsid w:val="00AC3182"/>
    <w:rsid w:val="00AC6A68"/>
    <w:rsid w:val="00AD24DF"/>
    <w:rsid w:val="00AF7473"/>
    <w:rsid w:val="00B06277"/>
    <w:rsid w:val="00B133DD"/>
    <w:rsid w:val="00B175C7"/>
    <w:rsid w:val="00B45C95"/>
    <w:rsid w:val="00B548BD"/>
    <w:rsid w:val="00BB0F2C"/>
    <w:rsid w:val="00BC298C"/>
    <w:rsid w:val="00BD0C4A"/>
    <w:rsid w:val="00BD1717"/>
    <w:rsid w:val="00BD6BB8"/>
    <w:rsid w:val="00BF094D"/>
    <w:rsid w:val="00C27F32"/>
    <w:rsid w:val="00C44C07"/>
    <w:rsid w:val="00CA569A"/>
    <w:rsid w:val="00CB15D6"/>
    <w:rsid w:val="00CC54E3"/>
    <w:rsid w:val="00CF19A1"/>
    <w:rsid w:val="00CF5DCE"/>
    <w:rsid w:val="00CF609E"/>
    <w:rsid w:val="00D1078E"/>
    <w:rsid w:val="00D24EDC"/>
    <w:rsid w:val="00D309C5"/>
    <w:rsid w:val="00D360A8"/>
    <w:rsid w:val="00D7472F"/>
    <w:rsid w:val="00D85F41"/>
    <w:rsid w:val="00DA67AE"/>
    <w:rsid w:val="00DB1726"/>
    <w:rsid w:val="00DF7075"/>
    <w:rsid w:val="00E02C0A"/>
    <w:rsid w:val="00E055FE"/>
    <w:rsid w:val="00E404EF"/>
    <w:rsid w:val="00E50E51"/>
    <w:rsid w:val="00E82308"/>
    <w:rsid w:val="00E82E5E"/>
    <w:rsid w:val="00EB4D4B"/>
    <w:rsid w:val="00EB61E2"/>
    <w:rsid w:val="00ED6B4A"/>
    <w:rsid w:val="00EE17F8"/>
    <w:rsid w:val="00EE2F7D"/>
    <w:rsid w:val="00EF7EBE"/>
    <w:rsid w:val="00F14BF8"/>
    <w:rsid w:val="00F22B16"/>
    <w:rsid w:val="00F2560C"/>
    <w:rsid w:val="00F379EE"/>
    <w:rsid w:val="00F40A3A"/>
    <w:rsid w:val="00FA5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E2ACD"/>
  <w15:docId w15:val="{411FB47A-B9FB-45DB-A98D-B2E6A9FD0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www.share-project.or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hyperlink" Target="http://www.share-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anessa.DiLego@oeaw.ac.a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2aging.org/" TargetMode="External"/><Relationship Id="rId10" Type="http://schemas.openxmlformats.org/officeDocument/2006/relationships/image" Target="media/image1.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2agi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EB8088-7D4E-402A-970B-B75DD3729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5919</Words>
  <Characters>33742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39582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Shuler, Megan</dc:creator>
  <cp:lastModifiedBy>Di Lego Goncalves, Vanessa</cp:lastModifiedBy>
  <cp:revision>127</cp:revision>
  <dcterms:created xsi:type="dcterms:W3CDTF">2023-03-29T07:05:00Z</dcterms:created>
  <dcterms:modified xsi:type="dcterms:W3CDTF">2023-04-05T11:54:00Z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