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376E" w:rsidRDefault="008B376E">
      <w:pPr>
        <w:widowControl w:val="0"/>
        <w:pBdr>
          <w:top w:val="nil"/>
          <w:left w:val="nil"/>
          <w:bottom w:val="nil"/>
          <w:right w:val="nil"/>
          <w:between w:val="nil"/>
        </w:pBdr>
        <w:spacing w:line="276" w:lineRule="auto"/>
        <w:rPr>
          <w:sz w:val="36"/>
          <w:szCs w:val="36"/>
        </w:rPr>
        <w:sectPr w:rsidR="008B376E">
          <w:headerReference w:type="default" r:id="rId7"/>
          <w:footerReference w:type="default" r:id="rId8"/>
          <w:pgSz w:w="12240" w:h="15840"/>
          <w:pgMar w:top="1440" w:right="1800" w:bottom="1440" w:left="1800" w:header="720" w:footer="720" w:gutter="0"/>
          <w:pgNumType w:start="1"/>
          <w:cols w:space="720"/>
        </w:sectPr>
      </w:pPr>
    </w:p>
    <w:p w14:paraId="00000002" w14:textId="77777777" w:rsidR="008B376E" w:rsidRDefault="00000000">
      <w:pPr>
        <w:rPr>
          <w:sz w:val="36"/>
          <w:szCs w:val="36"/>
        </w:rPr>
      </w:pPr>
      <w:r>
        <w:rPr>
          <w:rFonts w:ascii="Arial" w:eastAsia="Arial" w:hAnsi="Arial" w:cs="Arial"/>
          <w:noProof/>
          <w:sz w:val="20"/>
          <w:szCs w:val="20"/>
        </w:rPr>
        <w:drawing>
          <wp:inline distT="0" distB="0" distL="0" distR="0" wp14:anchorId="1A93358E" wp14:editId="1C7A35D8">
            <wp:extent cx="1229120" cy="4327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29120" cy="432789"/>
                    </a:xfrm>
                    <a:prstGeom prst="rect">
                      <a:avLst/>
                    </a:prstGeom>
                    <a:ln/>
                  </pic:spPr>
                </pic:pic>
              </a:graphicData>
            </a:graphic>
          </wp:inline>
        </w:drawing>
      </w:r>
    </w:p>
    <w:p w14:paraId="00000003" w14:textId="77777777" w:rsidR="008B376E" w:rsidRDefault="008B376E">
      <w:pPr>
        <w:jc w:val="center"/>
        <w:rPr>
          <w:sz w:val="36"/>
          <w:szCs w:val="36"/>
        </w:rPr>
      </w:pPr>
    </w:p>
    <w:p w14:paraId="00000004" w14:textId="77777777" w:rsidR="008B376E" w:rsidRDefault="00000000">
      <w:pPr>
        <w:rPr>
          <w:rFonts w:ascii="Arial" w:eastAsia="Arial" w:hAnsi="Arial" w:cs="Arial"/>
          <w:b/>
          <w:sz w:val="28"/>
          <w:szCs w:val="28"/>
        </w:rPr>
      </w:pPr>
      <w:r>
        <w:rPr>
          <w:rFonts w:ascii="Arial" w:eastAsia="Arial" w:hAnsi="Arial" w:cs="Arial"/>
          <w:b/>
          <w:sz w:val="28"/>
          <w:szCs w:val="28"/>
        </w:rPr>
        <w:t>Main Manuscript for</w:t>
      </w:r>
    </w:p>
    <w:p w14:paraId="00000005" w14:textId="77777777" w:rsidR="008B376E" w:rsidRDefault="00000000">
      <w:pPr>
        <w:rPr>
          <w:rFonts w:ascii="Arial" w:eastAsia="Arial" w:hAnsi="Arial" w:cs="Arial"/>
          <w:sz w:val="28"/>
          <w:szCs w:val="28"/>
        </w:rPr>
      </w:pPr>
      <w:r>
        <w:rPr>
          <w:rFonts w:ascii="Arial" w:eastAsia="Arial" w:hAnsi="Arial" w:cs="Arial"/>
          <w:sz w:val="28"/>
          <w:szCs w:val="28"/>
        </w:rPr>
        <w:t>Going beyond the gender gap in health and mortality</w:t>
      </w:r>
    </w:p>
    <w:p w14:paraId="00000006"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lang w:val="pt-BR"/>
        </w:rPr>
        <w:t>Vanessa di Lego</w:t>
      </w:r>
      <w:r w:rsidRPr="00467C07">
        <w:rPr>
          <w:rFonts w:ascii="Arial" w:eastAsia="Arial" w:hAnsi="Arial" w:cs="Arial"/>
          <w:sz w:val="20"/>
          <w:szCs w:val="20"/>
          <w:vertAlign w:val="superscript"/>
          <w:lang w:val="pt-BR"/>
        </w:rPr>
        <w:t>1</w:t>
      </w:r>
      <w:r w:rsidRPr="00467C07">
        <w:rPr>
          <w:rFonts w:ascii="Arial" w:eastAsia="Arial" w:hAnsi="Arial" w:cs="Arial"/>
          <w:sz w:val="20"/>
          <w:szCs w:val="20"/>
          <w:lang w:val="pt-BR"/>
        </w:rPr>
        <w:t>*, Marília R. Nepomuceno</w:t>
      </w:r>
      <w:r w:rsidRPr="00467C07">
        <w:rPr>
          <w:rFonts w:ascii="Arial" w:eastAsia="Arial" w:hAnsi="Arial" w:cs="Arial"/>
          <w:sz w:val="20"/>
          <w:szCs w:val="20"/>
          <w:vertAlign w:val="superscript"/>
          <w:lang w:val="pt-BR"/>
        </w:rPr>
        <w:t>2</w:t>
      </w:r>
      <w:r w:rsidRPr="00467C07">
        <w:rPr>
          <w:rFonts w:ascii="Arial" w:eastAsia="Arial" w:hAnsi="Arial" w:cs="Arial"/>
          <w:sz w:val="20"/>
          <w:szCs w:val="20"/>
          <w:lang w:val="pt-BR"/>
        </w:rPr>
        <w:t xml:space="preserve">, Cássio M. Turra </w:t>
      </w:r>
      <w:r w:rsidRPr="00467C07">
        <w:rPr>
          <w:rFonts w:ascii="Arial" w:eastAsia="Arial" w:hAnsi="Arial" w:cs="Arial"/>
          <w:sz w:val="20"/>
          <w:szCs w:val="20"/>
          <w:vertAlign w:val="superscript"/>
          <w:lang w:val="pt-BR"/>
        </w:rPr>
        <w:t>3</w:t>
      </w:r>
    </w:p>
    <w:p w14:paraId="00000007" w14:textId="77777777" w:rsidR="008B376E" w:rsidRDefault="00000000">
      <w:pPr>
        <w:rPr>
          <w:rFonts w:ascii="Arial" w:eastAsia="Arial" w:hAnsi="Arial" w:cs="Arial"/>
          <w:sz w:val="20"/>
          <w:szCs w:val="20"/>
        </w:rPr>
      </w:pPr>
      <w:r>
        <w:rPr>
          <w:rFonts w:ascii="Arial" w:eastAsia="Arial" w:hAnsi="Arial" w:cs="Arial"/>
          <w:sz w:val="20"/>
          <w:szCs w:val="20"/>
          <w:vertAlign w:val="superscript"/>
        </w:rPr>
        <w:t>1</w:t>
      </w:r>
      <w:r>
        <w:rPr>
          <w:rFonts w:ascii="Arial" w:eastAsia="Arial" w:hAnsi="Arial" w:cs="Arial"/>
          <w:sz w:val="20"/>
          <w:szCs w:val="20"/>
        </w:rPr>
        <w:t xml:space="preserve"> 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 Vienna Institute of Demography at the Austrian Academy of Sciences</w:t>
      </w:r>
    </w:p>
    <w:p w14:paraId="00000008" w14:textId="77777777" w:rsidR="008B376E" w:rsidRDefault="00000000">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vertAlign w:val="superscript"/>
          <w:lang w:val="pt-BR"/>
        </w:rPr>
        <w:t xml:space="preserve">3 </w:t>
      </w:r>
      <w:r w:rsidRPr="00467C07">
        <w:rPr>
          <w:rFonts w:ascii="Arial" w:eastAsia="Arial" w:hAnsi="Arial" w:cs="Arial"/>
          <w:sz w:val="20"/>
          <w:szCs w:val="20"/>
          <w:lang w:val="pt-BR"/>
        </w:rPr>
        <w:t xml:space="preserve">Universidade Federal de Minas Gerais, </w:t>
      </w:r>
      <w:proofErr w:type="spellStart"/>
      <w:r w:rsidRPr="00467C07">
        <w:rPr>
          <w:rFonts w:ascii="Arial" w:eastAsia="Arial" w:hAnsi="Arial" w:cs="Arial"/>
          <w:sz w:val="20"/>
          <w:szCs w:val="20"/>
          <w:lang w:val="pt-BR"/>
        </w:rPr>
        <w:t>Cedeplar</w:t>
      </w:r>
      <w:proofErr w:type="spellEnd"/>
      <w:r w:rsidRPr="00467C07">
        <w:rPr>
          <w:rFonts w:ascii="Arial" w:eastAsia="Arial" w:hAnsi="Arial" w:cs="Arial"/>
          <w:sz w:val="20"/>
          <w:szCs w:val="20"/>
          <w:lang w:val="pt-BR"/>
        </w:rPr>
        <w:t xml:space="preserve">, </w:t>
      </w:r>
      <w:proofErr w:type="spellStart"/>
      <w:r w:rsidRPr="00467C07">
        <w:rPr>
          <w:rFonts w:ascii="Arial" w:eastAsia="Arial" w:hAnsi="Arial" w:cs="Arial"/>
          <w:sz w:val="20"/>
          <w:szCs w:val="20"/>
          <w:lang w:val="pt-BR"/>
        </w:rPr>
        <w:t>Brazil</w:t>
      </w:r>
      <w:proofErr w:type="spellEnd"/>
      <w:r w:rsidRPr="00467C07">
        <w:rPr>
          <w:rFonts w:ascii="Arial" w:eastAsia="Arial" w:hAnsi="Arial" w:cs="Arial"/>
          <w:sz w:val="20"/>
          <w:szCs w:val="20"/>
          <w:lang w:val="pt-BR"/>
        </w:rPr>
        <w:t>.</w:t>
      </w:r>
    </w:p>
    <w:p w14:paraId="0000000A"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lang w:val="pt-BR"/>
        </w:rPr>
        <w:t>*Vanessa di Lego</w:t>
      </w:r>
    </w:p>
    <w:p w14:paraId="0000000B" w14:textId="77777777" w:rsidR="008B376E" w:rsidRPr="00467C07" w:rsidRDefault="00000000">
      <w:pPr>
        <w:rPr>
          <w:rFonts w:ascii="Arial" w:eastAsia="Arial" w:hAnsi="Arial" w:cs="Arial"/>
          <w:sz w:val="20"/>
          <w:szCs w:val="20"/>
          <w:lang w:val="pt-BR"/>
        </w:rPr>
      </w:pPr>
      <w:r w:rsidRPr="00467C07">
        <w:rPr>
          <w:rFonts w:ascii="Arial" w:eastAsia="Arial" w:hAnsi="Arial" w:cs="Arial"/>
          <w:b/>
          <w:sz w:val="20"/>
          <w:szCs w:val="20"/>
          <w:lang w:val="pt-BR"/>
        </w:rPr>
        <w:t xml:space="preserve">Email: </w:t>
      </w:r>
      <w:r w:rsidRPr="00467C07">
        <w:rPr>
          <w:rFonts w:ascii="Arial" w:eastAsia="Arial" w:hAnsi="Arial" w:cs="Arial"/>
          <w:sz w:val="20"/>
          <w:szCs w:val="20"/>
          <w:lang w:val="pt-BR"/>
        </w:rPr>
        <w:t xml:space="preserve"> </w:t>
      </w:r>
      <w:hyperlink r:id="rId10">
        <w:r w:rsidRPr="00467C07">
          <w:rPr>
            <w:rFonts w:ascii="Arial" w:eastAsia="Arial" w:hAnsi="Arial" w:cs="Arial"/>
            <w:color w:val="0000FF"/>
            <w:sz w:val="20"/>
            <w:szCs w:val="20"/>
            <w:u w:val="single"/>
            <w:lang w:val="pt-BR"/>
          </w:rPr>
          <w:t>Vanessa.DiLego@oeaw.ac.at</w:t>
        </w:r>
      </w:hyperlink>
    </w:p>
    <w:p w14:paraId="0000000C" w14:textId="77777777" w:rsidR="008B376E" w:rsidRDefault="00000000">
      <w:pPr>
        <w:rPr>
          <w:rFonts w:ascii="Arial" w:eastAsia="Arial" w:hAnsi="Arial" w:cs="Arial"/>
          <w:sz w:val="20"/>
          <w:szCs w:val="20"/>
        </w:rPr>
      </w:pPr>
      <w:r>
        <w:rPr>
          <w:rFonts w:ascii="Arial" w:eastAsia="Arial" w:hAnsi="Arial" w:cs="Arial"/>
          <w:b/>
          <w:sz w:val="20"/>
          <w:szCs w:val="20"/>
        </w:rPr>
        <w:t xml:space="preserve">Author Contributions: </w:t>
      </w:r>
      <w:r>
        <w:rPr>
          <w:rFonts w:ascii="Arial" w:eastAsia="Arial" w:hAnsi="Arial" w:cs="Arial"/>
          <w:sz w:val="20"/>
          <w:szCs w:val="20"/>
        </w:rPr>
        <w:t>Paste the author contributions here.</w:t>
      </w:r>
    </w:p>
    <w:p w14:paraId="0000000D" w14:textId="77777777" w:rsidR="008B376E" w:rsidRDefault="00000000">
      <w:pPr>
        <w:rPr>
          <w:rFonts w:ascii="Arial" w:eastAsia="Arial" w:hAnsi="Arial" w:cs="Arial"/>
          <w:sz w:val="20"/>
          <w:szCs w:val="20"/>
        </w:rPr>
      </w:pPr>
      <w:r>
        <w:rPr>
          <w:rFonts w:ascii="Arial" w:eastAsia="Arial" w:hAnsi="Arial" w:cs="Arial"/>
          <w:b/>
          <w:sz w:val="20"/>
          <w:szCs w:val="20"/>
        </w:rPr>
        <w:t xml:space="preserve">Competing Interest Statement: </w:t>
      </w:r>
      <w:r>
        <w:rPr>
          <w:rFonts w:ascii="Arial" w:eastAsia="Arial" w:hAnsi="Arial" w:cs="Arial"/>
          <w:sz w:val="20"/>
          <w:szCs w:val="20"/>
        </w:rPr>
        <w:t xml:space="preserve">The authors have no competing interest to declare. </w:t>
      </w:r>
    </w:p>
    <w:p w14:paraId="0000000E" w14:textId="77777777" w:rsidR="008B376E" w:rsidRDefault="00000000">
      <w:pPr>
        <w:rPr>
          <w:rFonts w:ascii="Arial" w:eastAsia="Arial" w:hAnsi="Arial" w:cs="Arial"/>
          <w:sz w:val="20"/>
          <w:szCs w:val="20"/>
        </w:rPr>
      </w:pPr>
      <w:r>
        <w:rPr>
          <w:rFonts w:ascii="Arial" w:eastAsia="Arial" w:hAnsi="Arial" w:cs="Arial"/>
          <w:b/>
          <w:sz w:val="20"/>
          <w:szCs w:val="20"/>
        </w:rPr>
        <w:t xml:space="preserve">Classification: </w:t>
      </w:r>
      <w:r>
        <w:rPr>
          <w:rFonts w:ascii="Arial" w:eastAsia="Arial" w:hAnsi="Arial" w:cs="Arial"/>
          <w:sz w:val="20"/>
          <w:szCs w:val="20"/>
        </w:rPr>
        <w:t>Social Sciences. Social Sciences.</w:t>
      </w:r>
    </w:p>
    <w:p w14:paraId="0000000F" w14:textId="77777777" w:rsidR="008B376E" w:rsidRDefault="00000000">
      <w:pPr>
        <w:rPr>
          <w:rFonts w:ascii="Arial" w:eastAsia="Arial" w:hAnsi="Arial" w:cs="Arial"/>
          <w:sz w:val="20"/>
          <w:szCs w:val="20"/>
        </w:rPr>
      </w:pPr>
      <w:r>
        <w:rPr>
          <w:rFonts w:ascii="Arial" w:eastAsia="Arial" w:hAnsi="Arial" w:cs="Arial"/>
          <w:b/>
          <w:sz w:val="20"/>
          <w:szCs w:val="20"/>
        </w:rPr>
        <w:t xml:space="preserve">Keywords: </w:t>
      </w:r>
      <w:r>
        <w:rPr>
          <w:rFonts w:ascii="Arial" w:eastAsia="Arial" w:hAnsi="Arial" w:cs="Arial"/>
          <w:sz w:val="20"/>
          <w:szCs w:val="20"/>
        </w:rPr>
        <w:t>Paste the keywords here. There should be at least three and no more than five.</w:t>
      </w:r>
    </w:p>
    <w:p w14:paraId="00000010" w14:textId="77777777" w:rsidR="008B376E" w:rsidRDefault="008B376E">
      <w:pPr>
        <w:rPr>
          <w:rFonts w:ascii="Arial" w:eastAsia="Arial" w:hAnsi="Arial" w:cs="Arial"/>
          <w:b/>
          <w:sz w:val="20"/>
          <w:szCs w:val="20"/>
        </w:rPr>
      </w:pPr>
    </w:p>
    <w:p w14:paraId="00000011" w14:textId="77777777" w:rsidR="008B376E" w:rsidRDefault="00000000">
      <w:pPr>
        <w:rPr>
          <w:rFonts w:ascii="Arial" w:eastAsia="Arial" w:hAnsi="Arial" w:cs="Arial"/>
          <w:b/>
          <w:sz w:val="20"/>
          <w:szCs w:val="20"/>
        </w:rPr>
      </w:pPr>
      <w:r>
        <w:rPr>
          <w:rFonts w:ascii="Arial" w:eastAsia="Arial" w:hAnsi="Arial" w:cs="Arial"/>
          <w:b/>
          <w:sz w:val="20"/>
          <w:szCs w:val="20"/>
        </w:rPr>
        <w:t>This PDF file includes:</w:t>
      </w:r>
    </w:p>
    <w:p w14:paraId="00000012"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Main Text</w:t>
      </w:r>
    </w:p>
    <w:p w14:paraId="00000013"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Figures 1 to 4</w:t>
      </w:r>
    </w:p>
    <w:p w14:paraId="00000014"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 xml:space="preserve">Tables 1 to </w:t>
      </w:r>
      <w:bookmarkStart w:id="0" w:name="bookmark=id.30j0zll" w:colFirst="0" w:colLast="0"/>
      <w:bookmarkStart w:id="1" w:name="bookmark=id.gjdgxs" w:colFirst="0" w:colLast="0"/>
      <w:bookmarkEnd w:id="0"/>
      <w:bookmarkEnd w:id="1"/>
    </w:p>
    <w:p w14:paraId="00000015" w14:textId="77777777" w:rsidR="008B376E" w:rsidRDefault="008B376E">
      <w:pPr>
        <w:spacing w:after="0"/>
        <w:ind w:left="720"/>
        <w:rPr>
          <w:rFonts w:ascii="Arial" w:eastAsia="Arial" w:hAnsi="Arial" w:cs="Arial"/>
          <w:sz w:val="20"/>
          <w:szCs w:val="20"/>
        </w:rPr>
      </w:pPr>
    </w:p>
    <w:p w14:paraId="00000016" w14:textId="77777777" w:rsidR="008B376E" w:rsidRDefault="008B376E">
      <w:pPr>
        <w:spacing w:after="0"/>
        <w:ind w:left="720"/>
        <w:rPr>
          <w:rFonts w:ascii="Arial" w:eastAsia="Arial" w:hAnsi="Arial" w:cs="Arial"/>
          <w:sz w:val="20"/>
          <w:szCs w:val="20"/>
        </w:rPr>
      </w:pPr>
    </w:p>
    <w:p w14:paraId="00000017" w14:textId="77777777" w:rsidR="008B376E" w:rsidRDefault="008B376E">
      <w:pPr>
        <w:spacing w:after="0"/>
        <w:ind w:left="720"/>
        <w:rPr>
          <w:rFonts w:ascii="Arial" w:eastAsia="Arial" w:hAnsi="Arial" w:cs="Arial"/>
          <w:sz w:val="20"/>
          <w:szCs w:val="20"/>
        </w:rPr>
      </w:pPr>
    </w:p>
    <w:p w14:paraId="00000018" w14:textId="77777777" w:rsidR="008B376E" w:rsidRDefault="008B376E">
      <w:pPr>
        <w:spacing w:after="0"/>
        <w:ind w:left="720"/>
        <w:rPr>
          <w:rFonts w:ascii="Arial" w:eastAsia="Arial" w:hAnsi="Arial" w:cs="Arial"/>
          <w:sz w:val="20"/>
          <w:szCs w:val="20"/>
        </w:rPr>
      </w:pPr>
    </w:p>
    <w:p w14:paraId="00000019" w14:textId="77777777" w:rsidR="008B376E" w:rsidRDefault="008B376E">
      <w:pPr>
        <w:spacing w:after="0"/>
        <w:rPr>
          <w:rFonts w:ascii="Arial" w:eastAsia="Arial" w:hAnsi="Arial" w:cs="Arial"/>
          <w:sz w:val="20"/>
          <w:szCs w:val="20"/>
        </w:rPr>
      </w:pPr>
    </w:p>
    <w:p w14:paraId="0000001A" w14:textId="77777777" w:rsidR="008B376E" w:rsidRDefault="008B376E">
      <w:pPr>
        <w:spacing w:after="0"/>
        <w:rPr>
          <w:rFonts w:ascii="Arial" w:eastAsia="Arial" w:hAnsi="Arial" w:cs="Arial"/>
          <w:sz w:val="20"/>
          <w:szCs w:val="20"/>
        </w:rPr>
      </w:pPr>
    </w:p>
    <w:p w14:paraId="0000001B" w14:textId="77777777" w:rsidR="008B376E" w:rsidRDefault="008B376E">
      <w:pPr>
        <w:spacing w:after="0"/>
        <w:rPr>
          <w:rFonts w:ascii="Arial" w:eastAsia="Arial" w:hAnsi="Arial" w:cs="Arial"/>
          <w:sz w:val="20"/>
          <w:szCs w:val="20"/>
        </w:rPr>
      </w:pPr>
    </w:p>
    <w:p w14:paraId="0000001C" w14:textId="77777777" w:rsidR="008B376E" w:rsidRDefault="008B376E">
      <w:pPr>
        <w:spacing w:after="0"/>
        <w:rPr>
          <w:rFonts w:ascii="Arial" w:eastAsia="Arial" w:hAnsi="Arial" w:cs="Arial"/>
          <w:sz w:val="20"/>
          <w:szCs w:val="20"/>
        </w:rPr>
      </w:pPr>
    </w:p>
    <w:p w14:paraId="0000001D" w14:textId="77777777" w:rsidR="008B376E" w:rsidRDefault="008B376E">
      <w:pPr>
        <w:spacing w:after="0"/>
        <w:rPr>
          <w:rFonts w:ascii="Arial" w:eastAsia="Arial" w:hAnsi="Arial" w:cs="Arial"/>
          <w:sz w:val="20"/>
          <w:szCs w:val="20"/>
        </w:rPr>
      </w:pPr>
    </w:p>
    <w:p w14:paraId="0000001E" w14:textId="77777777" w:rsidR="008B376E" w:rsidRDefault="008B376E">
      <w:pPr>
        <w:spacing w:after="0"/>
        <w:rPr>
          <w:rFonts w:ascii="Arial" w:eastAsia="Arial" w:hAnsi="Arial" w:cs="Arial"/>
          <w:sz w:val="20"/>
          <w:szCs w:val="20"/>
        </w:rPr>
      </w:pPr>
    </w:p>
    <w:p w14:paraId="0000001F" w14:textId="77777777" w:rsidR="008B376E" w:rsidRDefault="008B376E">
      <w:pPr>
        <w:spacing w:after="0"/>
        <w:rPr>
          <w:rFonts w:ascii="Arial" w:eastAsia="Arial" w:hAnsi="Arial" w:cs="Arial"/>
          <w:sz w:val="20"/>
          <w:szCs w:val="20"/>
        </w:rPr>
      </w:pPr>
    </w:p>
    <w:p w14:paraId="00000020" w14:textId="77777777" w:rsidR="008B376E" w:rsidRDefault="008B376E">
      <w:pPr>
        <w:spacing w:after="0"/>
        <w:ind w:left="720"/>
        <w:rPr>
          <w:rFonts w:ascii="Arial" w:eastAsia="Arial" w:hAnsi="Arial" w:cs="Arial"/>
          <w:sz w:val="20"/>
          <w:szCs w:val="20"/>
        </w:rPr>
      </w:pPr>
    </w:p>
    <w:p w14:paraId="00000021" w14:textId="77777777" w:rsidR="008B376E" w:rsidRDefault="008B376E">
      <w:pPr>
        <w:spacing w:after="0"/>
        <w:ind w:left="720"/>
        <w:rPr>
          <w:rFonts w:ascii="Arial" w:eastAsia="Arial" w:hAnsi="Arial" w:cs="Arial"/>
          <w:sz w:val="20"/>
          <w:szCs w:val="20"/>
        </w:rPr>
      </w:pPr>
    </w:p>
    <w:p w14:paraId="00000022" w14:textId="77777777" w:rsidR="008B376E" w:rsidRDefault="00000000">
      <w:pPr>
        <w:spacing w:after="40"/>
        <w:ind w:left="720"/>
        <w:rPr>
          <w:rFonts w:ascii="Arial" w:eastAsia="Arial" w:hAnsi="Arial" w:cs="Arial"/>
          <w:sz w:val="20"/>
          <w:szCs w:val="20"/>
        </w:rPr>
      </w:pPr>
      <w:r>
        <w:rPr>
          <w:rFonts w:ascii="Arial" w:eastAsia="Arial" w:hAnsi="Arial" w:cs="Arial"/>
          <w:b/>
          <w:color w:val="000000"/>
          <w:sz w:val="24"/>
          <w:szCs w:val="24"/>
        </w:rPr>
        <w:lastRenderedPageBreak/>
        <w:t>Abstract</w:t>
      </w:r>
    </w:p>
    <w:p w14:paraId="00000023" w14:textId="77777777" w:rsidR="008B376E" w:rsidRDefault="00000000">
      <w:pPr>
        <w:keepNext/>
        <w:pBdr>
          <w:top w:val="nil"/>
          <w:left w:val="nil"/>
          <w:bottom w:val="nil"/>
          <w:right w:val="nil"/>
          <w:between w:val="nil"/>
        </w:pBdr>
        <w:spacing w:before="40" w:after="60"/>
        <w:rPr>
          <w:rFonts w:ascii="Arial" w:eastAsia="Arial" w:hAnsi="Arial" w:cs="Arial"/>
          <w:color w:val="000000"/>
          <w:sz w:val="24"/>
          <w:szCs w:val="24"/>
        </w:rPr>
      </w:pPr>
      <w:r>
        <w:rPr>
          <w:rFonts w:ascii="Arial" w:eastAsia="Arial" w:hAnsi="Arial" w:cs="Arial"/>
          <w:color w:val="000000"/>
          <w:sz w:val="24"/>
          <w:szCs w:val="24"/>
        </w:rPr>
        <w:t>Paste your abstract here. Please note it may not exceed 250 words. It may include up to three cited (non-numerical) references.</w:t>
      </w:r>
    </w:p>
    <w:p w14:paraId="00000024" w14:textId="77777777" w:rsidR="008B376E" w:rsidRDefault="00000000">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Significance Statement</w:t>
      </w:r>
    </w:p>
    <w:p w14:paraId="00000025" w14:textId="77777777" w:rsidR="008B376E" w:rsidRDefault="00000000">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Paste your significance statement here. Please note that it should not exceed 120 words, but should be at least 50 words in length. It should not include any references.</w:t>
      </w:r>
    </w:p>
    <w:p w14:paraId="00000026" w14:textId="77777777" w:rsidR="008B376E" w:rsidRDefault="008B376E">
      <w:pPr>
        <w:keepNext/>
        <w:pBdr>
          <w:top w:val="nil"/>
          <w:left w:val="nil"/>
          <w:bottom w:val="nil"/>
          <w:right w:val="nil"/>
          <w:between w:val="nil"/>
        </w:pBdr>
        <w:spacing w:before="60" w:after="0"/>
        <w:rPr>
          <w:rFonts w:ascii="Arial" w:eastAsia="Arial" w:hAnsi="Arial" w:cs="Arial"/>
          <w:color w:val="000000"/>
          <w:sz w:val="24"/>
          <w:szCs w:val="24"/>
        </w:rPr>
      </w:pPr>
    </w:p>
    <w:p w14:paraId="00000027" w14:textId="77777777" w:rsidR="008B376E" w:rsidRDefault="00000000">
      <w:r>
        <w:rPr>
          <w:highlight w:val="yellow"/>
        </w:rPr>
        <w:t>4,000 words, 50 references, and 4 medium-size graphical elements</w:t>
      </w:r>
    </w:p>
    <w:p w14:paraId="00000028" w14:textId="77777777" w:rsidR="008B376E" w:rsidRDefault="008B376E">
      <w:pPr>
        <w:keepNext/>
        <w:pBdr>
          <w:top w:val="nil"/>
          <w:left w:val="nil"/>
          <w:bottom w:val="nil"/>
          <w:right w:val="nil"/>
          <w:between w:val="nil"/>
        </w:pBdr>
        <w:spacing w:before="200" w:after="0"/>
        <w:rPr>
          <w:rFonts w:ascii="Arial" w:eastAsia="Arial" w:hAnsi="Arial" w:cs="Arial"/>
          <w:color w:val="000000"/>
          <w:sz w:val="24"/>
          <w:szCs w:val="24"/>
        </w:rPr>
      </w:pPr>
    </w:p>
    <w:p w14:paraId="00000029"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A"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B"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C"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D"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Main Text</w:t>
      </w:r>
    </w:p>
    <w:p w14:paraId="0000002E"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2F"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Introduction</w:t>
      </w:r>
    </w:p>
    <w:p w14:paraId="00000030"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31" w14:textId="781A7B51"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Gender gap indices in health and mortality are routinely used as indicators of inequality. </w:t>
      </w:r>
      <w:r w:rsidR="002D5090">
        <w:rPr>
          <w:rFonts w:ascii="Arial" w:eastAsia="Arial" w:hAnsi="Arial" w:cs="Arial"/>
          <w:color w:val="000000"/>
          <w:sz w:val="24"/>
          <w:szCs w:val="24"/>
        </w:rPr>
        <w:t xml:space="preserve">Gaps are used by policy makers </w:t>
      </w:r>
      <w:r>
        <w:rPr>
          <w:rFonts w:ascii="Arial" w:eastAsia="Arial" w:hAnsi="Arial" w:cs="Arial"/>
          <w:color w:val="000000"/>
          <w:sz w:val="24"/>
          <w:szCs w:val="24"/>
        </w:rPr>
        <w:t xml:space="preserve">to benchmark countries, monitor changes over time, and identify the pace at which countries are closing </w:t>
      </w:r>
      <w:r w:rsidR="002D5090">
        <w:rPr>
          <w:rFonts w:ascii="Arial" w:eastAsia="Arial" w:hAnsi="Arial" w:cs="Arial"/>
          <w:color w:val="000000"/>
          <w:sz w:val="24"/>
          <w:szCs w:val="24"/>
        </w:rPr>
        <w:t xml:space="preserve">or widening </w:t>
      </w:r>
      <w:r>
        <w:rPr>
          <w:rFonts w:ascii="Arial" w:eastAsia="Arial" w:hAnsi="Arial" w:cs="Arial"/>
          <w:color w:val="000000"/>
          <w:sz w:val="24"/>
          <w:szCs w:val="24"/>
        </w:rPr>
        <w:t xml:space="preserve">gender gaps in health (1–3). </w:t>
      </w:r>
      <w:r w:rsidR="00C8263D">
        <w:rPr>
          <w:rFonts w:ascii="Arial" w:eastAsia="Arial" w:hAnsi="Arial" w:cs="Arial"/>
          <w:color w:val="000000"/>
          <w:sz w:val="24"/>
          <w:szCs w:val="24"/>
        </w:rPr>
        <w:t>Aggregate indices, such as t</w:t>
      </w:r>
      <w:r>
        <w:rPr>
          <w:rFonts w:ascii="Arial" w:eastAsia="Arial" w:hAnsi="Arial" w:cs="Arial"/>
          <w:color w:val="000000"/>
          <w:sz w:val="24"/>
          <w:szCs w:val="24"/>
        </w:rPr>
        <w:t>he World Bank Global Gender Gap Index</w:t>
      </w:r>
      <w:r w:rsidR="00C8263D">
        <w:rPr>
          <w:rFonts w:ascii="Arial" w:eastAsia="Arial" w:hAnsi="Arial" w:cs="Arial"/>
          <w:color w:val="000000"/>
          <w:sz w:val="24"/>
          <w:szCs w:val="24"/>
        </w:rPr>
        <w:t>,</w:t>
      </w:r>
      <w:r>
        <w:rPr>
          <w:rFonts w:ascii="Arial" w:eastAsia="Arial" w:hAnsi="Arial" w:cs="Arial"/>
          <w:color w:val="000000"/>
          <w:sz w:val="24"/>
          <w:szCs w:val="24"/>
        </w:rPr>
        <w:t xml:space="preserve"> measure gender equality based on gaps between women and men across health, education, economy, and politics (1). Likewise, the WHO European Health Equity Status Report initiative (</w:t>
      </w:r>
      <w:proofErr w:type="spellStart"/>
      <w:r>
        <w:rPr>
          <w:rFonts w:ascii="Arial" w:eastAsia="Arial" w:hAnsi="Arial" w:cs="Arial"/>
          <w:color w:val="000000"/>
          <w:sz w:val="24"/>
          <w:szCs w:val="24"/>
        </w:rPr>
        <w:t>HESRi</w:t>
      </w:r>
      <w:proofErr w:type="spellEnd"/>
      <w:r>
        <w:rPr>
          <w:rFonts w:ascii="Arial" w:eastAsia="Arial" w:hAnsi="Arial" w:cs="Arial"/>
          <w:color w:val="000000"/>
          <w:sz w:val="24"/>
          <w:szCs w:val="24"/>
        </w:rPr>
        <w:t>) uses gender gaps in disability-adjusted life years (DALYs) and life expectancy to implement policy action for health equity and well-being in the European Region (2). Gender gaps are also used by the Gender Equality Index to assess gender inequalities in the EU in all areas (3).</w:t>
      </w:r>
    </w:p>
    <w:p w14:paraId="00000032"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3"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research, gender gaps have also been widely used to analyze the various gender disparities in health and the so-called male–female health-survival paradox. Despite </w:t>
      </w:r>
      <w:r>
        <w:rPr>
          <w:rFonts w:ascii="Arial" w:eastAsia="Arial" w:hAnsi="Arial" w:cs="Arial"/>
          <w:sz w:val="24"/>
          <w:szCs w:val="24"/>
        </w:rPr>
        <w:t>long standing</w:t>
      </w:r>
      <w:r>
        <w:rPr>
          <w:rFonts w:ascii="Arial" w:eastAsia="Arial" w:hAnsi="Arial" w:cs="Arial"/>
          <w:color w:val="000000"/>
          <w:sz w:val="24"/>
          <w:szCs w:val="24"/>
        </w:rPr>
        <w:t xml:space="preserve"> effort from researchers worldwide, there has been </w:t>
      </w:r>
      <w:r>
        <w:rPr>
          <w:rFonts w:ascii="Arial" w:eastAsia="Arial" w:hAnsi="Arial" w:cs="Arial"/>
          <w:color w:val="000000"/>
          <w:sz w:val="24"/>
          <w:szCs w:val="24"/>
        </w:rPr>
        <w:lastRenderedPageBreak/>
        <w:t xml:space="preserve">no conclusive explanation for why, despite living longer than men, women experience poorer health for most outcomes (4–16). </w:t>
      </w:r>
    </w:p>
    <w:p w14:paraId="00000034"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5"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Overall, gaps are widely used because they are an easy and straightforward way to relate the difference between two quantities. However, it can be misleading to use gender gaps as a measure that accurately captures inequality when applied to gender differences in health. In part, this is due to the complex interaction between health and mortality, which can change in ways that do not necessarily go in the same direction (17). Decomposition analyses of the contributions of mortality and disability to the gender gap in health expectancy have shown that gender differences in mortality and disability can be masked when only the total gap is analyzed (18–22). In some contexts, this effect can be substantial. A study found that while there was virtually no gender gap in health expectancy in Mexico City at ages &gt;60y this was due to the combination of a high prevalence of disability among women coupled with a small mortality advantage (22). Interpreting the small absolute gender gap in health expectancy of only 0.18y in Mexico City in this context as a metric for low inequality would ignore the higher burden of disability among women. Similarly, the substantial effects of mortality (3.1 years) and disability (-3.5 years) by gender were not captured by the small gender gap of -0.4 y in a high-income country like the Netherlands, which was the result of two strong effects working in opposite directions. For the EU10 region, decomposing the gender gap showed that higher disability in women only partially offset the effect of lower mortality (19). However, these studies focused on a specific set of countries or regions that usually share the same societal values and gender roles, mostly due to lack of comparable data and the challenging enterprise of comparative analysis on health. </w:t>
      </w:r>
    </w:p>
    <w:p w14:paraId="00000036"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7"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 this paper, we take advantage of the harmonized surveys from the Gateway to Global Aging Data (23</w:t>
      </w:r>
      <w:proofErr w:type="gramStart"/>
      <w:r>
        <w:rPr>
          <w:rFonts w:ascii="Arial" w:eastAsia="Arial" w:hAnsi="Arial" w:cs="Arial"/>
          <w:color w:val="000000"/>
          <w:sz w:val="24"/>
          <w:szCs w:val="24"/>
        </w:rPr>
        <w:t>)  in</w:t>
      </w:r>
      <w:proofErr w:type="gramEnd"/>
      <w:r>
        <w:rPr>
          <w:rFonts w:ascii="Arial" w:eastAsia="Arial" w:hAnsi="Arial" w:cs="Arial"/>
          <w:color w:val="000000"/>
          <w:sz w:val="24"/>
          <w:szCs w:val="24"/>
        </w:rPr>
        <w:t xml:space="preserve"> order to estimate the gender gap in health expectancy and quantify the relative contribution of disability and mortality to gender gaps in </w:t>
      </w:r>
      <w:r>
        <w:rPr>
          <w:rFonts w:ascii="Arial" w:eastAsia="Arial" w:hAnsi="Arial" w:cs="Arial"/>
          <w:color w:val="000000"/>
          <w:sz w:val="24"/>
          <w:szCs w:val="24"/>
        </w:rPr>
        <w:lastRenderedPageBreak/>
        <w:t xml:space="preserve">health expectancy across different countries. This data resource allows for a unique opportunity to perform comparisons among identically defined health variables across countries. We focus on harmonized HRS (U.S.),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LASI (India), MHAS (Mexico) and SHARE (EU Countries) due to their unique epidemiological and mortality trajectories. These countries also have diverse country-specific gender roles, which enable us to investigate the impact of interpreting the gender gap in health and mortality as a measure of inequality in different settings.</w:t>
      </w:r>
    </w:p>
    <w:p w14:paraId="00000038"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9"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We estimate disability- and chronic disease-free life expectancies (DFLE and CFLE) for ages 60 and over using the Sullivan Method (24–26). For disability, we use the harmonized dummy variable constructed from a 5-item list of activities of daily living (ADLs), which include bathing, dressing, eating, getting in and out of bed, and using the toilet. For chronic doctor diagnosed diseases, we use the harmonized variables on specific chronic conditions diagnosed by a physician, which include diabetes, heart conditions, arthritis, cancer, </w:t>
      </w:r>
      <w:proofErr w:type="gramStart"/>
      <w:r>
        <w:rPr>
          <w:rFonts w:ascii="Arial" w:eastAsia="Arial" w:hAnsi="Arial" w:cs="Arial"/>
          <w:color w:val="000000"/>
          <w:sz w:val="24"/>
          <w:szCs w:val="24"/>
        </w:rPr>
        <w:t>stroke</w:t>
      </w:r>
      <w:proofErr w:type="gramEnd"/>
      <w:r>
        <w:rPr>
          <w:rFonts w:ascii="Arial" w:eastAsia="Arial" w:hAnsi="Arial" w:cs="Arial"/>
          <w:color w:val="000000"/>
          <w:sz w:val="24"/>
          <w:szCs w:val="24"/>
        </w:rPr>
        <w:t xml:space="preserve"> and lung disease. We use waves pertaining to year 2014-2015 (HRS: Wave 12; ELSA: Wave 7; SHARE: Wave 6;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Wave 5; CHARLS: Wave 2; and LASI Wave 1). The only exception is India, since the first wave of LASI was carried on between 2017-2019. The choice of years refers to the most recent waves for which harmonized data on health for this set of countries is available and there is concordance across surveys.  We focus on age 60 and above to be coherent towards the definition of old age across countries. While most developed countries define old age as 65, for China and Mexico it is age 60. Lastly, we apply the continuous change decomposition method (27, 28), so we can split gender differences in healthy life expectancy into mortality and disability/chronic disease effects by age (29). </w:t>
      </w:r>
    </w:p>
    <w:p w14:paraId="0000003A"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B"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We show how the gender gap in health expectancy for disability and chronic conditions varies greatly across countries and that despite being a simple and  straightforward way to perform cross-country comparisons and monitor progress, </w:t>
      </w:r>
      <w:r>
        <w:rPr>
          <w:rFonts w:ascii="Arial" w:eastAsia="Arial" w:hAnsi="Arial" w:cs="Arial"/>
          <w:color w:val="000000"/>
          <w:sz w:val="24"/>
          <w:szCs w:val="24"/>
        </w:rPr>
        <w:lastRenderedPageBreak/>
        <w:t xml:space="preserve">gender gaps may not be reflecting actual inequalities when it comes to health. Hence, it is important to take a more cautionary approach when using and </w:t>
      </w:r>
      <w:r>
        <w:rPr>
          <w:rFonts w:ascii="Arial" w:eastAsia="Arial" w:hAnsi="Arial" w:cs="Arial"/>
          <w:sz w:val="24"/>
          <w:szCs w:val="24"/>
        </w:rPr>
        <w:t>interpreting</w:t>
      </w:r>
      <w:r>
        <w:rPr>
          <w:rFonts w:ascii="Arial" w:eastAsia="Arial" w:hAnsi="Arial" w:cs="Arial"/>
          <w:color w:val="000000"/>
          <w:sz w:val="24"/>
          <w:szCs w:val="24"/>
        </w:rPr>
        <w:t xml:space="preserve"> gender gaps.</w:t>
      </w:r>
    </w:p>
    <w:p w14:paraId="0000003C"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D"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3E"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Results</w:t>
      </w:r>
    </w:p>
    <w:p w14:paraId="0000003F"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40"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41"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Make a table with the variables that are significant, but not the full one. Put in the appendix</w:t>
      </w:r>
      <w:r>
        <w:rPr>
          <w:rFonts w:ascii="Arial" w:eastAsia="Arial" w:hAnsi="Arial" w:cs="Arial"/>
          <w:sz w:val="24"/>
          <w:szCs w:val="24"/>
          <w:highlight w:val="yellow"/>
        </w:rPr>
        <w:t xml:space="preserve"> the big one.</w:t>
      </w:r>
    </w:p>
    <w:p w14:paraId="00000042"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3"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Focus on the decomposition at age 60+.</w:t>
      </w:r>
    </w:p>
    <w:p w14:paraId="00000044"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5"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6"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highlight w:val="yellow"/>
        </w:rPr>
        <w:t>The relationship between the gender gap and other indicators of gender inequality</w:t>
      </w:r>
    </w:p>
    <w:p w14:paraId="00000047"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8" w14:textId="77777777" w:rsidR="008B376E" w:rsidRDefault="00000000">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Fig 1 shows the </w:t>
      </w:r>
    </w:p>
    <w:p w14:paraId="00000049"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A" w14:textId="44FC25BF" w:rsidR="008B376E" w:rsidRDefault="006E427C">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1840DE64" wp14:editId="43239EB2">
            <wp:extent cx="5486400" cy="431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313555"/>
                    </a:xfrm>
                    <a:prstGeom prst="rect">
                      <a:avLst/>
                    </a:prstGeom>
                  </pic:spPr>
                </pic:pic>
              </a:graphicData>
            </a:graphic>
          </wp:inline>
        </w:drawing>
      </w:r>
    </w:p>
    <w:p w14:paraId="0000004B" w14:textId="77777777" w:rsidR="008B376E" w:rsidRPr="001C716D" w:rsidRDefault="00000000">
      <w:pPr>
        <w:keepNext/>
        <w:spacing w:before="240" w:after="240" w:line="276" w:lineRule="auto"/>
        <w:jc w:val="both"/>
        <w:rPr>
          <w:rFonts w:ascii="Arial" w:eastAsia="Georgia" w:hAnsi="Arial" w:cs="Arial"/>
          <w:sz w:val="24"/>
          <w:szCs w:val="24"/>
          <w:highlight w:val="white"/>
        </w:rPr>
      </w:pPr>
      <w:r w:rsidRPr="001C716D">
        <w:rPr>
          <w:rFonts w:ascii="Arial" w:eastAsia="Georgia" w:hAnsi="Arial" w:cs="Arial"/>
          <w:b/>
          <w:sz w:val="24"/>
          <w:szCs w:val="24"/>
          <w:highlight w:val="white"/>
        </w:rPr>
        <w:lastRenderedPageBreak/>
        <w:t>Figure 1</w:t>
      </w:r>
      <w:r w:rsidRPr="001C716D">
        <w:rPr>
          <w:rFonts w:ascii="Arial" w:eastAsia="Georgia" w:hAnsi="Arial" w:cs="Arial"/>
          <w:sz w:val="24"/>
          <w:szCs w:val="24"/>
          <w:highlight w:val="white"/>
        </w:rPr>
        <w:t>. Prevalence of unhealthy women and men by activity of daily limitation (ADL) and doctor diagnosed chronic conditions (Chronic), by age, all countries (left panel) and selected countries (right panel).</w:t>
      </w:r>
    </w:p>
    <w:p w14:paraId="0000004C"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D" w14:textId="7F4D68E3" w:rsidR="008B376E" w:rsidRDefault="008B376E">
      <w:pPr>
        <w:keepNext/>
        <w:spacing w:before="240" w:after="240" w:line="360" w:lineRule="auto"/>
        <w:jc w:val="both"/>
        <w:rPr>
          <w:rFonts w:ascii="Georgia" w:eastAsia="Georgia" w:hAnsi="Georgia" w:cs="Georgia"/>
          <w:b/>
          <w:sz w:val="24"/>
          <w:szCs w:val="24"/>
          <w:highlight w:val="white"/>
        </w:rPr>
      </w:pPr>
    </w:p>
    <w:p w14:paraId="0000004E" w14:textId="3A8172C5" w:rsidR="008B376E" w:rsidRPr="00961F0F" w:rsidRDefault="007709DB">
      <w:pPr>
        <w:keepNext/>
        <w:spacing w:before="240" w:after="240" w:line="360" w:lineRule="auto"/>
        <w:jc w:val="both"/>
        <w:rPr>
          <w:rFonts w:ascii="Arial" w:eastAsia="Georgia" w:hAnsi="Arial" w:cs="Arial"/>
          <w:b/>
          <w:sz w:val="24"/>
          <w:szCs w:val="24"/>
          <w:highlight w:val="white"/>
        </w:rPr>
      </w:pPr>
      <w:r>
        <w:rPr>
          <w:rFonts w:ascii="Arial" w:eastAsia="Georgia" w:hAnsi="Arial" w:cs="Arial"/>
          <w:b/>
          <w:noProof/>
          <w:sz w:val="24"/>
          <w:szCs w:val="24"/>
        </w:rPr>
        <w:drawing>
          <wp:inline distT="0" distB="0" distL="0" distR="0" wp14:anchorId="131CBF71" wp14:editId="6874EB5B">
            <wp:extent cx="6040124" cy="317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5940" cy="3174118"/>
                    </a:xfrm>
                    <a:prstGeom prst="rect">
                      <a:avLst/>
                    </a:prstGeom>
                  </pic:spPr>
                </pic:pic>
              </a:graphicData>
            </a:graphic>
          </wp:inline>
        </w:drawing>
      </w:r>
    </w:p>
    <w:p w14:paraId="3242057F" w14:textId="1D86B212" w:rsidR="001C716D" w:rsidRDefault="00000000">
      <w:pPr>
        <w:keepNext/>
        <w:spacing w:before="240" w:after="240" w:line="360" w:lineRule="auto"/>
        <w:jc w:val="both"/>
        <w:rPr>
          <w:rFonts w:ascii="Arial" w:eastAsia="Georgia" w:hAnsi="Arial" w:cs="Arial"/>
          <w:sz w:val="24"/>
          <w:szCs w:val="24"/>
          <w:highlight w:val="white"/>
        </w:rPr>
      </w:pPr>
      <w:r w:rsidRPr="00961F0F">
        <w:rPr>
          <w:rFonts w:ascii="Arial" w:eastAsia="Georgia" w:hAnsi="Arial" w:cs="Arial"/>
          <w:b/>
          <w:sz w:val="24"/>
          <w:szCs w:val="24"/>
          <w:highlight w:val="white"/>
        </w:rPr>
        <w:t>Figure 2.</w:t>
      </w:r>
      <w:r w:rsidRPr="00961F0F">
        <w:rPr>
          <w:rFonts w:ascii="Arial" w:eastAsia="Georgia" w:hAnsi="Arial" w:cs="Arial"/>
          <w:sz w:val="24"/>
          <w:szCs w:val="24"/>
          <w:highlight w:val="white"/>
        </w:rPr>
        <w:t xml:space="preserve"> Decomposition of the gender gap in disability-free life expectancy (DFLE) and chronic-free life expectancy (CFLE) at ages 60+ into mortality and chronic effects by country.</w:t>
      </w:r>
    </w:p>
    <w:p w14:paraId="536A2A17" w14:textId="0CEE9896" w:rsidR="00EA6535" w:rsidRDefault="00EA6535">
      <w:pPr>
        <w:keepNext/>
        <w:spacing w:before="240" w:after="240" w:line="360" w:lineRule="auto"/>
        <w:jc w:val="both"/>
        <w:rPr>
          <w:rFonts w:ascii="Arial" w:eastAsia="Georgia" w:hAnsi="Arial" w:cs="Arial"/>
          <w:sz w:val="24"/>
          <w:szCs w:val="24"/>
          <w:highlight w:val="white"/>
        </w:rPr>
      </w:pPr>
    </w:p>
    <w:p w14:paraId="38607C13" w14:textId="43F8BA57" w:rsidR="00EA6535" w:rsidRDefault="00EA6535">
      <w:pPr>
        <w:keepNext/>
        <w:spacing w:before="240" w:after="240" w:line="360" w:lineRule="auto"/>
        <w:jc w:val="both"/>
        <w:rPr>
          <w:rFonts w:ascii="Arial" w:eastAsia="Georgia" w:hAnsi="Arial" w:cs="Arial"/>
          <w:sz w:val="24"/>
          <w:szCs w:val="24"/>
          <w:highlight w:val="white"/>
        </w:rPr>
      </w:pPr>
      <w:r>
        <w:rPr>
          <w:rFonts w:ascii="Arial" w:eastAsia="Georgia" w:hAnsi="Arial" w:cs="Arial"/>
          <w:noProof/>
          <w:sz w:val="24"/>
          <w:szCs w:val="24"/>
        </w:rPr>
        <w:lastRenderedPageBreak/>
        <w:drawing>
          <wp:inline distT="0" distB="0" distL="0" distR="0" wp14:anchorId="38116543" wp14:editId="293D9D7D">
            <wp:extent cx="6093650" cy="31293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2753" cy="3134018"/>
                    </a:xfrm>
                    <a:prstGeom prst="rect">
                      <a:avLst/>
                    </a:prstGeom>
                  </pic:spPr>
                </pic:pic>
              </a:graphicData>
            </a:graphic>
          </wp:inline>
        </w:drawing>
      </w:r>
    </w:p>
    <w:p w14:paraId="4C0AAC26" w14:textId="1BE3CAFA" w:rsidR="00EA6535" w:rsidRDefault="00EA6535" w:rsidP="00EA6535">
      <w:pPr>
        <w:keepNext/>
        <w:spacing w:before="240" w:after="240" w:line="360" w:lineRule="auto"/>
        <w:jc w:val="both"/>
        <w:rPr>
          <w:rFonts w:ascii="Arial" w:eastAsia="Georgia" w:hAnsi="Arial" w:cs="Arial"/>
          <w:sz w:val="24"/>
          <w:szCs w:val="24"/>
          <w:highlight w:val="white"/>
        </w:rPr>
      </w:pPr>
      <w:r w:rsidRPr="00961F0F">
        <w:rPr>
          <w:rFonts w:ascii="Arial" w:eastAsia="Georgia" w:hAnsi="Arial" w:cs="Arial"/>
          <w:b/>
          <w:sz w:val="24"/>
          <w:szCs w:val="24"/>
          <w:highlight w:val="white"/>
        </w:rPr>
        <w:t xml:space="preserve">Figure </w:t>
      </w:r>
      <w:r>
        <w:rPr>
          <w:rFonts w:ascii="Arial" w:eastAsia="Georgia" w:hAnsi="Arial" w:cs="Arial"/>
          <w:b/>
          <w:sz w:val="24"/>
          <w:szCs w:val="24"/>
          <w:highlight w:val="white"/>
        </w:rPr>
        <w:t>3</w:t>
      </w:r>
      <w:r w:rsidRPr="00961F0F">
        <w:rPr>
          <w:rFonts w:ascii="Arial" w:eastAsia="Georgia" w:hAnsi="Arial" w:cs="Arial"/>
          <w:b/>
          <w:sz w:val="24"/>
          <w:szCs w:val="24"/>
          <w:highlight w:val="white"/>
        </w:rPr>
        <w:t>.</w:t>
      </w:r>
      <w:r w:rsidRPr="00961F0F">
        <w:rPr>
          <w:rFonts w:ascii="Arial" w:eastAsia="Georgia" w:hAnsi="Arial" w:cs="Arial"/>
          <w:sz w:val="24"/>
          <w:szCs w:val="24"/>
          <w:highlight w:val="white"/>
        </w:rPr>
        <w:t xml:space="preserve"> Decomposition of the gender gap in disability-free life expectancy (DFLE) and chronic-free life expectancy (CFLE) at ages 60+ into mortality and chronic effects by country.</w:t>
      </w:r>
    </w:p>
    <w:p w14:paraId="4B81C260" w14:textId="77777777" w:rsidR="00EA6535" w:rsidRDefault="00EA6535">
      <w:pPr>
        <w:keepNext/>
        <w:spacing w:before="240" w:after="240" w:line="360" w:lineRule="auto"/>
        <w:jc w:val="both"/>
        <w:rPr>
          <w:rFonts w:ascii="Arial" w:eastAsia="Georgia" w:hAnsi="Arial" w:cs="Arial"/>
          <w:sz w:val="24"/>
          <w:szCs w:val="24"/>
          <w:highlight w:val="white"/>
        </w:rPr>
      </w:pPr>
    </w:p>
    <w:p w14:paraId="65F92DEC" w14:textId="3FE18FBA" w:rsidR="00C93A2F" w:rsidRPr="00CA26BF" w:rsidRDefault="00C93A2F">
      <w:pPr>
        <w:keepNext/>
        <w:spacing w:before="240" w:after="240" w:line="360" w:lineRule="auto"/>
        <w:jc w:val="both"/>
        <w:rPr>
          <w:rFonts w:ascii="Arial" w:eastAsia="Georgia" w:hAnsi="Arial" w:cs="Arial"/>
          <w:sz w:val="24"/>
          <w:szCs w:val="24"/>
          <w:highlight w:val="white"/>
        </w:rPr>
      </w:pPr>
      <w:r>
        <w:rPr>
          <w:rFonts w:ascii="Arial" w:eastAsia="Georgia" w:hAnsi="Arial" w:cs="Arial"/>
          <w:b/>
          <w:sz w:val="24"/>
          <w:szCs w:val="24"/>
          <w:highlight w:val="white"/>
        </w:rPr>
        <w:t>Table</w:t>
      </w:r>
      <w:r w:rsidRPr="00FE7042">
        <w:rPr>
          <w:rFonts w:ascii="Arial" w:eastAsia="Georgia" w:hAnsi="Arial" w:cs="Arial"/>
          <w:b/>
          <w:sz w:val="24"/>
          <w:szCs w:val="24"/>
          <w:highlight w:val="white"/>
        </w:rPr>
        <w:t xml:space="preserve"> </w:t>
      </w:r>
      <w:r>
        <w:rPr>
          <w:rFonts w:ascii="Arial" w:eastAsia="Georgia" w:hAnsi="Arial" w:cs="Arial"/>
          <w:b/>
          <w:sz w:val="24"/>
          <w:szCs w:val="24"/>
          <w:highlight w:val="white"/>
        </w:rPr>
        <w:t>1</w:t>
      </w:r>
      <w:r w:rsidRPr="00FE7042">
        <w:rPr>
          <w:rFonts w:ascii="Arial" w:eastAsia="Georgia" w:hAnsi="Arial" w:cs="Arial"/>
          <w:b/>
          <w:sz w:val="24"/>
          <w:szCs w:val="24"/>
          <w:highlight w:val="white"/>
        </w:rPr>
        <w:t>.</w:t>
      </w:r>
      <w:r w:rsidRPr="00FE7042">
        <w:rPr>
          <w:rFonts w:ascii="Arial" w:eastAsia="Georgia" w:hAnsi="Arial" w:cs="Arial"/>
          <w:sz w:val="24"/>
          <w:szCs w:val="24"/>
          <w:highlight w:val="white"/>
        </w:rPr>
        <w:t xml:space="preserve"> Decomposition of the gender gap in disability-free life expectancy (DFLE)</w:t>
      </w:r>
      <w:r>
        <w:rPr>
          <w:rFonts w:ascii="Arial" w:eastAsia="Georgia" w:hAnsi="Arial" w:cs="Arial"/>
          <w:sz w:val="24"/>
          <w:szCs w:val="24"/>
          <w:highlight w:val="white"/>
        </w:rPr>
        <w:t xml:space="preserve"> </w:t>
      </w:r>
      <w:r w:rsidRPr="00FE7042">
        <w:rPr>
          <w:rFonts w:ascii="Arial" w:eastAsia="Georgia" w:hAnsi="Arial" w:cs="Arial"/>
          <w:sz w:val="24"/>
          <w:szCs w:val="24"/>
          <w:highlight w:val="white"/>
        </w:rPr>
        <w:t xml:space="preserve">at ages 60+ into mortality and </w:t>
      </w:r>
      <w:r>
        <w:rPr>
          <w:rFonts w:ascii="Arial" w:eastAsia="Georgia" w:hAnsi="Arial" w:cs="Arial"/>
          <w:sz w:val="24"/>
          <w:szCs w:val="24"/>
          <w:highlight w:val="white"/>
        </w:rPr>
        <w:t>disability</w:t>
      </w:r>
      <w:r w:rsidRPr="00FE7042">
        <w:rPr>
          <w:rFonts w:ascii="Arial" w:eastAsia="Georgia" w:hAnsi="Arial" w:cs="Arial"/>
          <w:sz w:val="24"/>
          <w:szCs w:val="24"/>
          <w:highlight w:val="white"/>
        </w:rPr>
        <w:t xml:space="preserve"> effects by country</w:t>
      </w:r>
      <w:r>
        <w:rPr>
          <w:rFonts w:ascii="Arial" w:eastAsia="Georgia" w:hAnsi="Arial" w:cs="Arial"/>
          <w:sz w:val="24"/>
          <w:szCs w:val="24"/>
          <w:highlight w:val="white"/>
        </w:rPr>
        <w:t>, with 95% confidence intervals.</w:t>
      </w:r>
    </w:p>
    <w:tbl>
      <w:tblPr>
        <w:tblW w:w="10084" w:type="dxa"/>
        <w:tblLook w:val="04A0" w:firstRow="1" w:lastRow="0" w:firstColumn="1" w:lastColumn="0" w:noHBand="0" w:noVBand="1"/>
      </w:tblPr>
      <w:tblGrid>
        <w:gridCol w:w="1600"/>
        <w:gridCol w:w="749"/>
        <w:gridCol w:w="865"/>
        <w:gridCol w:w="1418"/>
        <w:gridCol w:w="1166"/>
        <w:gridCol w:w="1318"/>
        <w:gridCol w:w="1219"/>
        <w:gridCol w:w="1496"/>
        <w:gridCol w:w="253"/>
      </w:tblGrid>
      <w:tr w:rsidR="00F839D1" w:rsidRPr="00F839D1" w14:paraId="13838F87" w14:textId="77777777" w:rsidTr="007027B1">
        <w:trPr>
          <w:gridAfter w:val="1"/>
          <w:wAfter w:w="253" w:type="dxa"/>
          <w:trHeight w:val="235"/>
        </w:trPr>
        <w:tc>
          <w:tcPr>
            <w:tcW w:w="1600" w:type="dxa"/>
            <w:vMerge w:val="restart"/>
            <w:tcBorders>
              <w:top w:val="single" w:sz="4" w:space="0" w:color="auto"/>
              <w:left w:val="nil"/>
              <w:bottom w:val="single" w:sz="4" w:space="0" w:color="000000"/>
              <w:right w:val="nil"/>
            </w:tcBorders>
            <w:shd w:val="clear" w:color="auto" w:fill="auto"/>
            <w:noWrap/>
            <w:vAlign w:val="center"/>
            <w:hideMark/>
          </w:tcPr>
          <w:p w14:paraId="4371BE9B"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Country</w:t>
            </w:r>
          </w:p>
        </w:tc>
        <w:tc>
          <w:tcPr>
            <w:tcW w:w="749" w:type="dxa"/>
            <w:vMerge w:val="restart"/>
            <w:tcBorders>
              <w:top w:val="single" w:sz="4" w:space="0" w:color="auto"/>
              <w:left w:val="nil"/>
              <w:bottom w:val="single" w:sz="4" w:space="0" w:color="000000"/>
              <w:right w:val="nil"/>
            </w:tcBorders>
            <w:shd w:val="clear" w:color="auto" w:fill="auto"/>
            <w:noWrap/>
            <w:vAlign w:val="center"/>
            <w:hideMark/>
          </w:tcPr>
          <w:p w14:paraId="7DAA231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LE</w:t>
            </w:r>
          </w:p>
        </w:tc>
        <w:tc>
          <w:tcPr>
            <w:tcW w:w="865" w:type="dxa"/>
            <w:vMerge w:val="restart"/>
            <w:tcBorders>
              <w:top w:val="single" w:sz="4" w:space="0" w:color="auto"/>
              <w:left w:val="nil"/>
              <w:bottom w:val="single" w:sz="4" w:space="0" w:color="000000"/>
              <w:right w:val="nil"/>
            </w:tcBorders>
            <w:shd w:val="clear" w:color="auto" w:fill="auto"/>
            <w:noWrap/>
            <w:vAlign w:val="center"/>
            <w:hideMark/>
          </w:tcPr>
          <w:p w14:paraId="0310061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 xml:space="preserve">DFLE </w:t>
            </w:r>
          </w:p>
        </w:tc>
        <w:tc>
          <w:tcPr>
            <w:tcW w:w="1418" w:type="dxa"/>
            <w:vMerge w:val="restart"/>
            <w:tcBorders>
              <w:top w:val="single" w:sz="4" w:space="0" w:color="auto"/>
              <w:left w:val="nil"/>
              <w:bottom w:val="single" w:sz="4" w:space="0" w:color="000000"/>
              <w:right w:val="nil"/>
            </w:tcBorders>
            <w:shd w:val="clear" w:color="auto" w:fill="auto"/>
            <w:noWrap/>
            <w:vAlign w:val="center"/>
            <w:hideMark/>
          </w:tcPr>
          <w:p w14:paraId="18C65BC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c>
          <w:tcPr>
            <w:tcW w:w="5199" w:type="dxa"/>
            <w:gridSpan w:val="4"/>
            <w:tcBorders>
              <w:top w:val="single" w:sz="4" w:space="0" w:color="auto"/>
              <w:left w:val="nil"/>
              <w:bottom w:val="single" w:sz="4" w:space="0" w:color="auto"/>
              <w:right w:val="nil"/>
            </w:tcBorders>
            <w:shd w:val="clear" w:color="auto" w:fill="auto"/>
            <w:noWrap/>
            <w:vAlign w:val="bottom"/>
            <w:hideMark/>
          </w:tcPr>
          <w:p w14:paraId="0CBB96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Components</w:t>
            </w:r>
          </w:p>
        </w:tc>
      </w:tr>
      <w:tr w:rsidR="00F839D1" w:rsidRPr="00F839D1" w14:paraId="7F7CA8C4" w14:textId="77777777" w:rsidTr="007027B1">
        <w:trPr>
          <w:gridAfter w:val="1"/>
          <w:wAfter w:w="253" w:type="dxa"/>
          <w:trHeight w:val="469"/>
        </w:trPr>
        <w:tc>
          <w:tcPr>
            <w:tcW w:w="1600" w:type="dxa"/>
            <w:vMerge/>
            <w:tcBorders>
              <w:top w:val="single" w:sz="4" w:space="0" w:color="auto"/>
              <w:left w:val="nil"/>
              <w:bottom w:val="single" w:sz="4" w:space="0" w:color="000000"/>
              <w:right w:val="nil"/>
            </w:tcBorders>
            <w:vAlign w:val="center"/>
            <w:hideMark/>
          </w:tcPr>
          <w:p w14:paraId="3925F48D" w14:textId="77777777" w:rsidR="00F839D1" w:rsidRPr="00F839D1" w:rsidRDefault="00F839D1" w:rsidP="00F839D1">
            <w:pPr>
              <w:spacing w:after="0"/>
              <w:rPr>
                <w:rFonts w:ascii="Arial" w:eastAsia="Times New Roman" w:hAnsi="Arial" w:cs="Arial"/>
                <w:color w:val="000000"/>
              </w:rPr>
            </w:pPr>
          </w:p>
        </w:tc>
        <w:tc>
          <w:tcPr>
            <w:tcW w:w="749" w:type="dxa"/>
            <w:vMerge/>
            <w:tcBorders>
              <w:top w:val="single" w:sz="4" w:space="0" w:color="auto"/>
              <w:left w:val="nil"/>
              <w:bottom w:val="single" w:sz="4" w:space="0" w:color="000000"/>
              <w:right w:val="nil"/>
            </w:tcBorders>
            <w:vAlign w:val="center"/>
            <w:hideMark/>
          </w:tcPr>
          <w:p w14:paraId="00239C25" w14:textId="77777777" w:rsidR="00F839D1" w:rsidRPr="00F839D1" w:rsidRDefault="00F839D1" w:rsidP="00F839D1">
            <w:pPr>
              <w:spacing w:after="0"/>
              <w:rPr>
                <w:rFonts w:ascii="Arial" w:eastAsia="Times New Roman" w:hAnsi="Arial" w:cs="Arial"/>
                <w:color w:val="000000"/>
              </w:rPr>
            </w:pPr>
          </w:p>
        </w:tc>
        <w:tc>
          <w:tcPr>
            <w:tcW w:w="865" w:type="dxa"/>
            <w:vMerge/>
            <w:tcBorders>
              <w:top w:val="single" w:sz="4" w:space="0" w:color="auto"/>
              <w:left w:val="nil"/>
              <w:bottom w:val="single" w:sz="4" w:space="0" w:color="000000"/>
              <w:right w:val="nil"/>
            </w:tcBorders>
            <w:vAlign w:val="center"/>
            <w:hideMark/>
          </w:tcPr>
          <w:p w14:paraId="7129DF86" w14:textId="77777777" w:rsidR="00F839D1" w:rsidRPr="00F839D1" w:rsidRDefault="00F839D1" w:rsidP="00F839D1">
            <w:pPr>
              <w:spacing w:after="0"/>
              <w:rPr>
                <w:rFonts w:ascii="Arial" w:eastAsia="Times New Roman" w:hAnsi="Arial" w:cs="Arial"/>
                <w:color w:val="000000"/>
              </w:rPr>
            </w:pPr>
          </w:p>
        </w:tc>
        <w:tc>
          <w:tcPr>
            <w:tcW w:w="1418" w:type="dxa"/>
            <w:vMerge/>
            <w:tcBorders>
              <w:top w:val="single" w:sz="4" w:space="0" w:color="auto"/>
              <w:left w:val="nil"/>
              <w:bottom w:val="single" w:sz="4" w:space="0" w:color="000000"/>
              <w:right w:val="nil"/>
            </w:tcBorders>
            <w:vAlign w:val="center"/>
            <w:hideMark/>
          </w:tcPr>
          <w:p w14:paraId="6E711EB3" w14:textId="77777777" w:rsidR="00F839D1" w:rsidRPr="00F839D1" w:rsidRDefault="00F839D1" w:rsidP="00F839D1">
            <w:pPr>
              <w:spacing w:after="0"/>
              <w:rPr>
                <w:rFonts w:ascii="Arial" w:eastAsia="Times New Roman" w:hAnsi="Arial" w:cs="Arial"/>
                <w:color w:val="000000"/>
              </w:rPr>
            </w:pPr>
          </w:p>
        </w:tc>
        <w:tc>
          <w:tcPr>
            <w:tcW w:w="1166" w:type="dxa"/>
            <w:vMerge w:val="restart"/>
            <w:tcBorders>
              <w:top w:val="nil"/>
              <w:left w:val="nil"/>
              <w:bottom w:val="single" w:sz="4" w:space="0" w:color="000000"/>
              <w:right w:val="nil"/>
            </w:tcBorders>
            <w:shd w:val="clear" w:color="auto" w:fill="auto"/>
            <w:noWrap/>
            <w:vAlign w:val="center"/>
            <w:hideMark/>
          </w:tcPr>
          <w:p w14:paraId="04B3AD6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Mortality</w:t>
            </w:r>
          </w:p>
        </w:tc>
        <w:tc>
          <w:tcPr>
            <w:tcW w:w="1318" w:type="dxa"/>
            <w:vMerge w:val="restart"/>
            <w:tcBorders>
              <w:top w:val="nil"/>
              <w:left w:val="nil"/>
              <w:bottom w:val="single" w:sz="4" w:space="0" w:color="000000"/>
              <w:right w:val="nil"/>
            </w:tcBorders>
            <w:shd w:val="clear" w:color="auto" w:fill="auto"/>
            <w:noWrap/>
            <w:vAlign w:val="center"/>
            <w:hideMark/>
          </w:tcPr>
          <w:p w14:paraId="7C0FB29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c>
          <w:tcPr>
            <w:tcW w:w="1219" w:type="dxa"/>
            <w:vMerge w:val="restart"/>
            <w:tcBorders>
              <w:top w:val="nil"/>
              <w:left w:val="nil"/>
              <w:bottom w:val="single" w:sz="4" w:space="0" w:color="000000"/>
              <w:right w:val="nil"/>
            </w:tcBorders>
            <w:shd w:val="clear" w:color="auto" w:fill="auto"/>
            <w:noWrap/>
            <w:vAlign w:val="center"/>
            <w:hideMark/>
          </w:tcPr>
          <w:p w14:paraId="014410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Disability</w:t>
            </w:r>
          </w:p>
        </w:tc>
        <w:tc>
          <w:tcPr>
            <w:tcW w:w="1496" w:type="dxa"/>
            <w:vMerge w:val="restart"/>
            <w:tcBorders>
              <w:top w:val="nil"/>
              <w:left w:val="nil"/>
              <w:bottom w:val="single" w:sz="4" w:space="0" w:color="000000"/>
              <w:right w:val="nil"/>
            </w:tcBorders>
            <w:shd w:val="clear" w:color="auto" w:fill="auto"/>
            <w:noWrap/>
            <w:vAlign w:val="center"/>
            <w:hideMark/>
          </w:tcPr>
          <w:p w14:paraId="2B33DB9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r>
      <w:tr w:rsidR="00F839D1" w:rsidRPr="00F839D1" w14:paraId="1866E55F" w14:textId="77777777" w:rsidTr="007027B1">
        <w:trPr>
          <w:trHeight w:val="226"/>
        </w:trPr>
        <w:tc>
          <w:tcPr>
            <w:tcW w:w="1600" w:type="dxa"/>
            <w:vMerge/>
            <w:tcBorders>
              <w:top w:val="single" w:sz="4" w:space="0" w:color="auto"/>
              <w:left w:val="nil"/>
              <w:bottom w:val="single" w:sz="4" w:space="0" w:color="000000"/>
              <w:right w:val="nil"/>
            </w:tcBorders>
            <w:vAlign w:val="center"/>
            <w:hideMark/>
          </w:tcPr>
          <w:p w14:paraId="6C635C47" w14:textId="77777777" w:rsidR="00F839D1" w:rsidRPr="00F839D1" w:rsidRDefault="00F839D1" w:rsidP="00F839D1">
            <w:pPr>
              <w:spacing w:after="0"/>
              <w:rPr>
                <w:rFonts w:ascii="Arial" w:eastAsia="Times New Roman" w:hAnsi="Arial" w:cs="Arial"/>
                <w:color w:val="000000"/>
              </w:rPr>
            </w:pPr>
          </w:p>
        </w:tc>
        <w:tc>
          <w:tcPr>
            <w:tcW w:w="749" w:type="dxa"/>
            <w:vMerge/>
            <w:tcBorders>
              <w:top w:val="single" w:sz="4" w:space="0" w:color="auto"/>
              <w:left w:val="nil"/>
              <w:bottom w:val="single" w:sz="4" w:space="0" w:color="000000"/>
              <w:right w:val="nil"/>
            </w:tcBorders>
            <w:vAlign w:val="center"/>
            <w:hideMark/>
          </w:tcPr>
          <w:p w14:paraId="3AD7F5C5" w14:textId="77777777" w:rsidR="00F839D1" w:rsidRPr="00F839D1" w:rsidRDefault="00F839D1" w:rsidP="00F839D1">
            <w:pPr>
              <w:spacing w:after="0"/>
              <w:rPr>
                <w:rFonts w:ascii="Arial" w:eastAsia="Times New Roman" w:hAnsi="Arial" w:cs="Arial"/>
                <w:color w:val="000000"/>
              </w:rPr>
            </w:pPr>
          </w:p>
        </w:tc>
        <w:tc>
          <w:tcPr>
            <w:tcW w:w="865" w:type="dxa"/>
            <w:vMerge/>
            <w:tcBorders>
              <w:top w:val="single" w:sz="4" w:space="0" w:color="auto"/>
              <w:left w:val="nil"/>
              <w:bottom w:val="single" w:sz="4" w:space="0" w:color="000000"/>
              <w:right w:val="nil"/>
            </w:tcBorders>
            <w:vAlign w:val="center"/>
            <w:hideMark/>
          </w:tcPr>
          <w:p w14:paraId="09FC68A7" w14:textId="77777777" w:rsidR="00F839D1" w:rsidRPr="00F839D1" w:rsidRDefault="00F839D1" w:rsidP="00F839D1">
            <w:pPr>
              <w:spacing w:after="0"/>
              <w:rPr>
                <w:rFonts w:ascii="Arial" w:eastAsia="Times New Roman" w:hAnsi="Arial" w:cs="Arial"/>
                <w:color w:val="000000"/>
              </w:rPr>
            </w:pPr>
          </w:p>
        </w:tc>
        <w:tc>
          <w:tcPr>
            <w:tcW w:w="1418" w:type="dxa"/>
            <w:vMerge/>
            <w:tcBorders>
              <w:top w:val="single" w:sz="4" w:space="0" w:color="auto"/>
              <w:left w:val="nil"/>
              <w:bottom w:val="single" w:sz="4" w:space="0" w:color="000000"/>
              <w:right w:val="nil"/>
            </w:tcBorders>
            <w:vAlign w:val="center"/>
            <w:hideMark/>
          </w:tcPr>
          <w:p w14:paraId="3347793A" w14:textId="77777777" w:rsidR="00F839D1" w:rsidRPr="00F839D1" w:rsidRDefault="00F839D1" w:rsidP="00F839D1">
            <w:pPr>
              <w:spacing w:after="0"/>
              <w:rPr>
                <w:rFonts w:ascii="Arial" w:eastAsia="Times New Roman" w:hAnsi="Arial" w:cs="Arial"/>
                <w:color w:val="000000"/>
              </w:rPr>
            </w:pPr>
          </w:p>
        </w:tc>
        <w:tc>
          <w:tcPr>
            <w:tcW w:w="1166" w:type="dxa"/>
            <w:vMerge/>
            <w:tcBorders>
              <w:top w:val="nil"/>
              <w:left w:val="nil"/>
              <w:bottom w:val="single" w:sz="4" w:space="0" w:color="000000"/>
              <w:right w:val="nil"/>
            </w:tcBorders>
            <w:vAlign w:val="center"/>
            <w:hideMark/>
          </w:tcPr>
          <w:p w14:paraId="58028680" w14:textId="77777777" w:rsidR="00F839D1" w:rsidRPr="00F839D1" w:rsidRDefault="00F839D1" w:rsidP="00F839D1">
            <w:pPr>
              <w:spacing w:after="0"/>
              <w:rPr>
                <w:rFonts w:ascii="Arial" w:eastAsia="Times New Roman" w:hAnsi="Arial" w:cs="Arial"/>
                <w:color w:val="000000"/>
              </w:rPr>
            </w:pPr>
          </w:p>
        </w:tc>
        <w:tc>
          <w:tcPr>
            <w:tcW w:w="1318" w:type="dxa"/>
            <w:vMerge/>
            <w:tcBorders>
              <w:top w:val="nil"/>
              <w:left w:val="nil"/>
              <w:bottom w:val="single" w:sz="4" w:space="0" w:color="000000"/>
              <w:right w:val="nil"/>
            </w:tcBorders>
            <w:vAlign w:val="center"/>
            <w:hideMark/>
          </w:tcPr>
          <w:p w14:paraId="73EED3EF" w14:textId="77777777" w:rsidR="00F839D1" w:rsidRPr="00F839D1" w:rsidRDefault="00F839D1" w:rsidP="00F839D1">
            <w:pPr>
              <w:spacing w:after="0"/>
              <w:rPr>
                <w:rFonts w:ascii="Arial" w:eastAsia="Times New Roman" w:hAnsi="Arial" w:cs="Arial"/>
                <w:color w:val="000000"/>
              </w:rPr>
            </w:pPr>
          </w:p>
        </w:tc>
        <w:tc>
          <w:tcPr>
            <w:tcW w:w="1219" w:type="dxa"/>
            <w:vMerge/>
            <w:tcBorders>
              <w:top w:val="nil"/>
              <w:left w:val="nil"/>
              <w:bottom w:val="single" w:sz="4" w:space="0" w:color="000000"/>
              <w:right w:val="nil"/>
            </w:tcBorders>
            <w:vAlign w:val="center"/>
            <w:hideMark/>
          </w:tcPr>
          <w:p w14:paraId="2C456632" w14:textId="77777777" w:rsidR="00F839D1" w:rsidRPr="00F839D1" w:rsidRDefault="00F839D1" w:rsidP="00F839D1">
            <w:pPr>
              <w:spacing w:after="0"/>
              <w:rPr>
                <w:rFonts w:ascii="Arial" w:eastAsia="Times New Roman" w:hAnsi="Arial" w:cs="Arial"/>
                <w:color w:val="000000"/>
              </w:rPr>
            </w:pPr>
          </w:p>
        </w:tc>
        <w:tc>
          <w:tcPr>
            <w:tcW w:w="1496" w:type="dxa"/>
            <w:vMerge/>
            <w:tcBorders>
              <w:top w:val="nil"/>
              <w:left w:val="nil"/>
              <w:bottom w:val="single" w:sz="4" w:space="0" w:color="000000"/>
              <w:right w:val="nil"/>
            </w:tcBorders>
            <w:vAlign w:val="center"/>
            <w:hideMark/>
          </w:tcPr>
          <w:p w14:paraId="7D6E5511" w14:textId="77777777" w:rsidR="00F839D1" w:rsidRPr="00F839D1" w:rsidRDefault="00F839D1" w:rsidP="00F839D1">
            <w:pPr>
              <w:spacing w:after="0"/>
              <w:rPr>
                <w:rFonts w:ascii="Arial" w:eastAsia="Times New Roman" w:hAnsi="Arial" w:cs="Arial"/>
                <w:color w:val="000000"/>
              </w:rPr>
            </w:pPr>
          </w:p>
        </w:tc>
        <w:tc>
          <w:tcPr>
            <w:tcW w:w="253" w:type="dxa"/>
            <w:tcBorders>
              <w:top w:val="nil"/>
              <w:left w:val="nil"/>
              <w:bottom w:val="nil"/>
              <w:right w:val="nil"/>
            </w:tcBorders>
            <w:shd w:val="clear" w:color="auto" w:fill="auto"/>
            <w:noWrap/>
            <w:vAlign w:val="bottom"/>
            <w:hideMark/>
          </w:tcPr>
          <w:p w14:paraId="0CC26344" w14:textId="77777777" w:rsidR="00F839D1" w:rsidRPr="00F839D1" w:rsidRDefault="00F839D1" w:rsidP="00F839D1">
            <w:pPr>
              <w:spacing w:after="0"/>
              <w:jc w:val="center"/>
              <w:rPr>
                <w:rFonts w:ascii="Arial" w:eastAsia="Times New Roman" w:hAnsi="Arial" w:cs="Arial"/>
                <w:color w:val="000000"/>
              </w:rPr>
            </w:pPr>
          </w:p>
        </w:tc>
      </w:tr>
      <w:tr w:rsidR="00F839D1" w:rsidRPr="00F839D1" w14:paraId="597A0369" w14:textId="77777777" w:rsidTr="007027B1">
        <w:trPr>
          <w:trHeight w:val="226"/>
        </w:trPr>
        <w:tc>
          <w:tcPr>
            <w:tcW w:w="1600" w:type="dxa"/>
            <w:tcBorders>
              <w:top w:val="nil"/>
              <w:left w:val="nil"/>
              <w:bottom w:val="nil"/>
              <w:right w:val="nil"/>
            </w:tcBorders>
            <w:shd w:val="clear" w:color="auto" w:fill="auto"/>
            <w:noWrap/>
            <w:vAlign w:val="bottom"/>
            <w:hideMark/>
          </w:tcPr>
          <w:p w14:paraId="3E7A33C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US </w:t>
            </w:r>
          </w:p>
        </w:tc>
        <w:tc>
          <w:tcPr>
            <w:tcW w:w="749" w:type="dxa"/>
            <w:tcBorders>
              <w:top w:val="nil"/>
              <w:left w:val="nil"/>
              <w:bottom w:val="nil"/>
              <w:right w:val="nil"/>
            </w:tcBorders>
            <w:shd w:val="clear" w:color="auto" w:fill="auto"/>
            <w:noWrap/>
            <w:vAlign w:val="bottom"/>
            <w:hideMark/>
          </w:tcPr>
          <w:p w14:paraId="7121DB1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2.99</w:t>
            </w:r>
          </w:p>
        </w:tc>
        <w:tc>
          <w:tcPr>
            <w:tcW w:w="865" w:type="dxa"/>
            <w:tcBorders>
              <w:top w:val="nil"/>
              <w:left w:val="nil"/>
              <w:bottom w:val="nil"/>
              <w:right w:val="nil"/>
            </w:tcBorders>
            <w:shd w:val="clear" w:color="auto" w:fill="auto"/>
            <w:noWrap/>
            <w:vAlign w:val="bottom"/>
            <w:hideMark/>
          </w:tcPr>
          <w:p w14:paraId="3AE00F1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1.63</w:t>
            </w:r>
          </w:p>
        </w:tc>
        <w:tc>
          <w:tcPr>
            <w:tcW w:w="1418" w:type="dxa"/>
            <w:tcBorders>
              <w:top w:val="nil"/>
              <w:left w:val="nil"/>
              <w:bottom w:val="nil"/>
              <w:right w:val="nil"/>
            </w:tcBorders>
            <w:shd w:val="clear" w:color="auto" w:fill="auto"/>
            <w:noWrap/>
            <w:vAlign w:val="bottom"/>
            <w:hideMark/>
          </w:tcPr>
          <w:p w14:paraId="40AF2B7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[1.60, 1.67]</w:t>
            </w:r>
          </w:p>
        </w:tc>
        <w:tc>
          <w:tcPr>
            <w:tcW w:w="1166" w:type="dxa"/>
            <w:tcBorders>
              <w:top w:val="nil"/>
              <w:left w:val="nil"/>
              <w:bottom w:val="nil"/>
              <w:right w:val="nil"/>
            </w:tcBorders>
            <w:shd w:val="clear" w:color="auto" w:fill="auto"/>
            <w:noWrap/>
            <w:vAlign w:val="bottom"/>
            <w:hideMark/>
          </w:tcPr>
          <w:p w14:paraId="1B2231D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2.26</w:t>
            </w:r>
          </w:p>
        </w:tc>
        <w:tc>
          <w:tcPr>
            <w:tcW w:w="1318" w:type="dxa"/>
            <w:tcBorders>
              <w:top w:val="nil"/>
              <w:left w:val="nil"/>
              <w:bottom w:val="nil"/>
              <w:right w:val="nil"/>
            </w:tcBorders>
            <w:shd w:val="clear" w:color="auto" w:fill="auto"/>
            <w:noWrap/>
            <w:vAlign w:val="bottom"/>
            <w:hideMark/>
          </w:tcPr>
          <w:p w14:paraId="09DFE4BF"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[2.18, 2.33]</w:t>
            </w:r>
          </w:p>
        </w:tc>
        <w:tc>
          <w:tcPr>
            <w:tcW w:w="1219" w:type="dxa"/>
            <w:tcBorders>
              <w:top w:val="nil"/>
              <w:left w:val="nil"/>
              <w:bottom w:val="nil"/>
              <w:right w:val="nil"/>
            </w:tcBorders>
            <w:shd w:val="clear" w:color="auto" w:fill="auto"/>
            <w:noWrap/>
            <w:vAlign w:val="bottom"/>
            <w:hideMark/>
          </w:tcPr>
          <w:p w14:paraId="6D5737B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-0.62</w:t>
            </w:r>
          </w:p>
        </w:tc>
        <w:tc>
          <w:tcPr>
            <w:tcW w:w="1496" w:type="dxa"/>
            <w:tcBorders>
              <w:top w:val="nil"/>
              <w:left w:val="nil"/>
              <w:bottom w:val="nil"/>
              <w:right w:val="nil"/>
            </w:tcBorders>
            <w:shd w:val="clear" w:color="auto" w:fill="auto"/>
            <w:noWrap/>
            <w:vAlign w:val="bottom"/>
            <w:hideMark/>
          </w:tcPr>
          <w:p w14:paraId="460180D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[-0.58, -0.66]</w:t>
            </w:r>
          </w:p>
        </w:tc>
        <w:tc>
          <w:tcPr>
            <w:tcW w:w="253" w:type="dxa"/>
            <w:vAlign w:val="center"/>
            <w:hideMark/>
          </w:tcPr>
          <w:p w14:paraId="42B94AD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C2EB458" w14:textId="77777777" w:rsidTr="007027B1">
        <w:trPr>
          <w:trHeight w:val="235"/>
        </w:trPr>
        <w:tc>
          <w:tcPr>
            <w:tcW w:w="1600" w:type="dxa"/>
            <w:tcBorders>
              <w:top w:val="nil"/>
              <w:left w:val="nil"/>
              <w:bottom w:val="nil"/>
              <w:right w:val="nil"/>
            </w:tcBorders>
            <w:shd w:val="clear" w:color="auto" w:fill="auto"/>
            <w:noWrap/>
            <w:vAlign w:val="bottom"/>
            <w:hideMark/>
          </w:tcPr>
          <w:p w14:paraId="38E1A80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China </w:t>
            </w:r>
          </w:p>
        </w:tc>
        <w:tc>
          <w:tcPr>
            <w:tcW w:w="749" w:type="dxa"/>
            <w:tcBorders>
              <w:top w:val="nil"/>
              <w:left w:val="nil"/>
              <w:bottom w:val="nil"/>
              <w:right w:val="nil"/>
            </w:tcBorders>
            <w:shd w:val="clear" w:color="auto" w:fill="auto"/>
            <w:noWrap/>
            <w:vAlign w:val="bottom"/>
            <w:hideMark/>
          </w:tcPr>
          <w:p w14:paraId="43F859C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3.81</w:t>
            </w:r>
          </w:p>
        </w:tc>
        <w:tc>
          <w:tcPr>
            <w:tcW w:w="865" w:type="dxa"/>
            <w:tcBorders>
              <w:top w:val="nil"/>
              <w:left w:val="nil"/>
              <w:bottom w:val="nil"/>
              <w:right w:val="nil"/>
            </w:tcBorders>
            <w:shd w:val="clear" w:color="auto" w:fill="auto"/>
            <w:noWrap/>
            <w:vAlign w:val="bottom"/>
            <w:hideMark/>
          </w:tcPr>
          <w:p w14:paraId="29981DF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0.45</w:t>
            </w:r>
          </w:p>
        </w:tc>
        <w:tc>
          <w:tcPr>
            <w:tcW w:w="1418" w:type="dxa"/>
            <w:tcBorders>
              <w:top w:val="nil"/>
              <w:left w:val="nil"/>
              <w:bottom w:val="nil"/>
              <w:right w:val="nil"/>
            </w:tcBorders>
            <w:shd w:val="clear" w:color="auto" w:fill="auto"/>
            <w:noWrap/>
            <w:vAlign w:val="bottom"/>
            <w:hideMark/>
          </w:tcPr>
          <w:p w14:paraId="4BC1CF2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[0.37, 0.54]</w:t>
            </w:r>
          </w:p>
        </w:tc>
        <w:tc>
          <w:tcPr>
            <w:tcW w:w="1166" w:type="dxa"/>
            <w:tcBorders>
              <w:top w:val="nil"/>
              <w:left w:val="nil"/>
              <w:bottom w:val="nil"/>
              <w:right w:val="nil"/>
            </w:tcBorders>
            <w:shd w:val="clear" w:color="auto" w:fill="auto"/>
            <w:noWrap/>
            <w:vAlign w:val="bottom"/>
            <w:hideMark/>
          </w:tcPr>
          <w:p w14:paraId="6534661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2.39</w:t>
            </w:r>
          </w:p>
        </w:tc>
        <w:tc>
          <w:tcPr>
            <w:tcW w:w="1318" w:type="dxa"/>
            <w:tcBorders>
              <w:top w:val="nil"/>
              <w:left w:val="nil"/>
              <w:bottom w:val="nil"/>
              <w:right w:val="nil"/>
            </w:tcBorders>
            <w:shd w:val="clear" w:color="auto" w:fill="auto"/>
            <w:noWrap/>
            <w:vAlign w:val="bottom"/>
            <w:hideMark/>
          </w:tcPr>
          <w:p w14:paraId="263CEA7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[2.14, 2.64]</w:t>
            </w:r>
          </w:p>
        </w:tc>
        <w:tc>
          <w:tcPr>
            <w:tcW w:w="1219" w:type="dxa"/>
            <w:tcBorders>
              <w:top w:val="nil"/>
              <w:left w:val="nil"/>
              <w:bottom w:val="nil"/>
              <w:right w:val="nil"/>
            </w:tcBorders>
            <w:shd w:val="clear" w:color="auto" w:fill="auto"/>
            <w:noWrap/>
            <w:vAlign w:val="bottom"/>
            <w:hideMark/>
          </w:tcPr>
          <w:p w14:paraId="09FC22A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-1.93</w:t>
            </w:r>
          </w:p>
        </w:tc>
        <w:tc>
          <w:tcPr>
            <w:tcW w:w="1496" w:type="dxa"/>
            <w:tcBorders>
              <w:top w:val="nil"/>
              <w:left w:val="nil"/>
              <w:bottom w:val="nil"/>
              <w:right w:val="nil"/>
            </w:tcBorders>
            <w:shd w:val="clear" w:color="auto" w:fill="auto"/>
            <w:noWrap/>
            <w:vAlign w:val="bottom"/>
            <w:hideMark/>
          </w:tcPr>
          <w:p w14:paraId="28CA8D2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[-1.77, -2.10]</w:t>
            </w:r>
          </w:p>
        </w:tc>
        <w:tc>
          <w:tcPr>
            <w:tcW w:w="253" w:type="dxa"/>
            <w:vAlign w:val="center"/>
            <w:hideMark/>
          </w:tcPr>
          <w:p w14:paraId="7D95F040"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83D72A6" w14:textId="77777777" w:rsidTr="007027B1">
        <w:trPr>
          <w:trHeight w:val="226"/>
        </w:trPr>
        <w:tc>
          <w:tcPr>
            <w:tcW w:w="1600" w:type="dxa"/>
            <w:tcBorders>
              <w:top w:val="nil"/>
              <w:left w:val="nil"/>
              <w:bottom w:val="nil"/>
              <w:right w:val="nil"/>
            </w:tcBorders>
            <w:shd w:val="clear" w:color="auto" w:fill="auto"/>
            <w:noWrap/>
            <w:vAlign w:val="bottom"/>
            <w:hideMark/>
          </w:tcPr>
          <w:p w14:paraId="26C97FC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Mexico </w:t>
            </w:r>
          </w:p>
        </w:tc>
        <w:tc>
          <w:tcPr>
            <w:tcW w:w="749" w:type="dxa"/>
            <w:tcBorders>
              <w:top w:val="nil"/>
              <w:left w:val="nil"/>
              <w:bottom w:val="nil"/>
              <w:right w:val="nil"/>
            </w:tcBorders>
            <w:shd w:val="clear" w:color="auto" w:fill="auto"/>
            <w:noWrap/>
            <w:vAlign w:val="bottom"/>
            <w:hideMark/>
          </w:tcPr>
          <w:p w14:paraId="1B3850E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2.64</w:t>
            </w:r>
          </w:p>
        </w:tc>
        <w:tc>
          <w:tcPr>
            <w:tcW w:w="865" w:type="dxa"/>
            <w:tcBorders>
              <w:top w:val="nil"/>
              <w:left w:val="nil"/>
              <w:bottom w:val="nil"/>
              <w:right w:val="nil"/>
            </w:tcBorders>
            <w:shd w:val="clear" w:color="auto" w:fill="auto"/>
            <w:noWrap/>
            <w:vAlign w:val="bottom"/>
            <w:hideMark/>
          </w:tcPr>
          <w:p w14:paraId="5A84BD0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0.74</w:t>
            </w:r>
          </w:p>
        </w:tc>
        <w:tc>
          <w:tcPr>
            <w:tcW w:w="1418" w:type="dxa"/>
            <w:tcBorders>
              <w:top w:val="nil"/>
              <w:left w:val="nil"/>
              <w:bottom w:val="nil"/>
              <w:right w:val="nil"/>
            </w:tcBorders>
            <w:shd w:val="clear" w:color="auto" w:fill="auto"/>
            <w:noWrap/>
            <w:vAlign w:val="bottom"/>
            <w:hideMark/>
          </w:tcPr>
          <w:p w14:paraId="3154B33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[0.68, 0.80]</w:t>
            </w:r>
          </w:p>
        </w:tc>
        <w:tc>
          <w:tcPr>
            <w:tcW w:w="1166" w:type="dxa"/>
            <w:tcBorders>
              <w:top w:val="nil"/>
              <w:left w:val="nil"/>
              <w:bottom w:val="nil"/>
              <w:right w:val="nil"/>
            </w:tcBorders>
            <w:shd w:val="clear" w:color="auto" w:fill="auto"/>
            <w:noWrap/>
            <w:vAlign w:val="bottom"/>
            <w:hideMark/>
          </w:tcPr>
          <w:p w14:paraId="196B767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1.91</w:t>
            </w:r>
          </w:p>
        </w:tc>
        <w:tc>
          <w:tcPr>
            <w:tcW w:w="1318" w:type="dxa"/>
            <w:tcBorders>
              <w:top w:val="nil"/>
              <w:left w:val="nil"/>
              <w:bottom w:val="nil"/>
              <w:right w:val="nil"/>
            </w:tcBorders>
            <w:shd w:val="clear" w:color="auto" w:fill="auto"/>
            <w:noWrap/>
            <w:vAlign w:val="bottom"/>
            <w:hideMark/>
          </w:tcPr>
          <w:p w14:paraId="4AAC328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[1.75, 2.07] </w:t>
            </w:r>
          </w:p>
        </w:tc>
        <w:tc>
          <w:tcPr>
            <w:tcW w:w="1219" w:type="dxa"/>
            <w:tcBorders>
              <w:top w:val="nil"/>
              <w:left w:val="nil"/>
              <w:bottom w:val="nil"/>
              <w:right w:val="nil"/>
            </w:tcBorders>
            <w:shd w:val="clear" w:color="auto" w:fill="auto"/>
            <w:noWrap/>
            <w:vAlign w:val="bottom"/>
            <w:hideMark/>
          </w:tcPr>
          <w:p w14:paraId="4B1C597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-1.17</w:t>
            </w:r>
          </w:p>
        </w:tc>
        <w:tc>
          <w:tcPr>
            <w:tcW w:w="1496" w:type="dxa"/>
            <w:tcBorders>
              <w:top w:val="nil"/>
              <w:left w:val="nil"/>
              <w:bottom w:val="nil"/>
              <w:right w:val="nil"/>
            </w:tcBorders>
            <w:shd w:val="clear" w:color="auto" w:fill="auto"/>
            <w:noWrap/>
            <w:vAlign w:val="bottom"/>
            <w:hideMark/>
          </w:tcPr>
          <w:p w14:paraId="199FEE1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[-1.07, -1.26]</w:t>
            </w:r>
          </w:p>
        </w:tc>
        <w:tc>
          <w:tcPr>
            <w:tcW w:w="253" w:type="dxa"/>
            <w:vAlign w:val="center"/>
            <w:hideMark/>
          </w:tcPr>
          <w:p w14:paraId="277D9803"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26548B20" w14:textId="77777777" w:rsidTr="007027B1">
        <w:trPr>
          <w:trHeight w:val="226"/>
        </w:trPr>
        <w:tc>
          <w:tcPr>
            <w:tcW w:w="1600" w:type="dxa"/>
            <w:tcBorders>
              <w:top w:val="nil"/>
              <w:left w:val="nil"/>
              <w:bottom w:val="nil"/>
              <w:right w:val="nil"/>
            </w:tcBorders>
            <w:shd w:val="clear" w:color="auto" w:fill="auto"/>
            <w:noWrap/>
            <w:vAlign w:val="bottom"/>
            <w:hideMark/>
          </w:tcPr>
          <w:p w14:paraId="08640FB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India </w:t>
            </w:r>
          </w:p>
        </w:tc>
        <w:tc>
          <w:tcPr>
            <w:tcW w:w="749" w:type="dxa"/>
            <w:tcBorders>
              <w:top w:val="nil"/>
              <w:left w:val="nil"/>
              <w:bottom w:val="nil"/>
              <w:right w:val="nil"/>
            </w:tcBorders>
            <w:shd w:val="clear" w:color="auto" w:fill="auto"/>
            <w:noWrap/>
            <w:vAlign w:val="bottom"/>
            <w:hideMark/>
          </w:tcPr>
          <w:p w14:paraId="01BAB46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1.63</w:t>
            </w:r>
          </w:p>
        </w:tc>
        <w:tc>
          <w:tcPr>
            <w:tcW w:w="865" w:type="dxa"/>
            <w:tcBorders>
              <w:top w:val="nil"/>
              <w:left w:val="nil"/>
              <w:bottom w:val="nil"/>
              <w:right w:val="nil"/>
            </w:tcBorders>
            <w:shd w:val="clear" w:color="auto" w:fill="auto"/>
            <w:noWrap/>
            <w:vAlign w:val="bottom"/>
            <w:hideMark/>
          </w:tcPr>
          <w:p w14:paraId="72A852C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-0.17</w:t>
            </w:r>
          </w:p>
        </w:tc>
        <w:tc>
          <w:tcPr>
            <w:tcW w:w="1418" w:type="dxa"/>
            <w:tcBorders>
              <w:top w:val="nil"/>
              <w:left w:val="nil"/>
              <w:bottom w:val="nil"/>
              <w:right w:val="nil"/>
            </w:tcBorders>
            <w:shd w:val="clear" w:color="auto" w:fill="auto"/>
            <w:noWrap/>
            <w:vAlign w:val="bottom"/>
            <w:hideMark/>
          </w:tcPr>
          <w:p w14:paraId="3E7C50F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[-0.22, -0.1]</w:t>
            </w:r>
          </w:p>
        </w:tc>
        <w:tc>
          <w:tcPr>
            <w:tcW w:w="1166" w:type="dxa"/>
            <w:tcBorders>
              <w:top w:val="nil"/>
              <w:left w:val="nil"/>
              <w:bottom w:val="nil"/>
              <w:right w:val="nil"/>
            </w:tcBorders>
            <w:shd w:val="clear" w:color="auto" w:fill="auto"/>
            <w:noWrap/>
            <w:vAlign w:val="bottom"/>
            <w:hideMark/>
          </w:tcPr>
          <w:p w14:paraId="423B1F2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1.09</w:t>
            </w:r>
          </w:p>
        </w:tc>
        <w:tc>
          <w:tcPr>
            <w:tcW w:w="1318" w:type="dxa"/>
            <w:tcBorders>
              <w:top w:val="nil"/>
              <w:left w:val="nil"/>
              <w:bottom w:val="nil"/>
              <w:right w:val="nil"/>
            </w:tcBorders>
            <w:shd w:val="clear" w:color="auto" w:fill="auto"/>
            <w:noWrap/>
            <w:vAlign w:val="bottom"/>
            <w:hideMark/>
          </w:tcPr>
          <w:p w14:paraId="7127B61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[1.05, 1.13]</w:t>
            </w:r>
          </w:p>
        </w:tc>
        <w:tc>
          <w:tcPr>
            <w:tcW w:w="1219" w:type="dxa"/>
            <w:tcBorders>
              <w:top w:val="nil"/>
              <w:left w:val="nil"/>
              <w:bottom w:val="nil"/>
              <w:right w:val="nil"/>
            </w:tcBorders>
            <w:shd w:val="clear" w:color="auto" w:fill="auto"/>
            <w:noWrap/>
            <w:vAlign w:val="bottom"/>
            <w:hideMark/>
          </w:tcPr>
          <w:p w14:paraId="1B81B22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-1.26</w:t>
            </w:r>
          </w:p>
        </w:tc>
        <w:tc>
          <w:tcPr>
            <w:tcW w:w="1496" w:type="dxa"/>
            <w:tcBorders>
              <w:top w:val="nil"/>
              <w:left w:val="nil"/>
              <w:bottom w:val="nil"/>
              <w:right w:val="nil"/>
            </w:tcBorders>
            <w:shd w:val="clear" w:color="auto" w:fill="auto"/>
            <w:noWrap/>
            <w:vAlign w:val="bottom"/>
            <w:hideMark/>
          </w:tcPr>
          <w:p w14:paraId="599B55C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[-1.27, -1.25]</w:t>
            </w:r>
          </w:p>
        </w:tc>
        <w:tc>
          <w:tcPr>
            <w:tcW w:w="253" w:type="dxa"/>
            <w:vAlign w:val="center"/>
            <w:hideMark/>
          </w:tcPr>
          <w:p w14:paraId="3735CF0A"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BE66139" w14:textId="77777777" w:rsidTr="007027B1">
        <w:trPr>
          <w:trHeight w:val="226"/>
        </w:trPr>
        <w:tc>
          <w:tcPr>
            <w:tcW w:w="1600" w:type="dxa"/>
            <w:tcBorders>
              <w:top w:val="nil"/>
              <w:left w:val="nil"/>
              <w:bottom w:val="nil"/>
              <w:right w:val="nil"/>
            </w:tcBorders>
            <w:shd w:val="clear" w:color="auto" w:fill="auto"/>
            <w:noWrap/>
            <w:vAlign w:val="bottom"/>
            <w:hideMark/>
          </w:tcPr>
          <w:p w14:paraId="146A11F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Korea </w:t>
            </w:r>
          </w:p>
        </w:tc>
        <w:tc>
          <w:tcPr>
            <w:tcW w:w="749" w:type="dxa"/>
            <w:tcBorders>
              <w:top w:val="nil"/>
              <w:left w:val="nil"/>
              <w:bottom w:val="nil"/>
              <w:right w:val="nil"/>
            </w:tcBorders>
            <w:shd w:val="clear" w:color="auto" w:fill="auto"/>
            <w:noWrap/>
            <w:vAlign w:val="bottom"/>
            <w:hideMark/>
          </w:tcPr>
          <w:p w14:paraId="443FBAD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5.56</w:t>
            </w:r>
          </w:p>
        </w:tc>
        <w:tc>
          <w:tcPr>
            <w:tcW w:w="865" w:type="dxa"/>
            <w:tcBorders>
              <w:top w:val="nil"/>
              <w:left w:val="nil"/>
              <w:bottom w:val="nil"/>
              <w:right w:val="nil"/>
            </w:tcBorders>
            <w:shd w:val="clear" w:color="auto" w:fill="auto"/>
            <w:noWrap/>
            <w:vAlign w:val="bottom"/>
            <w:hideMark/>
          </w:tcPr>
          <w:p w14:paraId="5BEFDE5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4.39</w:t>
            </w:r>
          </w:p>
        </w:tc>
        <w:tc>
          <w:tcPr>
            <w:tcW w:w="1418" w:type="dxa"/>
            <w:tcBorders>
              <w:top w:val="nil"/>
              <w:left w:val="nil"/>
              <w:bottom w:val="nil"/>
              <w:right w:val="nil"/>
            </w:tcBorders>
            <w:shd w:val="clear" w:color="auto" w:fill="auto"/>
            <w:noWrap/>
            <w:vAlign w:val="bottom"/>
            <w:hideMark/>
          </w:tcPr>
          <w:p w14:paraId="1C3087D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[4.33, 4.46]</w:t>
            </w:r>
          </w:p>
        </w:tc>
        <w:tc>
          <w:tcPr>
            <w:tcW w:w="1166" w:type="dxa"/>
            <w:tcBorders>
              <w:top w:val="nil"/>
              <w:left w:val="nil"/>
              <w:bottom w:val="nil"/>
              <w:right w:val="nil"/>
            </w:tcBorders>
            <w:shd w:val="clear" w:color="auto" w:fill="auto"/>
            <w:noWrap/>
            <w:vAlign w:val="bottom"/>
            <w:hideMark/>
          </w:tcPr>
          <w:p w14:paraId="0CD828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4.74</w:t>
            </w:r>
          </w:p>
        </w:tc>
        <w:tc>
          <w:tcPr>
            <w:tcW w:w="1318" w:type="dxa"/>
            <w:tcBorders>
              <w:top w:val="nil"/>
              <w:left w:val="nil"/>
              <w:bottom w:val="nil"/>
              <w:right w:val="nil"/>
            </w:tcBorders>
            <w:shd w:val="clear" w:color="auto" w:fill="auto"/>
            <w:noWrap/>
            <w:vAlign w:val="bottom"/>
            <w:hideMark/>
          </w:tcPr>
          <w:p w14:paraId="5B9E8D4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[4.57, 4.93]</w:t>
            </w:r>
          </w:p>
        </w:tc>
        <w:tc>
          <w:tcPr>
            <w:tcW w:w="1219" w:type="dxa"/>
            <w:tcBorders>
              <w:top w:val="nil"/>
              <w:left w:val="nil"/>
              <w:bottom w:val="nil"/>
              <w:right w:val="nil"/>
            </w:tcBorders>
            <w:shd w:val="clear" w:color="auto" w:fill="auto"/>
            <w:noWrap/>
            <w:vAlign w:val="bottom"/>
            <w:hideMark/>
          </w:tcPr>
          <w:p w14:paraId="6C9EE1B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-0.35</w:t>
            </w:r>
          </w:p>
        </w:tc>
        <w:tc>
          <w:tcPr>
            <w:tcW w:w="1496" w:type="dxa"/>
            <w:tcBorders>
              <w:top w:val="nil"/>
              <w:left w:val="nil"/>
              <w:bottom w:val="nil"/>
              <w:right w:val="nil"/>
            </w:tcBorders>
            <w:shd w:val="clear" w:color="auto" w:fill="auto"/>
            <w:noWrap/>
            <w:vAlign w:val="bottom"/>
            <w:hideMark/>
          </w:tcPr>
          <w:p w14:paraId="26460C2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[-0.24, -0.46]</w:t>
            </w:r>
          </w:p>
        </w:tc>
        <w:tc>
          <w:tcPr>
            <w:tcW w:w="253" w:type="dxa"/>
            <w:vAlign w:val="center"/>
            <w:hideMark/>
          </w:tcPr>
          <w:p w14:paraId="684D6346"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FC510B0" w14:textId="77777777" w:rsidTr="007027B1">
        <w:trPr>
          <w:trHeight w:val="226"/>
        </w:trPr>
        <w:tc>
          <w:tcPr>
            <w:tcW w:w="1600" w:type="dxa"/>
            <w:tcBorders>
              <w:top w:val="nil"/>
              <w:left w:val="nil"/>
              <w:bottom w:val="nil"/>
              <w:right w:val="nil"/>
            </w:tcBorders>
            <w:shd w:val="clear" w:color="auto" w:fill="auto"/>
            <w:noWrap/>
            <w:vAlign w:val="bottom"/>
            <w:hideMark/>
          </w:tcPr>
          <w:p w14:paraId="502CBE0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England </w:t>
            </w:r>
          </w:p>
        </w:tc>
        <w:tc>
          <w:tcPr>
            <w:tcW w:w="749" w:type="dxa"/>
            <w:tcBorders>
              <w:top w:val="nil"/>
              <w:left w:val="nil"/>
              <w:bottom w:val="nil"/>
              <w:right w:val="nil"/>
            </w:tcBorders>
            <w:shd w:val="clear" w:color="auto" w:fill="auto"/>
            <w:noWrap/>
            <w:vAlign w:val="bottom"/>
            <w:hideMark/>
          </w:tcPr>
          <w:p w14:paraId="5F82987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2.68</w:t>
            </w:r>
          </w:p>
        </w:tc>
        <w:tc>
          <w:tcPr>
            <w:tcW w:w="865" w:type="dxa"/>
            <w:tcBorders>
              <w:top w:val="nil"/>
              <w:left w:val="nil"/>
              <w:bottom w:val="nil"/>
              <w:right w:val="nil"/>
            </w:tcBorders>
            <w:shd w:val="clear" w:color="auto" w:fill="auto"/>
            <w:noWrap/>
            <w:vAlign w:val="bottom"/>
            <w:hideMark/>
          </w:tcPr>
          <w:p w14:paraId="301FCE1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1.58</w:t>
            </w:r>
          </w:p>
        </w:tc>
        <w:tc>
          <w:tcPr>
            <w:tcW w:w="1418" w:type="dxa"/>
            <w:tcBorders>
              <w:top w:val="nil"/>
              <w:left w:val="nil"/>
              <w:bottom w:val="nil"/>
              <w:right w:val="nil"/>
            </w:tcBorders>
            <w:shd w:val="clear" w:color="auto" w:fill="auto"/>
            <w:noWrap/>
            <w:vAlign w:val="bottom"/>
            <w:hideMark/>
          </w:tcPr>
          <w:p w14:paraId="4F333A4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[1.57, 1.60]</w:t>
            </w:r>
          </w:p>
        </w:tc>
        <w:tc>
          <w:tcPr>
            <w:tcW w:w="1166" w:type="dxa"/>
            <w:tcBorders>
              <w:top w:val="nil"/>
              <w:left w:val="nil"/>
              <w:bottom w:val="nil"/>
              <w:right w:val="nil"/>
            </w:tcBorders>
            <w:shd w:val="clear" w:color="auto" w:fill="auto"/>
            <w:noWrap/>
            <w:vAlign w:val="bottom"/>
            <w:hideMark/>
          </w:tcPr>
          <w:p w14:paraId="7B4F866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1.86</w:t>
            </w:r>
          </w:p>
        </w:tc>
        <w:tc>
          <w:tcPr>
            <w:tcW w:w="1318" w:type="dxa"/>
            <w:tcBorders>
              <w:top w:val="nil"/>
              <w:left w:val="nil"/>
              <w:bottom w:val="nil"/>
              <w:right w:val="nil"/>
            </w:tcBorders>
            <w:shd w:val="clear" w:color="auto" w:fill="auto"/>
            <w:noWrap/>
            <w:vAlign w:val="bottom"/>
            <w:hideMark/>
          </w:tcPr>
          <w:p w14:paraId="34E47B6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[1.75, 1.96]</w:t>
            </w:r>
          </w:p>
        </w:tc>
        <w:tc>
          <w:tcPr>
            <w:tcW w:w="1219" w:type="dxa"/>
            <w:tcBorders>
              <w:top w:val="nil"/>
              <w:left w:val="nil"/>
              <w:bottom w:val="nil"/>
              <w:right w:val="nil"/>
            </w:tcBorders>
            <w:shd w:val="clear" w:color="auto" w:fill="auto"/>
            <w:noWrap/>
            <w:vAlign w:val="bottom"/>
            <w:hideMark/>
          </w:tcPr>
          <w:p w14:paraId="3C600C9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-0.28</w:t>
            </w:r>
          </w:p>
        </w:tc>
        <w:tc>
          <w:tcPr>
            <w:tcW w:w="1496" w:type="dxa"/>
            <w:tcBorders>
              <w:top w:val="nil"/>
              <w:left w:val="nil"/>
              <w:bottom w:val="nil"/>
              <w:right w:val="nil"/>
            </w:tcBorders>
            <w:shd w:val="clear" w:color="auto" w:fill="auto"/>
            <w:noWrap/>
            <w:vAlign w:val="bottom"/>
            <w:hideMark/>
          </w:tcPr>
          <w:p w14:paraId="4BCFF0B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[-0.19, -0.37]</w:t>
            </w:r>
          </w:p>
        </w:tc>
        <w:tc>
          <w:tcPr>
            <w:tcW w:w="253" w:type="dxa"/>
            <w:vAlign w:val="center"/>
            <w:hideMark/>
          </w:tcPr>
          <w:p w14:paraId="0351AF77"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7B69F16" w14:textId="77777777" w:rsidTr="007027B1">
        <w:trPr>
          <w:trHeight w:val="226"/>
        </w:trPr>
        <w:tc>
          <w:tcPr>
            <w:tcW w:w="1600" w:type="dxa"/>
            <w:tcBorders>
              <w:top w:val="nil"/>
              <w:left w:val="nil"/>
              <w:bottom w:val="nil"/>
              <w:right w:val="nil"/>
            </w:tcBorders>
            <w:shd w:val="clear" w:color="auto" w:fill="auto"/>
            <w:vAlign w:val="bottom"/>
            <w:hideMark/>
          </w:tcPr>
          <w:p w14:paraId="761E337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Europe </w:t>
            </w:r>
          </w:p>
        </w:tc>
        <w:tc>
          <w:tcPr>
            <w:tcW w:w="749" w:type="dxa"/>
            <w:tcBorders>
              <w:top w:val="nil"/>
              <w:left w:val="nil"/>
              <w:bottom w:val="nil"/>
              <w:right w:val="nil"/>
            </w:tcBorders>
            <w:shd w:val="clear" w:color="auto" w:fill="auto"/>
            <w:noWrap/>
            <w:vAlign w:val="bottom"/>
            <w:hideMark/>
          </w:tcPr>
          <w:p w14:paraId="7FA8380F" w14:textId="77777777" w:rsidR="00F839D1" w:rsidRPr="00F839D1" w:rsidRDefault="00F839D1" w:rsidP="00F839D1">
            <w:pPr>
              <w:spacing w:after="0"/>
              <w:rPr>
                <w:rFonts w:ascii="Arial" w:eastAsia="Times New Roman" w:hAnsi="Arial" w:cs="Arial"/>
                <w:color w:val="000000"/>
              </w:rPr>
            </w:pPr>
          </w:p>
        </w:tc>
        <w:tc>
          <w:tcPr>
            <w:tcW w:w="865" w:type="dxa"/>
            <w:tcBorders>
              <w:top w:val="nil"/>
              <w:left w:val="nil"/>
              <w:bottom w:val="nil"/>
              <w:right w:val="nil"/>
            </w:tcBorders>
            <w:shd w:val="clear" w:color="auto" w:fill="auto"/>
            <w:noWrap/>
            <w:vAlign w:val="bottom"/>
            <w:hideMark/>
          </w:tcPr>
          <w:p w14:paraId="737B98B3"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418" w:type="dxa"/>
            <w:tcBorders>
              <w:top w:val="nil"/>
              <w:left w:val="nil"/>
              <w:bottom w:val="nil"/>
              <w:right w:val="nil"/>
            </w:tcBorders>
            <w:shd w:val="clear" w:color="auto" w:fill="auto"/>
            <w:noWrap/>
            <w:vAlign w:val="bottom"/>
            <w:hideMark/>
          </w:tcPr>
          <w:p w14:paraId="679DF19A"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314A9469"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318" w:type="dxa"/>
            <w:tcBorders>
              <w:top w:val="nil"/>
              <w:left w:val="nil"/>
              <w:bottom w:val="nil"/>
              <w:right w:val="nil"/>
            </w:tcBorders>
            <w:shd w:val="clear" w:color="auto" w:fill="auto"/>
            <w:noWrap/>
            <w:vAlign w:val="bottom"/>
            <w:hideMark/>
          </w:tcPr>
          <w:p w14:paraId="152C5677"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60FDD04C"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042CCEE0"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253" w:type="dxa"/>
            <w:vAlign w:val="center"/>
            <w:hideMark/>
          </w:tcPr>
          <w:p w14:paraId="460923F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9E86670" w14:textId="77777777" w:rsidTr="007027B1">
        <w:trPr>
          <w:trHeight w:val="235"/>
        </w:trPr>
        <w:tc>
          <w:tcPr>
            <w:tcW w:w="1600" w:type="dxa"/>
            <w:tcBorders>
              <w:top w:val="nil"/>
              <w:left w:val="nil"/>
              <w:bottom w:val="nil"/>
              <w:right w:val="nil"/>
            </w:tcBorders>
            <w:shd w:val="clear" w:color="auto" w:fill="auto"/>
            <w:noWrap/>
            <w:vAlign w:val="bottom"/>
            <w:hideMark/>
          </w:tcPr>
          <w:p w14:paraId="64020AB2"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 xml:space="preserve"> (</w:t>
            </w:r>
            <w:r w:rsidRPr="00F839D1">
              <w:rPr>
                <w:rFonts w:ascii="Arial" w:eastAsia="Times New Roman" w:hAnsi="Arial" w:cs="Arial"/>
                <w:i/>
                <w:iCs/>
                <w:color w:val="000000"/>
              </w:rPr>
              <w:t>Pooled</w:t>
            </w:r>
            <w:r w:rsidRPr="00F839D1">
              <w:rPr>
                <w:rFonts w:ascii="Arial" w:eastAsia="Times New Roman" w:hAnsi="Arial" w:cs="Arial"/>
                <w:color w:val="000000"/>
              </w:rPr>
              <w:t>)</w:t>
            </w:r>
          </w:p>
        </w:tc>
        <w:tc>
          <w:tcPr>
            <w:tcW w:w="749" w:type="dxa"/>
            <w:tcBorders>
              <w:top w:val="nil"/>
              <w:left w:val="nil"/>
              <w:bottom w:val="nil"/>
              <w:right w:val="nil"/>
            </w:tcBorders>
            <w:shd w:val="clear" w:color="auto" w:fill="auto"/>
            <w:noWrap/>
            <w:vAlign w:val="bottom"/>
            <w:hideMark/>
          </w:tcPr>
          <w:p w14:paraId="3D614A9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4.15</w:t>
            </w:r>
          </w:p>
        </w:tc>
        <w:tc>
          <w:tcPr>
            <w:tcW w:w="865" w:type="dxa"/>
            <w:tcBorders>
              <w:top w:val="nil"/>
              <w:left w:val="nil"/>
              <w:bottom w:val="nil"/>
              <w:right w:val="nil"/>
            </w:tcBorders>
            <w:shd w:val="clear" w:color="auto" w:fill="auto"/>
            <w:noWrap/>
            <w:vAlign w:val="bottom"/>
            <w:hideMark/>
          </w:tcPr>
          <w:p w14:paraId="587793B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2.45</w:t>
            </w:r>
          </w:p>
        </w:tc>
        <w:tc>
          <w:tcPr>
            <w:tcW w:w="1418" w:type="dxa"/>
            <w:tcBorders>
              <w:top w:val="nil"/>
              <w:left w:val="nil"/>
              <w:bottom w:val="nil"/>
              <w:right w:val="nil"/>
            </w:tcBorders>
            <w:shd w:val="clear" w:color="auto" w:fill="auto"/>
            <w:noWrap/>
            <w:vAlign w:val="bottom"/>
            <w:hideMark/>
          </w:tcPr>
          <w:p w14:paraId="7E69CB6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[2.39, 2.50]</w:t>
            </w:r>
          </w:p>
        </w:tc>
        <w:tc>
          <w:tcPr>
            <w:tcW w:w="1166" w:type="dxa"/>
            <w:tcBorders>
              <w:top w:val="nil"/>
              <w:left w:val="nil"/>
              <w:bottom w:val="nil"/>
              <w:right w:val="nil"/>
            </w:tcBorders>
            <w:shd w:val="clear" w:color="auto" w:fill="auto"/>
            <w:noWrap/>
            <w:vAlign w:val="bottom"/>
            <w:hideMark/>
          </w:tcPr>
          <w:p w14:paraId="3BAD5A6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3.09</w:t>
            </w:r>
          </w:p>
        </w:tc>
        <w:tc>
          <w:tcPr>
            <w:tcW w:w="1318" w:type="dxa"/>
            <w:tcBorders>
              <w:top w:val="nil"/>
              <w:left w:val="nil"/>
              <w:bottom w:val="nil"/>
              <w:right w:val="nil"/>
            </w:tcBorders>
            <w:shd w:val="clear" w:color="auto" w:fill="auto"/>
            <w:noWrap/>
            <w:vAlign w:val="bottom"/>
            <w:hideMark/>
          </w:tcPr>
          <w:p w14:paraId="04710FF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[3.00, 3.17]</w:t>
            </w:r>
          </w:p>
        </w:tc>
        <w:tc>
          <w:tcPr>
            <w:tcW w:w="1219" w:type="dxa"/>
            <w:tcBorders>
              <w:top w:val="nil"/>
              <w:left w:val="nil"/>
              <w:bottom w:val="nil"/>
              <w:right w:val="nil"/>
            </w:tcBorders>
            <w:shd w:val="clear" w:color="auto" w:fill="auto"/>
            <w:noWrap/>
            <w:vAlign w:val="bottom"/>
            <w:hideMark/>
          </w:tcPr>
          <w:p w14:paraId="007EFAB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-0.64</w:t>
            </w:r>
          </w:p>
        </w:tc>
        <w:tc>
          <w:tcPr>
            <w:tcW w:w="1496" w:type="dxa"/>
            <w:tcBorders>
              <w:top w:val="nil"/>
              <w:left w:val="nil"/>
              <w:bottom w:val="nil"/>
              <w:right w:val="nil"/>
            </w:tcBorders>
            <w:shd w:val="clear" w:color="auto" w:fill="auto"/>
            <w:noWrap/>
            <w:vAlign w:val="bottom"/>
            <w:hideMark/>
          </w:tcPr>
          <w:p w14:paraId="2265BD0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[-0.60, -0.67]</w:t>
            </w:r>
          </w:p>
        </w:tc>
        <w:tc>
          <w:tcPr>
            <w:tcW w:w="253" w:type="dxa"/>
            <w:vAlign w:val="center"/>
            <w:hideMark/>
          </w:tcPr>
          <w:p w14:paraId="3410F734"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E37A5AC" w14:textId="77777777" w:rsidTr="007027B1">
        <w:trPr>
          <w:trHeight w:val="226"/>
        </w:trPr>
        <w:tc>
          <w:tcPr>
            <w:tcW w:w="1600" w:type="dxa"/>
            <w:tcBorders>
              <w:top w:val="nil"/>
              <w:left w:val="nil"/>
              <w:bottom w:val="nil"/>
              <w:right w:val="nil"/>
            </w:tcBorders>
            <w:shd w:val="clear" w:color="auto" w:fill="auto"/>
            <w:noWrap/>
            <w:vAlign w:val="bottom"/>
            <w:hideMark/>
          </w:tcPr>
          <w:p w14:paraId="33AE9F08"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Austria</w:t>
            </w:r>
          </w:p>
        </w:tc>
        <w:tc>
          <w:tcPr>
            <w:tcW w:w="749" w:type="dxa"/>
            <w:tcBorders>
              <w:top w:val="nil"/>
              <w:left w:val="nil"/>
              <w:bottom w:val="nil"/>
              <w:right w:val="nil"/>
            </w:tcBorders>
            <w:shd w:val="clear" w:color="auto" w:fill="auto"/>
            <w:noWrap/>
            <w:vAlign w:val="bottom"/>
            <w:hideMark/>
          </w:tcPr>
          <w:p w14:paraId="4D17CAE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3.70</w:t>
            </w:r>
          </w:p>
        </w:tc>
        <w:tc>
          <w:tcPr>
            <w:tcW w:w="865" w:type="dxa"/>
            <w:tcBorders>
              <w:top w:val="nil"/>
              <w:left w:val="nil"/>
              <w:bottom w:val="nil"/>
              <w:right w:val="nil"/>
            </w:tcBorders>
            <w:shd w:val="clear" w:color="auto" w:fill="auto"/>
            <w:noWrap/>
            <w:vAlign w:val="bottom"/>
            <w:hideMark/>
          </w:tcPr>
          <w:p w14:paraId="24D03C6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2.09</w:t>
            </w:r>
          </w:p>
        </w:tc>
        <w:tc>
          <w:tcPr>
            <w:tcW w:w="1418" w:type="dxa"/>
            <w:tcBorders>
              <w:top w:val="nil"/>
              <w:left w:val="nil"/>
              <w:bottom w:val="nil"/>
              <w:right w:val="nil"/>
            </w:tcBorders>
            <w:shd w:val="clear" w:color="auto" w:fill="auto"/>
            <w:noWrap/>
            <w:vAlign w:val="bottom"/>
            <w:hideMark/>
          </w:tcPr>
          <w:p w14:paraId="63A9FED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[2.04, 2.14]</w:t>
            </w:r>
          </w:p>
        </w:tc>
        <w:tc>
          <w:tcPr>
            <w:tcW w:w="1166" w:type="dxa"/>
            <w:tcBorders>
              <w:top w:val="nil"/>
              <w:left w:val="nil"/>
              <w:bottom w:val="nil"/>
              <w:right w:val="nil"/>
            </w:tcBorders>
            <w:shd w:val="clear" w:color="auto" w:fill="auto"/>
            <w:noWrap/>
            <w:vAlign w:val="bottom"/>
            <w:hideMark/>
          </w:tcPr>
          <w:p w14:paraId="0BA2DD5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2.72</w:t>
            </w:r>
          </w:p>
        </w:tc>
        <w:tc>
          <w:tcPr>
            <w:tcW w:w="1318" w:type="dxa"/>
            <w:tcBorders>
              <w:top w:val="nil"/>
              <w:left w:val="nil"/>
              <w:bottom w:val="nil"/>
              <w:right w:val="nil"/>
            </w:tcBorders>
            <w:shd w:val="clear" w:color="auto" w:fill="auto"/>
            <w:noWrap/>
            <w:vAlign w:val="bottom"/>
            <w:hideMark/>
          </w:tcPr>
          <w:p w14:paraId="02114A6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[2.52, 2.93]</w:t>
            </w:r>
          </w:p>
        </w:tc>
        <w:tc>
          <w:tcPr>
            <w:tcW w:w="1219" w:type="dxa"/>
            <w:tcBorders>
              <w:top w:val="nil"/>
              <w:left w:val="nil"/>
              <w:bottom w:val="nil"/>
              <w:right w:val="nil"/>
            </w:tcBorders>
            <w:shd w:val="clear" w:color="auto" w:fill="auto"/>
            <w:noWrap/>
            <w:vAlign w:val="bottom"/>
            <w:hideMark/>
          </w:tcPr>
          <w:p w14:paraId="6C5F894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-0.63</w:t>
            </w:r>
          </w:p>
        </w:tc>
        <w:tc>
          <w:tcPr>
            <w:tcW w:w="1496" w:type="dxa"/>
            <w:tcBorders>
              <w:top w:val="nil"/>
              <w:left w:val="nil"/>
              <w:bottom w:val="nil"/>
              <w:right w:val="nil"/>
            </w:tcBorders>
            <w:shd w:val="clear" w:color="auto" w:fill="auto"/>
            <w:noWrap/>
            <w:vAlign w:val="bottom"/>
            <w:hideMark/>
          </w:tcPr>
          <w:p w14:paraId="2821AC4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[-0.48, -0.79]</w:t>
            </w:r>
          </w:p>
        </w:tc>
        <w:tc>
          <w:tcPr>
            <w:tcW w:w="253" w:type="dxa"/>
            <w:vAlign w:val="center"/>
            <w:hideMark/>
          </w:tcPr>
          <w:p w14:paraId="2EDA0D29"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42D729F" w14:textId="77777777" w:rsidTr="007027B1">
        <w:trPr>
          <w:trHeight w:val="226"/>
        </w:trPr>
        <w:tc>
          <w:tcPr>
            <w:tcW w:w="1600" w:type="dxa"/>
            <w:tcBorders>
              <w:top w:val="nil"/>
              <w:left w:val="nil"/>
              <w:bottom w:val="nil"/>
              <w:right w:val="nil"/>
            </w:tcBorders>
            <w:shd w:val="clear" w:color="auto" w:fill="auto"/>
            <w:noWrap/>
            <w:vAlign w:val="bottom"/>
            <w:hideMark/>
          </w:tcPr>
          <w:p w14:paraId="37DBB823"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Belgium</w:t>
            </w:r>
          </w:p>
        </w:tc>
        <w:tc>
          <w:tcPr>
            <w:tcW w:w="749" w:type="dxa"/>
            <w:tcBorders>
              <w:top w:val="nil"/>
              <w:left w:val="nil"/>
              <w:bottom w:val="nil"/>
              <w:right w:val="nil"/>
            </w:tcBorders>
            <w:shd w:val="clear" w:color="auto" w:fill="auto"/>
            <w:noWrap/>
            <w:vAlign w:val="bottom"/>
            <w:hideMark/>
          </w:tcPr>
          <w:p w14:paraId="0333EBE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3.53</w:t>
            </w:r>
          </w:p>
        </w:tc>
        <w:tc>
          <w:tcPr>
            <w:tcW w:w="865" w:type="dxa"/>
            <w:tcBorders>
              <w:top w:val="nil"/>
              <w:left w:val="nil"/>
              <w:bottom w:val="nil"/>
              <w:right w:val="nil"/>
            </w:tcBorders>
            <w:shd w:val="clear" w:color="auto" w:fill="auto"/>
            <w:noWrap/>
            <w:vAlign w:val="bottom"/>
            <w:hideMark/>
          </w:tcPr>
          <w:p w14:paraId="79EE114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1.12</w:t>
            </w:r>
          </w:p>
        </w:tc>
        <w:tc>
          <w:tcPr>
            <w:tcW w:w="1418" w:type="dxa"/>
            <w:tcBorders>
              <w:top w:val="nil"/>
              <w:left w:val="nil"/>
              <w:bottom w:val="nil"/>
              <w:right w:val="nil"/>
            </w:tcBorders>
            <w:shd w:val="clear" w:color="auto" w:fill="auto"/>
            <w:noWrap/>
            <w:vAlign w:val="bottom"/>
            <w:hideMark/>
          </w:tcPr>
          <w:p w14:paraId="3D199D2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[1.06, 1.17]</w:t>
            </w:r>
          </w:p>
        </w:tc>
        <w:tc>
          <w:tcPr>
            <w:tcW w:w="1166" w:type="dxa"/>
            <w:tcBorders>
              <w:top w:val="nil"/>
              <w:left w:val="nil"/>
              <w:bottom w:val="nil"/>
              <w:right w:val="nil"/>
            </w:tcBorders>
            <w:shd w:val="clear" w:color="auto" w:fill="auto"/>
            <w:noWrap/>
            <w:vAlign w:val="bottom"/>
            <w:hideMark/>
          </w:tcPr>
          <w:p w14:paraId="1AAE88C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2.46</w:t>
            </w:r>
          </w:p>
        </w:tc>
        <w:tc>
          <w:tcPr>
            <w:tcW w:w="1318" w:type="dxa"/>
            <w:tcBorders>
              <w:top w:val="nil"/>
              <w:left w:val="nil"/>
              <w:bottom w:val="nil"/>
              <w:right w:val="nil"/>
            </w:tcBorders>
            <w:shd w:val="clear" w:color="auto" w:fill="auto"/>
            <w:noWrap/>
            <w:vAlign w:val="bottom"/>
            <w:hideMark/>
          </w:tcPr>
          <w:p w14:paraId="34C3240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[2.30, 2.62]</w:t>
            </w:r>
          </w:p>
        </w:tc>
        <w:tc>
          <w:tcPr>
            <w:tcW w:w="1219" w:type="dxa"/>
            <w:tcBorders>
              <w:top w:val="nil"/>
              <w:left w:val="nil"/>
              <w:bottom w:val="nil"/>
              <w:right w:val="nil"/>
            </w:tcBorders>
            <w:shd w:val="clear" w:color="auto" w:fill="auto"/>
            <w:noWrap/>
            <w:vAlign w:val="bottom"/>
            <w:hideMark/>
          </w:tcPr>
          <w:p w14:paraId="3D4AB8B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-1.34</w:t>
            </w:r>
          </w:p>
        </w:tc>
        <w:tc>
          <w:tcPr>
            <w:tcW w:w="1496" w:type="dxa"/>
            <w:tcBorders>
              <w:top w:val="nil"/>
              <w:left w:val="nil"/>
              <w:bottom w:val="nil"/>
              <w:right w:val="nil"/>
            </w:tcBorders>
            <w:shd w:val="clear" w:color="auto" w:fill="auto"/>
            <w:noWrap/>
            <w:vAlign w:val="bottom"/>
            <w:hideMark/>
          </w:tcPr>
          <w:p w14:paraId="769C8AC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[-1.24, -1.45]</w:t>
            </w:r>
          </w:p>
        </w:tc>
        <w:tc>
          <w:tcPr>
            <w:tcW w:w="253" w:type="dxa"/>
            <w:vAlign w:val="center"/>
            <w:hideMark/>
          </w:tcPr>
          <w:p w14:paraId="6E85201A"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AEB94BA" w14:textId="77777777" w:rsidTr="007027B1">
        <w:trPr>
          <w:trHeight w:val="226"/>
        </w:trPr>
        <w:tc>
          <w:tcPr>
            <w:tcW w:w="1600" w:type="dxa"/>
            <w:tcBorders>
              <w:top w:val="nil"/>
              <w:left w:val="nil"/>
              <w:bottom w:val="nil"/>
              <w:right w:val="nil"/>
            </w:tcBorders>
            <w:shd w:val="clear" w:color="auto" w:fill="auto"/>
            <w:noWrap/>
            <w:vAlign w:val="bottom"/>
            <w:hideMark/>
          </w:tcPr>
          <w:p w14:paraId="5E92E3E6"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lastRenderedPageBreak/>
              <w:t>Croatia</w:t>
            </w:r>
          </w:p>
        </w:tc>
        <w:tc>
          <w:tcPr>
            <w:tcW w:w="749" w:type="dxa"/>
            <w:tcBorders>
              <w:top w:val="nil"/>
              <w:left w:val="nil"/>
              <w:bottom w:val="nil"/>
              <w:right w:val="nil"/>
            </w:tcBorders>
            <w:shd w:val="clear" w:color="auto" w:fill="auto"/>
            <w:noWrap/>
            <w:vAlign w:val="bottom"/>
            <w:hideMark/>
          </w:tcPr>
          <w:p w14:paraId="443DD9D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4.28</w:t>
            </w:r>
          </w:p>
        </w:tc>
        <w:tc>
          <w:tcPr>
            <w:tcW w:w="865" w:type="dxa"/>
            <w:tcBorders>
              <w:top w:val="nil"/>
              <w:left w:val="nil"/>
              <w:bottom w:val="nil"/>
              <w:right w:val="nil"/>
            </w:tcBorders>
            <w:shd w:val="clear" w:color="auto" w:fill="auto"/>
            <w:noWrap/>
            <w:vAlign w:val="bottom"/>
            <w:hideMark/>
          </w:tcPr>
          <w:p w14:paraId="13DB5E3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2.12</w:t>
            </w:r>
          </w:p>
        </w:tc>
        <w:tc>
          <w:tcPr>
            <w:tcW w:w="1418" w:type="dxa"/>
            <w:tcBorders>
              <w:top w:val="nil"/>
              <w:left w:val="nil"/>
              <w:bottom w:val="nil"/>
              <w:right w:val="nil"/>
            </w:tcBorders>
            <w:shd w:val="clear" w:color="auto" w:fill="auto"/>
            <w:noWrap/>
            <w:vAlign w:val="bottom"/>
            <w:hideMark/>
          </w:tcPr>
          <w:p w14:paraId="61BAD5B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[1.62, 2.63]</w:t>
            </w:r>
          </w:p>
        </w:tc>
        <w:tc>
          <w:tcPr>
            <w:tcW w:w="1166" w:type="dxa"/>
            <w:tcBorders>
              <w:top w:val="nil"/>
              <w:left w:val="nil"/>
              <w:bottom w:val="nil"/>
              <w:right w:val="nil"/>
            </w:tcBorders>
            <w:shd w:val="clear" w:color="auto" w:fill="auto"/>
            <w:noWrap/>
            <w:vAlign w:val="bottom"/>
            <w:hideMark/>
          </w:tcPr>
          <w:p w14:paraId="57A50CD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3.30</w:t>
            </w:r>
          </w:p>
        </w:tc>
        <w:tc>
          <w:tcPr>
            <w:tcW w:w="1318" w:type="dxa"/>
            <w:tcBorders>
              <w:top w:val="nil"/>
              <w:left w:val="nil"/>
              <w:bottom w:val="nil"/>
              <w:right w:val="nil"/>
            </w:tcBorders>
            <w:shd w:val="clear" w:color="auto" w:fill="auto"/>
            <w:noWrap/>
            <w:vAlign w:val="bottom"/>
            <w:hideMark/>
          </w:tcPr>
          <w:p w14:paraId="71E9912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[2.98, 3.62]</w:t>
            </w:r>
          </w:p>
        </w:tc>
        <w:tc>
          <w:tcPr>
            <w:tcW w:w="1219" w:type="dxa"/>
            <w:tcBorders>
              <w:top w:val="nil"/>
              <w:left w:val="nil"/>
              <w:bottom w:val="nil"/>
              <w:right w:val="nil"/>
            </w:tcBorders>
            <w:shd w:val="clear" w:color="auto" w:fill="auto"/>
            <w:noWrap/>
            <w:vAlign w:val="bottom"/>
            <w:hideMark/>
          </w:tcPr>
          <w:p w14:paraId="28718B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-1.18</w:t>
            </w:r>
          </w:p>
        </w:tc>
        <w:tc>
          <w:tcPr>
            <w:tcW w:w="1496" w:type="dxa"/>
            <w:tcBorders>
              <w:top w:val="nil"/>
              <w:left w:val="nil"/>
              <w:bottom w:val="nil"/>
              <w:right w:val="nil"/>
            </w:tcBorders>
            <w:shd w:val="clear" w:color="auto" w:fill="auto"/>
            <w:noWrap/>
            <w:vAlign w:val="bottom"/>
            <w:hideMark/>
          </w:tcPr>
          <w:p w14:paraId="27098E2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[-1.36, -0.99]</w:t>
            </w:r>
          </w:p>
        </w:tc>
        <w:tc>
          <w:tcPr>
            <w:tcW w:w="253" w:type="dxa"/>
            <w:vAlign w:val="center"/>
            <w:hideMark/>
          </w:tcPr>
          <w:p w14:paraId="34A00BA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C947B4D" w14:textId="77777777" w:rsidTr="007027B1">
        <w:trPr>
          <w:trHeight w:val="226"/>
        </w:trPr>
        <w:tc>
          <w:tcPr>
            <w:tcW w:w="1600" w:type="dxa"/>
            <w:tcBorders>
              <w:top w:val="nil"/>
              <w:left w:val="nil"/>
              <w:bottom w:val="nil"/>
              <w:right w:val="nil"/>
            </w:tcBorders>
            <w:shd w:val="clear" w:color="auto" w:fill="auto"/>
            <w:noWrap/>
            <w:vAlign w:val="bottom"/>
            <w:hideMark/>
          </w:tcPr>
          <w:p w14:paraId="3AB590F7"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Czechia</w:t>
            </w:r>
          </w:p>
        </w:tc>
        <w:tc>
          <w:tcPr>
            <w:tcW w:w="749" w:type="dxa"/>
            <w:tcBorders>
              <w:top w:val="nil"/>
              <w:left w:val="nil"/>
              <w:bottom w:val="nil"/>
              <w:right w:val="nil"/>
            </w:tcBorders>
            <w:shd w:val="clear" w:color="auto" w:fill="auto"/>
            <w:noWrap/>
            <w:vAlign w:val="center"/>
            <w:hideMark/>
          </w:tcPr>
          <w:p w14:paraId="6287350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4.17</w:t>
            </w:r>
          </w:p>
        </w:tc>
        <w:tc>
          <w:tcPr>
            <w:tcW w:w="865" w:type="dxa"/>
            <w:tcBorders>
              <w:top w:val="nil"/>
              <w:left w:val="nil"/>
              <w:bottom w:val="nil"/>
              <w:right w:val="nil"/>
            </w:tcBorders>
            <w:shd w:val="clear" w:color="auto" w:fill="auto"/>
            <w:noWrap/>
            <w:vAlign w:val="center"/>
            <w:hideMark/>
          </w:tcPr>
          <w:p w14:paraId="780B7EC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2.74</w:t>
            </w:r>
          </w:p>
        </w:tc>
        <w:tc>
          <w:tcPr>
            <w:tcW w:w="1418" w:type="dxa"/>
            <w:tcBorders>
              <w:top w:val="nil"/>
              <w:left w:val="nil"/>
              <w:bottom w:val="nil"/>
              <w:right w:val="nil"/>
            </w:tcBorders>
            <w:shd w:val="clear" w:color="auto" w:fill="auto"/>
            <w:noWrap/>
            <w:vAlign w:val="bottom"/>
            <w:hideMark/>
          </w:tcPr>
          <w:p w14:paraId="6C0B7B9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[2.63, 2.85]</w:t>
            </w:r>
          </w:p>
        </w:tc>
        <w:tc>
          <w:tcPr>
            <w:tcW w:w="1166" w:type="dxa"/>
            <w:tcBorders>
              <w:top w:val="nil"/>
              <w:left w:val="nil"/>
              <w:bottom w:val="nil"/>
              <w:right w:val="nil"/>
            </w:tcBorders>
            <w:shd w:val="clear" w:color="auto" w:fill="auto"/>
            <w:noWrap/>
            <w:vAlign w:val="center"/>
            <w:hideMark/>
          </w:tcPr>
          <w:p w14:paraId="0F9083C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3.18</w:t>
            </w:r>
          </w:p>
        </w:tc>
        <w:tc>
          <w:tcPr>
            <w:tcW w:w="1318" w:type="dxa"/>
            <w:tcBorders>
              <w:top w:val="nil"/>
              <w:left w:val="nil"/>
              <w:bottom w:val="nil"/>
              <w:right w:val="nil"/>
            </w:tcBorders>
            <w:shd w:val="clear" w:color="auto" w:fill="auto"/>
            <w:noWrap/>
            <w:vAlign w:val="center"/>
            <w:hideMark/>
          </w:tcPr>
          <w:p w14:paraId="361D41B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[2.94, 3.41]</w:t>
            </w:r>
          </w:p>
        </w:tc>
        <w:tc>
          <w:tcPr>
            <w:tcW w:w="1219" w:type="dxa"/>
            <w:tcBorders>
              <w:top w:val="nil"/>
              <w:left w:val="nil"/>
              <w:bottom w:val="nil"/>
              <w:right w:val="nil"/>
            </w:tcBorders>
            <w:shd w:val="clear" w:color="auto" w:fill="auto"/>
            <w:noWrap/>
            <w:vAlign w:val="center"/>
            <w:hideMark/>
          </w:tcPr>
          <w:p w14:paraId="1B6FC99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-0.44</w:t>
            </w:r>
          </w:p>
        </w:tc>
        <w:tc>
          <w:tcPr>
            <w:tcW w:w="1496" w:type="dxa"/>
            <w:tcBorders>
              <w:top w:val="nil"/>
              <w:left w:val="nil"/>
              <w:bottom w:val="nil"/>
              <w:right w:val="nil"/>
            </w:tcBorders>
            <w:shd w:val="clear" w:color="auto" w:fill="auto"/>
            <w:noWrap/>
            <w:vAlign w:val="bottom"/>
            <w:hideMark/>
          </w:tcPr>
          <w:p w14:paraId="2A94E50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[-0.31, -0.56]</w:t>
            </w:r>
          </w:p>
        </w:tc>
        <w:tc>
          <w:tcPr>
            <w:tcW w:w="253" w:type="dxa"/>
            <w:vAlign w:val="center"/>
            <w:hideMark/>
          </w:tcPr>
          <w:p w14:paraId="2D23AC44"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53C5F0D9" w14:textId="77777777" w:rsidTr="007027B1">
        <w:trPr>
          <w:trHeight w:val="226"/>
        </w:trPr>
        <w:tc>
          <w:tcPr>
            <w:tcW w:w="1600" w:type="dxa"/>
            <w:tcBorders>
              <w:top w:val="nil"/>
              <w:left w:val="nil"/>
              <w:bottom w:val="nil"/>
              <w:right w:val="nil"/>
            </w:tcBorders>
            <w:shd w:val="clear" w:color="auto" w:fill="auto"/>
            <w:noWrap/>
            <w:vAlign w:val="bottom"/>
            <w:hideMark/>
          </w:tcPr>
          <w:p w14:paraId="774B2790"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Denmark</w:t>
            </w:r>
          </w:p>
        </w:tc>
        <w:tc>
          <w:tcPr>
            <w:tcW w:w="749" w:type="dxa"/>
            <w:tcBorders>
              <w:top w:val="nil"/>
              <w:left w:val="nil"/>
              <w:bottom w:val="nil"/>
              <w:right w:val="nil"/>
            </w:tcBorders>
            <w:shd w:val="clear" w:color="auto" w:fill="auto"/>
            <w:noWrap/>
            <w:vAlign w:val="bottom"/>
            <w:hideMark/>
          </w:tcPr>
          <w:p w14:paraId="1939C36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2.99</w:t>
            </w:r>
          </w:p>
        </w:tc>
        <w:tc>
          <w:tcPr>
            <w:tcW w:w="865" w:type="dxa"/>
            <w:tcBorders>
              <w:top w:val="nil"/>
              <w:left w:val="nil"/>
              <w:bottom w:val="nil"/>
              <w:right w:val="nil"/>
            </w:tcBorders>
            <w:shd w:val="clear" w:color="auto" w:fill="auto"/>
            <w:noWrap/>
            <w:vAlign w:val="bottom"/>
            <w:hideMark/>
          </w:tcPr>
          <w:p w14:paraId="580A75F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3.01</w:t>
            </w:r>
          </w:p>
        </w:tc>
        <w:tc>
          <w:tcPr>
            <w:tcW w:w="1418" w:type="dxa"/>
            <w:tcBorders>
              <w:top w:val="nil"/>
              <w:left w:val="nil"/>
              <w:bottom w:val="nil"/>
              <w:right w:val="nil"/>
            </w:tcBorders>
            <w:shd w:val="clear" w:color="auto" w:fill="auto"/>
            <w:noWrap/>
            <w:vAlign w:val="bottom"/>
            <w:hideMark/>
          </w:tcPr>
          <w:p w14:paraId="245CC1B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[2.19, 3.84]</w:t>
            </w:r>
          </w:p>
        </w:tc>
        <w:tc>
          <w:tcPr>
            <w:tcW w:w="1166" w:type="dxa"/>
            <w:tcBorders>
              <w:top w:val="nil"/>
              <w:left w:val="nil"/>
              <w:bottom w:val="nil"/>
              <w:right w:val="nil"/>
            </w:tcBorders>
            <w:shd w:val="clear" w:color="auto" w:fill="auto"/>
            <w:noWrap/>
            <w:vAlign w:val="bottom"/>
            <w:hideMark/>
          </w:tcPr>
          <w:p w14:paraId="157FCD9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2.39</w:t>
            </w:r>
          </w:p>
        </w:tc>
        <w:tc>
          <w:tcPr>
            <w:tcW w:w="1318" w:type="dxa"/>
            <w:tcBorders>
              <w:top w:val="nil"/>
              <w:left w:val="nil"/>
              <w:bottom w:val="nil"/>
              <w:right w:val="nil"/>
            </w:tcBorders>
            <w:shd w:val="clear" w:color="auto" w:fill="auto"/>
            <w:noWrap/>
            <w:vAlign w:val="bottom"/>
            <w:hideMark/>
          </w:tcPr>
          <w:p w14:paraId="62FFD4D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[2.13, 2.65]</w:t>
            </w:r>
          </w:p>
        </w:tc>
        <w:tc>
          <w:tcPr>
            <w:tcW w:w="1219" w:type="dxa"/>
            <w:tcBorders>
              <w:top w:val="nil"/>
              <w:left w:val="nil"/>
              <w:bottom w:val="nil"/>
              <w:right w:val="nil"/>
            </w:tcBorders>
            <w:shd w:val="clear" w:color="auto" w:fill="auto"/>
            <w:noWrap/>
            <w:vAlign w:val="bottom"/>
            <w:hideMark/>
          </w:tcPr>
          <w:p w14:paraId="0B95A0B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0.62</w:t>
            </w:r>
          </w:p>
        </w:tc>
        <w:tc>
          <w:tcPr>
            <w:tcW w:w="1496" w:type="dxa"/>
            <w:tcBorders>
              <w:top w:val="nil"/>
              <w:left w:val="nil"/>
              <w:bottom w:val="nil"/>
              <w:right w:val="nil"/>
            </w:tcBorders>
            <w:shd w:val="clear" w:color="auto" w:fill="auto"/>
            <w:noWrap/>
            <w:vAlign w:val="bottom"/>
            <w:hideMark/>
          </w:tcPr>
          <w:p w14:paraId="0643471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[1.71</w:t>
            </w:r>
            <w:proofErr w:type="gramStart"/>
            <w:r w:rsidRPr="00F839D1">
              <w:rPr>
                <w:rFonts w:ascii="Arial" w:eastAsia="Times New Roman" w:hAnsi="Arial" w:cs="Arial"/>
                <w:color w:val="000000"/>
              </w:rPr>
              <w:t>,  -</w:t>
            </w:r>
            <w:proofErr w:type="gramEnd"/>
            <w:r w:rsidRPr="00F839D1">
              <w:rPr>
                <w:rFonts w:ascii="Arial" w:eastAsia="Times New Roman" w:hAnsi="Arial" w:cs="Arial"/>
                <w:color w:val="000000"/>
              </w:rPr>
              <w:t>0.46]</w:t>
            </w:r>
          </w:p>
        </w:tc>
        <w:tc>
          <w:tcPr>
            <w:tcW w:w="253" w:type="dxa"/>
            <w:vAlign w:val="center"/>
            <w:hideMark/>
          </w:tcPr>
          <w:p w14:paraId="5E0A7F63"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9BE10B6" w14:textId="77777777" w:rsidTr="007027B1">
        <w:trPr>
          <w:trHeight w:val="226"/>
        </w:trPr>
        <w:tc>
          <w:tcPr>
            <w:tcW w:w="1600" w:type="dxa"/>
            <w:tcBorders>
              <w:top w:val="nil"/>
              <w:left w:val="nil"/>
              <w:bottom w:val="nil"/>
              <w:right w:val="nil"/>
            </w:tcBorders>
            <w:shd w:val="clear" w:color="auto" w:fill="auto"/>
            <w:noWrap/>
            <w:vAlign w:val="bottom"/>
            <w:hideMark/>
          </w:tcPr>
          <w:p w14:paraId="6BB5A6A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Estonia</w:t>
            </w:r>
          </w:p>
        </w:tc>
        <w:tc>
          <w:tcPr>
            <w:tcW w:w="749" w:type="dxa"/>
            <w:tcBorders>
              <w:top w:val="nil"/>
              <w:left w:val="nil"/>
              <w:bottom w:val="nil"/>
              <w:right w:val="nil"/>
            </w:tcBorders>
            <w:shd w:val="clear" w:color="auto" w:fill="auto"/>
            <w:noWrap/>
            <w:vAlign w:val="bottom"/>
            <w:hideMark/>
          </w:tcPr>
          <w:p w14:paraId="32C704C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5.65</w:t>
            </w:r>
          </w:p>
        </w:tc>
        <w:tc>
          <w:tcPr>
            <w:tcW w:w="865" w:type="dxa"/>
            <w:tcBorders>
              <w:top w:val="nil"/>
              <w:left w:val="nil"/>
              <w:bottom w:val="nil"/>
              <w:right w:val="nil"/>
            </w:tcBorders>
            <w:shd w:val="clear" w:color="auto" w:fill="auto"/>
            <w:noWrap/>
            <w:vAlign w:val="bottom"/>
            <w:hideMark/>
          </w:tcPr>
          <w:p w14:paraId="180EEB1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1418" w:type="dxa"/>
            <w:tcBorders>
              <w:top w:val="nil"/>
              <w:left w:val="nil"/>
              <w:bottom w:val="nil"/>
              <w:right w:val="nil"/>
            </w:tcBorders>
            <w:shd w:val="clear" w:color="auto" w:fill="auto"/>
            <w:noWrap/>
            <w:vAlign w:val="bottom"/>
            <w:hideMark/>
          </w:tcPr>
          <w:p w14:paraId="0F5D659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[3.38, 3.65]</w:t>
            </w:r>
          </w:p>
        </w:tc>
        <w:tc>
          <w:tcPr>
            <w:tcW w:w="1166" w:type="dxa"/>
            <w:tcBorders>
              <w:top w:val="nil"/>
              <w:left w:val="nil"/>
              <w:bottom w:val="nil"/>
              <w:right w:val="nil"/>
            </w:tcBorders>
            <w:shd w:val="clear" w:color="auto" w:fill="auto"/>
            <w:noWrap/>
            <w:vAlign w:val="bottom"/>
            <w:hideMark/>
          </w:tcPr>
          <w:p w14:paraId="0D0F06F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4.26</w:t>
            </w:r>
          </w:p>
        </w:tc>
        <w:tc>
          <w:tcPr>
            <w:tcW w:w="1318" w:type="dxa"/>
            <w:tcBorders>
              <w:top w:val="nil"/>
              <w:left w:val="nil"/>
              <w:bottom w:val="nil"/>
              <w:right w:val="nil"/>
            </w:tcBorders>
            <w:shd w:val="clear" w:color="auto" w:fill="auto"/>
            <w:noWrap/>
            <w:vAlign w:val="bottom"/>
            <w:hideMark/>
          </w:tcPr>
          <w:p w14:paraId="148B9CB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[4.03, 4.49]</w:t>
            </w:r>
          </w:p>
        </w:tc>
        <w:tc>
          <w:tcPr>
            <w:tcW w:w="1219" w:type="dxa"/>
            <w:tcBorders>
              <w:top w:val="nil"/>
              <w:left w:val="nil"/>
              <w:bottom w:val="nil"/>
              <w:right w:val="nil"/>
            </w:tcBorders>
            <w:shd w:val="clear" w:color="auto" w:fill="auto"/>
            <w:noWrap/>
            <w:vAlign w:val="bottom"/>
            <w:hideMark/>
          </w:tcPr>
          <w:p w14:paraId="4B07973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-0.75</w:t>
            </w:r>
          </w:p>
        </w:tc>
        <w:tc>
          <w:tcPr>
            <w:tcW w:w="1496" w:type="dxa"/>
            <w:tcBorders>
              <w:top w:val="nil"/>
              <w:left w:val="nil"/>
              <w:bottom w:val="nil"/>
              <w:right w:val="nil"/>
            </w:tcBorders>
            <w:shd w:val="clear" w:color="auto" w:fill="auto"/>
            <w:noWrap/>
            <w:vAlign w:val="bottom"/>
            <w:hideMark/>
          </w:tcPr>
          <w:p w14:paraId="7D40A2B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[-0.65, -0.85]</w:t>
            </w:r>
          </w:p>
        </w:tc>
        <w:tc>
          <w:tcPr>
            <w:tcW w:w="253" w:type="dxa"/>
            <w:vAlign w:val="center"/>
            <w:hideMark/>
          </w:tcPr>
          <w:p w14:paraId="33AF5E36"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449AE45" w14:textId="77777777" w:rsidTr="007027B1">
        <w:trPr>
          <w:trHeight w:val="226"/>
        </w:trPr>
        <w:tc>
          <w:tcPr>
            <w:tcW w:w="1600" w:type="dxa"/>
            <w:tcBorders>
              <w:top w:val="nil"/>
              <w:left w:val="nil"/>
              <w:bottom w:val="nil"/>
              <w:right w:val="nil"/>
            </w:tcBorders>
            <w:shd w:val="clear" w:color="auto" w:fill="auto"/>
            <w:noWrap/>
            <w:vAlign w:val="bottom"/>
            <w:hideMark/>
          </w:tcPr>
          <w:p w14:paraId="3B9400D1"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France</w:t>
            </w:r>
          </w:p>
        </w:tc>
        <w:tc>
          <w:tcPr>
            <w:tcW w:w="749" w:type="dxa"/>
            <w:tcBorders>
              <w:top w:val="nil"/>
              <w:left w:val="nil"/>
              <w:bottom w:val="nil"/>
              <w:right w:val="nil"/>
            </w:tcBorders>
            <w:shd w:val="clear" w:color="auto" w:fill="auto"/>
            <w:noWrap/>
            <w:vAlign w:val="bottom"/>
            <w:hideMark/>
          </w:tcPr>
          <w:p w14:paraId="37F01E9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4.53</w:t>
            </w:r>
          </w:p>
        </w:tc>
        <w:tc>
          <w:tcPr>
            <w:tcW w:w="865" w:type="dxa"/>
            <w:tcBorders>
              <w:top w:val="nil"/>
              <w:left w:val="nil"/>
              <w:bottom w:val="nil"/>
              <w:right w:val="nil"/>
            </w:tcBorders>
            <w:shd w:val="clear" w:color="auto" w:fill="auto"/>
            <w:noWrap/>
            <w:vAlign w:val="bottom"/>
            <w:hideMark/>
          </w:tcPr>
          <w:p w14:paraId="11D1E6A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2.91</w:t>
            </w:r>
          </w:p>
        </w:tc>
        <w:tc>
          <w:tcPr>
            <w:tcW w:w="1418" w:type="dxa"/>
            <w:tcBorders>
              <w:top w:val="nil"/>
              <w:left w:val="nil"/>
              <w:bottom w:val="nil"/>
              <w:right w:val="nil"/>
            </w:tcBorders>
            <w:shd w:val="clear" w:color="auto" w:fill="auto"/>
            <w:noWrap/>
            <w:vAlign w:val="bottom"/>
            <w:hideMark/>
          </w:tcPr>
          <w:p w14:paraId="3C89D10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[2.80, 3.02]</w:t>
            </w:r>
          </w:p>
        </w:tc>
        <w:tc>
          <w:tcPr>
            <w:tcW w:w="1166" w:type="dxa"/>
            <w:tcBorders>
              <w:top w:val="nil"/>
              <w:left w:val="nil"/>
              <w:bottom w:val="nil"/>
              <w:right w:val="nil"/>
            </w:tcBorders>
            <w:shd w:val="clear" w:color="auto" w:fill="auto"/>
            <w:noWrap/>
            <w:vAlign w:val="bottom"/>
            <w:hideMark/>
          </w:tcPr>
          <w:p w14:paraId="0E2412B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3.11</w:t>
            </w:r>
          </w:p>
        </w:tc>
        <w:tc>
          <w:tcPr>
            <w:tcW w:w="1318" w:type="dxa"/>
            <w:tcBorders>
              <w:top w:val="nil"/>
              <w:left w:val="nil"/>
              <w:bottom w:val="nil"/>
              <w:right w:val="nil"/>
            </w:tcBorders>
            <w:shd w:val="clear" w:color="auto" w:fill="auto"/>
            <w:noWrap/>
            <w:vAlign w:val="bottom"/>
            <w:hideMark/>
          </w:tcPr>
          <w:p w14:paraId="18EFD4C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[2.87, 3.35]</w:t>
            </w:r>
          </w:p>
        </w:tc>
        <w:tc>
          <w:tcPr>
            <w:tcW w:w="1219" w:type="dxa"/>
            <w:tcBorders>
              <w:top w:val="nil"/>
              <w:left w:val="nil"/>
              <w:bottom w:val="nil"/>
              <w:right w:val="nil"/>
            </w:tcBorders>
            <w:shd w:val="clear" w:color="auto" w:fill="auto"/>
            <w:noWrap/>
            <w:vAlign w:val="bottom"/>
            <w:hideMark/>
          </w:tcPr>
          <w:p w14:paraId="43C269E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-0.20</w:t>
            </w:r>
          </w:p>
        </w:tc>
        <w:tc>
          <w:tcPr>
            <w:tcW w:w="1496" w:type="dxa"/>
            <w:tcBorders>
              <w:top w:val="nil"/>
              <w:left w:val="nil"/>
              <w:bottom w:val="nil"/>
              <w:right w:val="nil"/>
            </w:tcBorders>
            <w:shd w:val="clear" w:color="auto" w:fill="auto"/>
            <w:noWrap/>
            <w:vAlign w:val="bottom"/>
            <w:hideMark/>
          </w:tcPr>
          <w:p w14:paraId="1466733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[-0.06, -0.33]</w:t>
            </w:r>
          </w:p>
        </w:tc>
        <w:tc>
          <w:tcPr>
            <w:tcW w:w="253" w:type="dxa"/>
            <w:vAlign w:val="center"/>
            <w:hideMark/>
          </w:tcPr>
          <w:p w14:paraId="395E5E0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3ECE119" w14:textId="77777777" w:rsidTr="007027B1">
        <w:trPr>
          <w:trHeight w:val="226"/>
        </w:trPr>
        <w:tc>
          <w:tcPr>
            <w:tcW w:w="1600" w:type="dxa"/>
            <w:tcBorders>
              <w:top w:val="nil"/>
              <w:left w:val="nil"/>
              <w:bottom w:val="nil"/>
              <w:right w:val="nil"/>
            </w:tcBorders>
            <w:shd w:val="clear" w:color="auto" w:fill="auto"/>
            <w:noWrap/>
            <w:vAlign w:val="bottom"/>
            <w:hideMark/>
          </w:tcPr>
          <w:p w14:paraId="49AF7FB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Germany</w:t>
            </w:r>
          </w:p>
        </w:tc>
        <w:tc>
          <w:tcPr>
            <w:tcW w:w="749" w:type="dxa"/>
            <w:tcBorders>
              <w:top w:val="nil"/>
              <w:left w:val="nil"/>
              <w:bottom w:val="nil"/>
              <w:right w:val="nil"/>
            </w:tcBorders>
            <w:shd w:val="clear" w:color="auto" w:fill="auto"/>
            <w:noWrap/>
            <w:vAlign w:val="bottom"/>
            <w:hideMark/>
          </w:tcPr>
          <w:p w14:paraId="6CC3194B"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3.64</w:t>
            </w:r>
          </w:p>
        </w:tc>
        <w:tc>
          <w:tcPr>
            <w:tcW w:w="865" w:type="dxa"/>
            <w:tcBorders>
              <w:top w:val="nil"/>
              <w:left w:val="nil"/>
              <w:bottom w:val="nil"/>
              <w:right w:val="nil"/>
            </w:tcBorders>
            <w:shd w:val="clear" w:color="auto" w:fill="auto"/>
            <w:noWrap/>
            <w:vAlign w:val="bottom"/>
            <w:hideMark/>
          </w:tcPr>
          <w:p w14:paraId="13AE4A9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2.38</w:t>
            </w:r>
          </w:p>
        </w:tc>
        <w:tc>
          <w:tcPr>
            <w:tcW w:w="1418" w:type="dxa"/>
            <w:tcBorders>
              <w:top w:val="nil"/>
              <w:left w:val="nil"/>
              <w:bottom w:val="nil"/>
              <w:right w:val="nil"/>
            </w:tcBorders>
            <w:shd w:val="clear" w:color="auto" w:fill="auto"/>
            <w:noWrap/>
            <w:vAlign w:val="bottom"/>
            <w:hideMark/>
          </w:tcPr>
          <w:p w14:paraId="2070052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[2.16, 2.61]</w:t>
            </w:r>
          </w:p>
        </w:tc>
        <w:tc>
          <w:tcPr>
            <w:tcW w:w="1166" w:type="dxa"/>
            <w:tcBorders>
              <w:top w:val="nil"/>
              <w:left w:val="nil"/>
              <w:bottom w:val="nil"/>
              <w:right w:val="nil"/>
            </w:tcBorders>
            <w:shd w:val="clear" w:color="auto" w:fill="auto"/>
            <w:noWrap/>
            <w:vAlign w:val="bottom"/>
            <w:hideMark/>
          </w:tcPr>
          <w:p w14:paraId="0483816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2.72</w:t>
            </w:r>
          </w:p>
        </w:tc>
        <w:tc>
          <w:tcPr>
            <w:tcW w:w="1318" w:type="dxa"/>
            <w:tcBorders>
              <w:top w:val="nil"/>
              <w:left w:val="nil"/>
              <w:bottom w:val="nil"/>
              <w:right w:val="nil"/>
            </w:tcBorders>
            <w:shd w:val="clear" w:color="auto" w:fill="auto"/>
            <w:noWrap/>
            <w:vAlign w:val="bottom"/>
            <w:hideMark/>
          </w:tcPr>
          <w:p w14:paraId="44079E5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[2.51, 2.93]</w:t>
            </w:r>
          </w:p>
        </w:tc>
        <w:tc>
          <w:tcPr>
            <w:tcW w:w="1219" w:type="dxa"/>
            <w:tcBorders>
              <w:top w:val="nil"/>
              <w:left w:val="nil"/>
              <w:bottom w:val="nil"/>
              <w:right w:val="nil"/>
            </w:tcBorders>
            <w:shd w:val="clear" w:color="auto" w:fill="auto"/>
            <w:noWrap/>
            <w:vAlign w:val="bottom"/>
            <w:hideMark/>
          </w:tcPr>
          <w:p w14:paraId="73522E3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-0.34</w:t>
            </w:r>
          </w:p>
        </w:tc>
        <w:tc>
          <w:tcPr>
            <w:tcW w:w="1496" w:type="dxa"/>
            <w:tcBorders>
              <w:top w:val="nil"/>
              <w:left w:val="nil"/>
              <w:bottom w:val="nil"/>
              <w:right w:val="nil"/>
            </w:tcBorders>
            <w:shd w:val="clear" w:color="auto" w:fill="auto"/>
            <w:noWrap/>
            <w:vAlign w:val="bottom"/>
            <w:hideMark/>
          </w:tcPr>
          <w:p w14:paraId="32C4FB0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[-0.35, -0.32]</w:t>
            </w:r>
          </w:p>
        </w:tc>
        <w:tc>
          <w:tcPr>
            <w:tcW w:w="253" w:type="dxa"/>
            <w:vAlign w:val="center"/>
            <w:hideMark/>
          </w:tcPr>
          <w:p w14:paraId="49DF3B2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7BA000D" w14:textId="77777777" w:rsidTr="007027B1">
        <w:trPr>
          <w:trHeight w:val="226"/>
        </w:trPr>
        <w:tc>
          <w:tcPr>
            <w:tcW w:w="1600" w:type="dxa"/>
            <w:tcBorders>
              <w:top w:val="nil"/>
              <w:left w:val="nil"/>
              <w:bottom w:val="nil"/>
              <w:right w:val="nil"/>
            </w:tcBorders>
            <w:shd w:val="clear" w:color="auto" w:fill="auto"/>
            <w:noWrap/>
            <w:vAlign w:val="bottom"/>
            <w:hideMark/>
          </w:tcPr>
          <w:p w14:paraId="018429B8"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Greece</w:t>
            </w:r>
          </w:p>
        </w:tc>
        <w:tc>
          <w:tcPr>
            <w:tcW w:w="749" w:type="dxa"/>
            <w:tcBorders>
              <w:top w:val="nil"/>
              <w:left w:val="nil"/>
              <w:bottom w:val="nil"/>
              <w:right w:val="nil"/>
            </w:tcBorders>
            <w:shd w:val="clear" w:color="auto" w:fill="auto"/>
            <w:noWrap/>
            <w:vAlign w:val="bottom"/>
            <w:hideMark/>
          </w:tcPr>
          <w:p w14:paraId="46411CB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4.01</w:t>
            </w:r>
          </w:p>
        </w:tc>
        <w:tc>
          <w:tcPr>
            <w:tcW w:w="865" w:type="dxa"/>
            <w:tcBorders>
              <w:top w:val="nil"/>
              <w:left w:val="nil"/>
              <w:bottom w:val="nil"/>
              <w:right w:val="nil"/>
            </w:tcBorders>
            <w:shd w:val="clear" w:color="auto" w:fill="auto"/>
            <w:noWrap/>
            <w:vAlign w:val="bottom"/>
            <w:hideMark/>
          </w:tcPr>
          <w:p w14:paraId="4AF733A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2.37</w:t>
            </w:r>
          </w:p>
        </w:tc>
        <w:tc>
          <w:tcPr>
            <w:tcW w:w="1418" w:type="dxa"/>
            <w:tcBorders>
              <w:top w:val="nil"/>
              <w:left w:val="nil"/>
              <w:bottom w:val="nil"/>
              <w:right w:val="nil"/>
            </w:tcBorders>
            <w:shd w:val="clear" w:color="auto" w:fill="auto"/>
            <w:noWrap/>
            <w:vAlign w:val="bottom"/>
            <w:hideMark/>
          </w:tcPr>
          <w:p w14:paraId="08867D0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[2.22, 2.53]</w:t>
            </w:r>
          </w:p>
        </w:tc>
        <w:tc>
          <w:tcPr>
            <w:tcW w:w="1166" w:type="dxa"/>
            <w:tcBorders>
              <w:top w:val="nil"/>
              <w:left w:val="nil"/>
              <w:bottom w:val="nil"/>
              <w:right w:val="nil"/>
            </w:tcBorders>
            <w:shd w:val="clear" w:color="auto" w:fill="auto"/>
            <w:noWrap/>
            <w:vAlign w:val="bottom"/>
            <w:hideMark/>
          </w:tcPr>
          <w:p w14:paraId="2A77D8E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3.27</w:t>
            </w:r>
          </w:p>
        </w:tc>
        <w:tc>
          <w:tcPr>
            <w:tcW w:w="1318" w:type="dxa"/>
            <w:tcBorders>
              <w:top w:val="nil"/>
              <w:left w:val="nil"/>
              <w:bottom w:val="nil"/>
              <w:right w:val="nil"/>
            </w:tcBorders>
            <w:shd w:val="clear" w:color="auto" w:fill="auto"/>
            <w:noWrap/>
            <w:vAlign w:val="bottom"/>
            <w:hideMark/>
          </w:tcPr>
          <w:p w14:paraId="52C7E6F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[3.10, 3.44]</w:t>
            </w:r>
          </w:p>
        </w:tc>
        <w:tc>
          <w:tcPr>
            <w:tcW w:w="1219" w:type="dxa"/>
            <w:tcBorders>
              <w:top w:val="nil"/>
              <w:left w:val="nil"/>
              <w:bottom w:val="nil"/>
              <w:right w:val="nil"/>
            </w:tcBorders>
            <w:shd w:val="clear" w:color="auto" w:fill="auto"/>
            <w:noWrap/>
            <w:vAlign w:val="bottom"/>
            <w:hideMark/>
          </w:tcPr>
          <w:p w14:paraId="59F4402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-0.89</w:t>
            </w:r>
          </w:p>
        </w:tc>
        <w:tc>
          <w:tcPr>
            <w:tcW w:w="1496" w:type="dxa"/>
            <w:tcBorders>
              <w:top w:val="nil"/>
              <w:left w:val="nil"/>
              <w:bottom w:val="nil"/>
              <w:right w:val="nil"/>
            </w:tcBorders>
            <w:shd w:val="clear" w:color="auto" w:fill="auto"/>
            <w:noWrap/>
            <w:vAlign w:val="bottom"/>
            <w:hideMark/>
          </w:tcPr>
          <w:p w14:paraId="0A4F3C9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[-0.88, -0.91]</w:t>
            </w:r>
          </w:p>
        </w:tc>
        <w:tc>
          <w:tcPr>
            <w:tcW w:w="253" w:type="dxa"/>
            <w:vAlign w:val="center"/>
            <w:hideMark/>
          </w:tcPr>
          <w:p w14:paraId="1CD44DD1"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D86E201" w14:textId="77777777" w:rsidTr="007027B1">
        <w:trPr>
          <w:trHeight w:val="226"/>
        </w:trPr>
        <w:tc>
          <w:tcPr>
            <w:tcW w:w="1600" w:type="dxa"/>
            <w:tcBorders>
              <w:top w:val="nil"/>
              <w:left w:val="nil"/>
              <w:bottom w:val="nil"/>
              <w:right w:val="nil"/>
            </w:tcBorders>
            <w:shd w:val="clear" w:color="auto" w:fill="auto"/>
            <w:noWrap/>
            <w:vAlign w:val="bottom"/>
            <w:hideMark/>
          </w:tcPr>
          <w:p w14:paraId="55A0C43E"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Israel</w:t>
            </w:r>
          </w:p>
        </w:tc>
        <w:tc>
          <w:tcPr>
            <w:tcW w:w="749" w:type="dxa"/>
            <w:tcBorders>
              <w:top w:val="nil"/>
              <w:left w:val="nil"/>
              <w:bottom w:val="nil"/>
              <w:right w:val="nil"/>
            </w:tcBorders>
            <w:shd w:val="clear" w:color="auto" w:fill="auto"/>
            <w:noWrap/>
            <w:vAlign w:val="bottom"/>
            <w:hideMark/>
          </w:tcPr>
          <w:p w14:paraId="1395705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2.80</w:t>
            </w:r>
          </w:p>
        </w:tc>
        <w:tc>
          <w:tcPr>
            <w:tcW w:w="865" w:type="dxa"/>
            <w:tcBorders>
              <w:top w:val="nil"/>
              <w:left w:val="nil"/>
              <w:bottom w:val="nil"/>
              <w:right w:val="nil"/>
            </w:tcBorders>
            <w:shd w:val="clear" w:color="auto" w:fill="auto"/>
            <w:noWrap/>
            <w:vAlign w:val="bottom"/>
            <w:hideMark/>
          </w:tcPr>
          <w:p w14:paraId="6703901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1.44</w:t>
            </w:r>
          </w:p>
        </w:tc>
        <w:tc>
          <w:tcPr>
            <w:tcW w:w="1418" w:type="dxa"/>
            <w:tcBorders>
              <w:top w:val="nil"/>
              <w:left w:val="nil"/>
              <w:bottom w:val="nil"/>
              <w:right w:val="nil"/>
            </w:tcBorders>
            <w:shd w:val="clear" w:color="auto" w:fill="auto"/>
            <w:noWrap/>
            <w:vAlign w:val="bottom"/>
            <w:hideMark/>
          </w:tcPr>
          <w:p w14:paraId="0EBAF3E9"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[1.27, 1.61]</w:t>
            </w:r>
          </w:p>
        </w:tc>
        <w:tc>
          <w:tcPr>
            <w:tcW w:w="1166" w:type="dxa"/>
            <w:tcBorders>
              <w:top w:val="nil"/>
              <w:left w:val="nil"/>
              <w:bottom w:val="nil"/>
              <w:right w:val="nil"/>
            </w:tcBorders>
            <w:shd w:val="clear" w:color="auto" w:fill="auto"/>
            <w:noWrap/>
            <w:vAlign w:val="bottom"/>
            <w:hideMark/>
          </w:tcPr>
          <w:p w14:paraId="352BDE4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1.94</w:t>
            </w:r>
          </w:p>
        </w:tc>
        <w:tc>
          <w:tcPr>
            <w:tcW w:w="1318" w:type="dxa"/>
            <w:tcBorders>
              <w:top w:val="nil"/>
              <w:left w:val="nil"/>
              <w:bottom w:val="nil"/>
              <w:right w:val="nil"/>
            </w:tcBorders>
            <w:shd w:val="clear" w:color="auto" w:fill="auto"/>
            <w:noWrap/>
            <w:vAlign w:val="bottom"/>
            <w:hideMark/>
          </w:tcPr>
          <w:p w14:paraId="6EFC13B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[1.72, 2.16]</w:t>
            </w:r>
          </w:p>
        </w:tc>
        <w:tc>
          <w:tcPr>
            <w:tcW w:w="1219" w:type="dxa"/>
            <w:tcBorders>
              <w:top w:val="nil"/>
              <w:left w:val="nil"/>
              <w:bottom w:val="nil"/>
              <w:right w:val="nil"/>
            </w:tcBorders>
            <w:shd w:val="clear" w:color="auto" w:fill="auto"/>
            <w:noWrap/>
            <w:vAlign w:val="bottom"/>
            <w:hideMark/>
          </w:tcPr>
          <w:p w14:paraId="578CB12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-0.50</w:t>
            </w:r>
          </w:p>
        </w:tc>
        <w:tc>
          <w:tcPr>
            <w:tcW w:w="1496" w:type="dxa"/>
            <w:tcBorders>
              <w:top w:val="nil"/>
              <w:left w:val="nil"/>
              <w:bottom w:val="nil"/>
              <w:right w:val="nil"/>
            </w:tcBorders>
            <w:shd w:val="clear" w:color="auto" w:fill="auto"/>
            <w:noWrap/>
            <w:vAlign w:val="bottom"/>
            <w:hideMark/>
          </w:tcPr>
          <w:p w14:paraId="4B756AE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[-0.45, -0.55]</w:t>
            </w:r>
          </w:p>
        </w:tc>
        <w:tc>
          <w:tcPr>
            <w:tcW w:w="253" w:type="dxa"/>
            <w:vAlign w:val="center"/>
            <w:hideMark/>
          </w:tcPr>
          <w:p w14:paraId="7293072B"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F529AA8" w14:textId="77777777" w:rsidTr="007027B1">
        <w:trPr>
          <w:trHeight w:val="226"/>
        </w:trPr>
        <w:tc>
          <w:tcPr>
            <w:tcW w:w="1600" w:type="dxa"/>
            <w:tcBorders>
              <w:top w:val="nil"/>
              <w:left w:val="nil"/>
              <w:bottom w:val="nil"/>
              <w:right w:val="nil"/>
            </w:tcBorders>
            <w:shd w:val="clear" w:color="auto" w:fill="auto"/>
            <w:noWrap/>
            <w:vAlign w:val="bottom"/>
            <w:hideMark/>
          </w:tcPr>
          <w:p w14:paraId="0A98EAB4"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Italy</w:t>
            </w:r>
          </w:p>
        </w:tc>
        <w:tc>
          <w:tcPr>
            <w:tcW w:w="749" w:type="dxa"/>
            <w:tcBorders>
              <w:top w:val="nil"/>
              <w:left w:val="nil"/>
              <w:bottom w:val="nil"/>
              <w:right w:val="nil"/>
            </w:tcBorders>
            <w:shd w:val="clear" w:color="auto" w:fill="auto"/>
            <w:noWrap/>
            <w:vAlign w:val="bottom"/>
            <w:hideMark/>
          </w:tcPr>
          <w:p w14:paraId="2770A08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865" w:type="dxa"/>
            <w:tcBorders>
              <w:top w:val="nil"/>
              <w:left w:val="nil"/>
              <w:bottom w:val="nil"/>
              <w:right w:val="nil"/>
            </w:tcBorders>
            <w:shd w:val="clear" w:color="auto" w:fill="auto"/>
            <w:noWrap/>
            <w:vAlign w:val="bottom"/>
            <w:hideMark/>
          </w:tcPr>
          <w:p w14:paraId="26CC45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0.92</w:t>
            </w:r>
          </w:p>
        </w:tc>
        <w:tc>
          <w:tcPr>
            <w:tcW w:w="1418" w:type="dxa"/>
            <w:tcBorders>
              <w:top w:val="nil"/>
              <w:left w:val="nil"/>
              <w:bottom w:val="nil"/>
              <w:right w:val="nil"/>
            </w:tcBorders>
            <w:shd w:val="clear" w:color="auto" w:fill="auto"/>
            <w:noWrap/>
            <w:vAlign w:val="bottom"/>
            <w:hideMark/>
          </w:tcPr>
          <w:p w14:paraId="0580BE1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[0.68, 1.16]</w:t>
            </w:r>
          </w:p>
        </w:tc>
        <w:tc>
          <w:tcPr>
            <w:tcW w:w="1166" w:type="dxa"/>
            <w:tcBorders>
              <w:top w:val="nil"/>
              <w:left w:val="nil"/>
              <w:bottom w:val="nil"/>
              <w:right w:val="nil"/>
            </w:tcBorders>
            <w:shd w:val="clear" w:color="auto" w:fill="auto"/>
            <w:noWrap/>
            <w:vAlign w:val="bottom"/>
            <w:hideMark/>
          </w:tcPr>
          <w:p w14:paraId="37083F3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2.51</w:t>
            </w:r>
          </w:p>
        </w:tc>
        <w:tc>
          <w:tcPr>
            <w:tcW w:w="1318" w:type="dxa"/>
            <w:tcBorders>
              <w:top w:val="nil"/>
              <w:left w:val="nil"/>
              <w:bottom w:val="nil"/>
              <w:right w:val="nil"/>
            </w:tcBorders>
            <w:shd w:val="clear" w:color="auto" w:fill="auto"/>
            <w:noWrap/>
            <w:vAlign w:val="bottom"/>
            <w:hideMark/>
          </w:tcPr>
          <w:p w14:paraId="526DB47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[2.33, 2.69]</w:t>
            </w:r>
          </w:p>
        </w:tc>
        <w:tc>
          <w:tcPr>
            <w:tcW w:w="1219" w:type="dxa"/>
            <w:tcBorders>
              <w:top w:val="nil"/>
              <w:left w:val="nil"/>
              <w:bottom w:val="nil"/>
              <w:right w:val="nil"/>
            </w:tcBorders>
            <w:shd w:val="clear" w:color="auto" w:fill="auto"/>
            <w:noWrap/>
            <w:vAlign w:val="bottom"/>
            <w:hideMark/>
          </w:tcPr>
          <w:p w14:paraId="55B0F56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-1.59</w:t>
            </w:r>
          </w:p>
        </w:tc>
        <w:tc>
          <w:tcPr>
            <w:tcW w:w="1496" w:type="dxa"/>
            <w:tcBorders>
              <w:top w:val="nil"/>
              <w:left w:val="nil"/>
              <w:bottom w:val="nil"/>
              <w:right w:val="nil"/>
            </w:tcBorders>
            <w:shd w:val="clear" w:color="auto" w:fill="auto"/>
            <w:noWrap/>
            <w:vAlign w:val="bottom"/>
            <w:hideMark/>
          </w:tcPr>
          <w:p w14:paraId="00C31E6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[-1.66, -1.53]</w:t>
            </w:r>
          </w:p>
        </w:tc>
        <w:tc>
          <w:tcPr>
            <w:tcW w:w="253" w:type="dxa"/>
            <w:vAlign w:val="center"/>
            <w:hideMark/>
          </w:tcPr>
          <w:p w14:paraId="5873034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E27127F" w14:textId="77777777" w:rsidTr="007027B1">
        <w:trPr>
          <w:trHeight w:val="226"/>
        </w:trPr>
        <w:tc>
          <w:tcPr>
            <w:tcW w:w="1600" w:type="dxa"/>
            <w:tcBorders>
              <w:top w:val="nil"/>
              <w:left w:val="nil"/>
              <w:bottom w:val="nil"/>
              <w:right w:val="nil"/>
            </w:tcBorders>
            <w:shd w:val="clear" w:color="auto" w:fill="auto"/>
            <w:noWrap/>
            <w:vAlign w:val="bottom"/>
            <w:hideMark/>
          </w:tcPr>
          <w:p w14:paraId="2F0403BC"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Luxembourg</w:t>
            </w:r>
          </w:p>
        </w:tc>
        <w:tc>
          <w:tcPr>
            <w:tcW w:w="749" w:type="dxa"/>
            <w:tcBorders>
              <w:top w:val="nil"/>
              <w:left w:val="nil"/>
              <w:bottom w:val="nil"/>
              <w:right w:val="nil"/>
            </w:tcBorders>
            <w:shd w:val="clear" w:color="auto" w:fill="auto"/>
            <w:noWrap/>
            <w:vAlign w:val="bottom"/>
            <w:hideMark/>
          </w:tcPr>
          <w:p w14:paraId="481021E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3.07</w:t>
            </w:r>
          </w:p>
        </w:tc>
        <w:tc>
          <w:tcPr>
            <w:tcW w:w="865" w:type="dxa"/>
            <w:tcBorders>
              <w:top w:val="nil"/>
              <w:left w:val="nil"/>
              <w:bottom w:val="nil"/>
              <w:right w:val="nil"/>
            </w:tcBorders>
            <w:shd w:val="clear" w:color="auto" w:fill="auto"/>
            <w:noWrap/>
            <w:vAlign w:val="bottom"/>
            <w:hideMark/>
          </w:tcPr>
          <w:p w14:paraId="2DF2911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1.48</w:t>
            </w:r>
          </w:p>
        </w:tc>
        <w:tc>
          <w:tcPr>
            <w:tcW w:w="1418" w:type="dxa"/>
            <w:tcBorders>
              <w:top w:val="nil"/>
              <w:left w:val="nil"/>
              <w:bottom w:val="nil"/>
              <w:right w:val="nil"/>
            </w:tcBorders>
            <w:shd w:val="clear" w:color="auto" w:fill="auto"/>
            <w:noWrap/>
            <w:vAlign w:val="bottom"/>
            <w:hideMark/>
          </w:tcPr>
          <w:p w14:paraId="4DB5BD5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[0.96, 2.00]</w:t>
            </w:r>
          </w:p>
        </w:tc>
        <w:tc>
          <w:tcPr>
            <w:tcW w:w="1166" w:type="dxa"/>
            <w:tcBorders>
              <w:top w:val="nil"/>
              <w:left w:val="nil"/>
              <w:bottom w:val="nil"/>
              <w:right w:val="nil"/>
            </w:tcBorders>
            <w:shd w:val="clear" w:color="auto" w:fill="auto"/>
            <w:noWrap/>
            <w:vAlign w:val="bottom"/>
            <w:hideMark/>
          </w:tcPr>
          <w:p w14:paraId="502E324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2.29</w:t>
            </w:r>
          </w:p>
        </w:tc>
        <w:tc>
          <w:tcPr>
            <w:tcW w:w="1318" w:type="dxa"/>
            <w:tcBorders>
              <w:top w:val="nil"/>
              <w:left w:val="nil"/>
              <w:bottom w:val="nil"/>
              <w:right w:val="nil"/>
            </w:tcBorders>
            <w:shd w:val="clear" w:color="auto" w:fill="auto"/>
            <w:noWrap/>
            <w:vAlign w:val="bottom"/>
            <w:hideMark/>
          </w:tcPr>
          <w:p w14:paraId="174B04E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[2.08, 2.50]</w:t>
            </w:r>
          </w:p>
        </w:tc>
        <w:tc>
          <w:tcPr>
            <w:tcW w:w="1219" w:type="dxa"/>
            <w:tcBorders>
              <w:top w:val="nil"/>
              <w:left w:val="nil"/>
              <w:bottom w:val="nil"/>
              <w:right w:val="nil"/>
            </w:tcBorders>
            <w:shd w:val="clear" w:color="auto" w:fill="auto"/>
            <w:noWrap/>
            <w:vAlign w:val="bottom"/>
            <w:hideMark/>
          </w:tcPr>
          <w:p w14:paraId="34075C6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-0.81</w:t>
            </w:r>
          </w:p>
        </w:tc>
        <w:tc>
          <w:tcPr>
            <w:tcW w:w="1496" w:type="dxa"/>
            <w:tcBorders>
              <w:top w:val="nil"/>
              <w:left w:val="nil"/>
              <w:bottom w:val="nil"/>
              <w:right w:val="nil"/>
            </w:tcBorders>
            <w:shd w:val="clear" w:color="auto" w:fill="auto"/>
            <w:noWrap/>
            <w:vAlign w:val="bottom"/>
            <w:hideMark/>
          </w:tcPr>
          <w:p w14:paraId="19715A8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[-1.12, -0.49]</w:t>
            </w:r>
          </w:p>
        </w:tc>
        <w:tc>
          <w:tcPr>
            <w:tcW w:w="253" w:type="dxa"/>
            <w:vAlign w:val="center"/>
            <w:hideMark/>
          </w:tcPr>
          <w:p w14:paraId="2CAB995B"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4D49C18" w14:textId="77777777" w:rsidTr="007027B1">
        <w:trPr>
          <w:trHeight w:val="226"/>
        </w:trPr>
        <w:tc>
          <w:tcPr>
            <w:tcW w:w="1600" w:type="dxa"/>
            <w:tcBorders>
              <w:top w:val="nil"/>
              <w:left w:val="nil"/>
              <w:bottom w:val="nil"/>
              <w:right w:val="nil"/>
            </w:tcBorders>
            <w:shd w:val="clear" w:color="auto" w:fill="auto"/>
            <w:noWrap/>
            <w:vAlign w:val="bottom"/>
            <w:hideMark/>
          </w:tcPr>
          <w:p w14:paraId="4BFD7531"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Poland</w:t>
            </w:r>
          </w:p>
        </w:tc>
        <w:tc>
          <w:tcPr>
            <w:tcW w:w="749" w:type="dxa"/>
            <w:tcBorders>
              <w:top w:val="nil"/>
              <w:left w:val="nil"/>
              <w:bottom w:val="nil"/>
              <w:right w:val="nil"/>
            </w:tcBorders>
            <w:shd w:val="clear" w:color="auto" w:fill="auto"/>
            <w:noWrap/>
            <w:vAlign w:val="bottom"/>
            <w:hideMark/>
          </w:tcPr>
          <w:p w14:paraId="5585B79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5.01</w:t>
            </w:r>
          </w:p>
        </w:tc>
        <w:tc>
          <w:tcPr>
            <w:tcW w:w="865" w:type="dxa"/>
            <w:tcBorders>
              <w:top w:val="nil"/>
              <w:left w:val="nil"/>
              <w:bottom w:val="nil"/>
              <w:right w:val="nil"/>
            </w:tcBorders>
            <w:shd w:val="clear" w:color="auto" w:fill="auto"/>
            <w:noWrap/>
            <w:vAlign w:val="bottom"/>
            <w:hideMark/>
          </w:tcPr>
          <w:p w14:paraId="05E0C6B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3.19</w:t>
            </w:r>
          </w:p>
        </w:tc>
        <w:tc>
          <w:tcPr>
            <w:tcW w:w="1418" w:type="dxa"/>
            <w:tcBorders>
              <w:top w:val="nil"/>
              <w:left w:val="nil"/>
              <w:bottom w:val="nil"/>
              <w:right w:val="nil"/>
            </w:tcBorders>
            <w:shd w:val="clear" w:color="auto" w:fill="auto"/>
            <w:noWrap/>
            <w:vAlign w:val="bottom"/>
            <w:hideMark/>
          </w:tcPr>
          <w:p w14:paraId="1B34306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[2.91, 3.47]</w:t>
            </w:r>
          </w:p>
        </w:tc>
        <w:tc>
          <w:tcPr>
            <w:tcW w:w="1166" w:type="dxa"/>
            <w:tcBorders>
              <w:top w:val="nil"/>
              <w:left w:val="nil"/>
              <w:bottom w:val="nil"/>
              <w:right w:val="nil"/>
            </w:tcBorders>
            <w:shd w:val="clear" w:color="auto" w:fill="auto"/>
            <w:noWrap/>
            <w:vAlign w:val="bottom"/>
            <w:hideMark/>
          </w:tcPr>
          <w:p w14:paraId="3C32863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1318" w:type="dxa"/>
            <w:tcBorders>
              <w:top w:val="nil"/>
              <w:left w:val="nil"/>
              <w:bottom w:val="nil"/>
              <w:right w:val="nil"/>
            </w:tcBorders>
            <w:shd w:val="clear" w:color="auto" w:fill="auto"/>
            <w:noWrap/>
            <w:vAlign w:val="bottom"/>
            <w:hideMark/>
          </w:tcPr>
          <w:p w14:paraId="7952A8F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[3.17, 3.86]</w:t>
            </w:r>
          </w:p>
        </w:tc>
        <w:tc>
          <w:tcPr>
            <w:tcW w:w="1219" w:type="dxa"/>
            <w:tcBorders>
              <w:top w:val="nil"/>
              <w:left w:val="nil"/>
              <w:bottom w:val="nil"/>
              <w:right w:val="nil"/>
            </w:tcBorders>
            <w:shd w:val="clear" w:color="auto" w:fill="auto"/>
            <w:noWrap/>
            <w:vAlign w:val="bottom"/>
            <w:hideMark/>
          </w:tcPr>
          <w:p w14:paraId="732806A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-0.32</w:t>
            </w:r>
          </w:p>
        </w:tc>
        <w:tc>
          <w:tcPr>
            <w:tcW w:w="1496" w:type="dxa"/>
            <w:tcBorders>
              <w:top w:val="nil"/>
              <w:left w:val="nil"/>
              <w:bottom w:val="nil"/>
              <w:right w:val="nil"/>
            </w:tcBorders>
            <w:shd w:val="clear" w:color="auto" w:fill="auto"/>
            <w:noWrap/>
            <w:vAlign w:val="bottom"/>
            <w:hideMark/>
          </w:tcPr>
          <w:p w14:paraId="6194447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[-0.25, -0.39]</w:t>
            </w:r>
          </w:p>
        </w:tc>
        <w:tc>
          <w:tcPr>
            <w:tcW w:w="253" w:type="dxa"/>
            <w:vAlign w:val="center"/>
            <w:hideMark/>
          </w:tcPr>
          <w:p w14:paraId="101305DD"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713BA15" w14:textId="77777777" w:rsidTr="007027B1">
        <w:trPr>
          <w:trHeight w:val="226"/>
        </w:trPr>
        <w:tc>
          <w:tcPr>
            <w:tcW w:w="1600" w:type="dxa"/>
            <w:tcBorders>
              <w:top w:val="nil"/>
              <w:left w:val="nil"/>
              <w:bottom w:val="nil"/>
              <w:right w:val="nil"/>
            </w:tcBorders>
            <w:shd w:val="clear" w:color="auto" w:fill="auto"/>
            <w:noWrap/>
            <w:vAlign w:val="bottom"/>
            <w:hideMark/>
          </w:tcPr>
          <w:p w14:paraId="2B751006"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Portugal</w:t>
            </w:r>
          </w:p>
        </w:tc>
        <w:tc>
          <w:tcPr>
            <w:tcW w:w="749" w:type="dxa"/>
            <w:tcBorders>
              <w:top w:val="nil"/>
              <w:left w:val="nil"/>
              <w:bottom w:val="nil"/>
              <w:right w:val="nil"/>
            </w:tcBorders>
            <w:shd w:val="clear" w:color="auto" w:fill="auto"/>
            <w:noWrap/>
            <w:vAlign w:val="bottom"/>
            <w:hideMark/>
          </w:tcPr>
          <w:p w14:paraId="44F47E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4.15</w:t>
            </w:r>
          </w:p>
        </w:tc>
        <w:tc>
          <w:tcPr>
            <w:tcW w:w="865" w:type="dxa"/>
            <w:tcBorders>
              <w:top w:val="nil"/>
              <w:left w:val="nil"/>
              <w:bottom w:val="nil"/>
              <w:right w:val="nil"/>
            </w:tcBorders>
            <w:shd w:val="clear" w:color="auto" w:fill="auto"/>
            <w:noWrap/>
            <w:vAlign w:val="bottom"/>
            <w:hideMark/>
          </w:tcPr>
          <w:p w14:paraId="72ADDF5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-0.37</w:t>
            </w:r>
          </w:p>
        </w:tc>
        <w:tc>
          <w:tcPr>
            <w:tcW w:w="1418" w:type="dxa"/>
            <w:tcBorders>
              <w:top w:val="nil"/>
              <w:left w:val="nil"/>
              <w:bottom w:val="nil"/>
              <w:right w:val="nil"/>
            </w:tcBorders>
            <w:shd w:val="clear" w:color="auto" w:fill="auto"/>
            <w:noWrap/>
            <w:vAlign w:val="bottom"/>
            <w:hideMark/>
          </w:tcPr>
          <w:p w14:paraId="135EC50F"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[-1.32,0.59]</w:t>
            </w:r>
          </w:p>
        </w:tc>
        <w:tc>
          <w:tcPr>
            <w:tcW w:w="1166" w:type="dxa"/>
            <w:tcBorders>
              <w:top w:val="nil"/>
              <w:left w:val="nil"/>
              <w:bottom w:val="nil"/>
              <w:right w:val="nil"/>
            </w:tcBorders>
            <w:shd w:val="clear" w:color="auto" w:fill="auto"/>
            <w:noWrap/>
            <w:vAlign w:val="bottom"/>
            <w:hideMark/>
          </w:tcPr>
          <w:p w14:paraId="35BA950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2.33</w:t>
            </w:r>
          </w:p>
        </w:tc>
        <w:tc>
          <w:tcPr>
            <w:tcW w:w="1318" w:type="dxa"/>
            <w:tcBorders>
              <w:top w:val="nil"/>
              <w:left w:val="nil"/>
              <w:bottom w:val="nil"/>
              <w:right w:val="nil"/>
            </w:tcBorders>
            <w:shd w:val="clear" w:color="auto" w:fill="auto"/>
            <w:noWrap/>
            <w:vAlign w:val="bottom"/>
            <w:hideMark/>
          </w:tcPr>
          <w:p w14:paraId="51F34F4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[1.64, 3.02]</w:t>
            </w:r>
          </w:p>
        </w:tc>
        <w:tc>
          <w:tcPr>
            <w:tcW w:w="1219" w:type="dxa"/>
            <w:tcBorders>
              <w:top w:val="nil"/>
              <w:left w:val="nil"/>
              <w:bottom w:val="nil"/>
              <w:right w:val="nil"/>
            </w:tcBorders>
            <w:shd w:val="clear" w:color="auto" w:fill="auto"/>
            <w:noWrap/>
            <w:vAlign w:val="bottom"/>
            <w:hideMark/>
          </w:tcPr>
          <w:p w14:paraId="7E356A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-2.70</w:t>
            </w:r>
          </w:p>
        </w:tc>
        <w:tc>
          <w:tcPr>
            <w:tcW w:w="1496" w:type="dxa"/>
            <w:tcBorders>
              <w:top w:val="nil"/>
              <w:left w:val="nil"/>
              <w:bottom w:val="nil"/>
              <w:right w:val="nil"/>
            </w:tcBorders>
            <w:shd w:val="clear" w:color="auto" w:fill="auto"/>
            <w:noWrap/>
            <w:vAlign w:val="bottom"/>
            <w:hideMark/>
          </w:tcPr>
          <w:p w14:paraId="6231657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[-2.97, -2.42]</w:t>
            </w:r>
          </w:p>
        </w:tc>
        <w:tc>
          <w:tcPr>
            <w:tcW w:w="253" w:type="dxa"/>
            <w:vAlign w:val="center"/>
            <w:hideMark/>
          </w:tcPr>
          <w:p w14:paraId="1C0E2E52"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5922D8A7" w14:textId="77777777" w:rsidTr="007027B1">
        <w:trPr>
          <w:trHeight w:val="226"/>
        </w:trPr>
        <w:tc>
          <w:tcPr>
            <w:tcW w:w="1600" w:type="dxa"/>
            <w:tcBorders>
              <w:top w:val="nil"/>
              <w:left w:val="nil"/>
              <w:bottom w:val="nil"/>
              <w:right w:val="nil"/>
            </w:tcBorders>
            <w:shd w:val="clear" w:color="auto" w:fill="auto"/>
            <w:noWrap/>
            <w:vAlign w:val="bottom"/>
            <w:hideMark/>
          </w:tcPr>
          <w:p w14:paraId="7AD69D9A"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Slovenia</w:t>
            </w:r>
          </w:p>
        </w:tc>
        <w:tc>
          <w:tcPr>
            <w:tcW w:w="749" w:type="dxa"/>
            <w:tcBorders>
              <w:top w:val="nil"/>
              <w:left w:val="nil"/>
              <w:bottom w:val="nil"/>
              <w:right w:val="nil"/>
            </w:tcBorders>
            <w:shd w:val="clear" w:color="auto" w:fill="auto"/>
            <w:noWrap/>
            <w:vAlign w:val="bottom"/>
            <w:hideMark/>
          </w:tcPr>
          <w:p w14:paraId="1669255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4.31</w:t>
            </w:r>
          </w:p>
        </w:tc>
        <w:tc>
          <w:tcPr>
            <w:tcW w:w="865" w:type="dxa"/>
            <w:tcBorders>
              <w:top w:val="nil"/>
              <w:left w:val="nil"/>
              <w:bottom w:val="nil"/>
              <w:right w:val="nil"/>
            </w:tcBorders>
            <w:shd w:val="clear" w:color="auto" w:fill="auto"/>
            <w:noWrap/>
            <w:vAlign w:val="bottom"/>
            <w:hideMark/>
          </w:tcPr>
          <w:p w14:paraId="5AC95E6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3.21</w:t>
            </w:r>
          </w:p>
        </w:tc>
        <w:tc>
          <w:tcPr>
            <w:tcW w:w="1418" w:type="dxa"/>
            <w:tcBorders>
              <w:top w:val="nil"/>
              <w:left w:val="nil"/>
              <w:bottom w:val="nil"/>
              <w:right w:val="nil"/>
            </w:tcBorders>
            <w:shd w:val="clear" w:color="auto" w:fill="auto"/>
            <w:noWrap/>
            <w:vAlign w:val="bottom"/>
            <w:hideMark/>
          </w:tcPr>
          <w:p w14:paraId="7A3693C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[3.15, 3.26]</w:t>
            </w:r>
          </w:p>
        </w:tc>
        <w:tc>
          <w:tcPr>
            <w:tcW w:w="1166" w:type="dxa"/>
            <w:tcBorders>
              <w:top w:val="nil"/>
              <w:left w:val="nil"/>
              <w:bottom w:val="nil"/>
              <w:right w:val="nil"/>
            </w:tcBorders>
            <w:shd w:val="clear" w:color="auto" w:fill="auto"/>
            <w:noWrap/>
            <w:vAlign w:val="bottom"/>
            <w:hideMark/>
          </w:tcPr>
          <w:p w14:paraId="1AD0A37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3.30</w:t>
            </w:r>
          </w:p>
        </w:tc>
        <w:tc>
          <w:tcPr>
            <w:tcW w:w="1318" w:type="dxa"/>
            <w:tcBorders>
              <w:top w:val="nil"/>
              <w:left w:val="nil"/>
              <w:bottom w:val="nil"/>
              <w:right w:val="nil"/>
            </w:tcBorders>
            <w:shd w:val="clear" w:color="auto" w:fill="auto"/>
            <w:noWrap/>
            <w:vAlign w:val="bottom"/>
            <w:hideMark/>
          </w:tcPr>
          <w:p w14:paraId="511B180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[3.08, 3.53]</w:t>
            </w:r>
          </w:p>
        </w:tc>
        <w:tc>
          <w:tcPr>
            <w:tcW w:w="1219" w:type="dxa"/>
            <w:tcBorders>
              <w:top w:val="nil"/>
              <w:left w:val="nil"/>
              <w:bottom w:val="nil"/>
              <w:right w:val="nil"/>
            </w:tcBorders>
            <w:shd w:val="clear" w:color="auto" w:fill="auto"/>
            <w:noWrap/>
            <w:vAlign w:val="bottom"/>
            <w:hideMark/>
          </w:tcPr>
          <w:p w14:paraId="177535D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-0.10</w:t>
            </w:r>
          </w:p>
        </w:tc>
        <w:tc>
          <w:tcPr>
            <w:tcW w:w="1496" w:type="dxa"/>
            <w:tcBorders>
              <w:top w:val="nil"/>
              <w:left w:val="nil"/>
              <w:bottom w:val="nil"/>
              <w:right w:val="nil"/>
            </w:tcBorders>
            <w:shd w:val="clear" w:color="auto" w:fill="auto"/>
            <w:noWrap/>
            <w:vAlign w:val="bottom"/>
            <w:hideMark/>
          </w:tcPr>
          <w:p w14:paraId="069FFBB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[0.07</w:t>
            </w:r>
            <w:proofErr w:type="gramStart"/>
            <w:r w:rsidRPr="00F839D1">
              <w:rPr>
                <w:rFonts w:ascii="Arial" w:eastAsia="Times New Roman" w:hAnsi="Arial" w:cs="Arial"/>
                <w:color w:val="000000"/>
              </w:rPr>
              <w:t>,  -</w:t>
            </w:r>
            <w:proofErr w:type="gramEnd"/>
            <w:r w:rsidRPr="00F839D1">
              <w:rPr>
                <w:rFonts w:ascii="Arial" w:eastAsia="Times New Roman" w:hAnsi="Arial" w:cs="Arial"/>
                <w:color w:val="000000"/>
              </w:rPr>
              <w:t>0.27]</w:t>
            </w:r>
          </w:p>
        </w:tc>
        <w:tc>
          <w:tcPr>
            <w:tcW w:w="253" w:type="dxa"/>
            <w:vAlign w:val="center"/>
            <w:hideMark/>
          </w:tcPr>
          <w:p w14:paraId="42873C58"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3DD2DF05" w14:textId="77777777" w:rsidTr="007027B1">
        <w:trPr>
          <w:trHeight w:val="226"/>
        </w:trPr>
        <w:tc>
          <w:tcPr>
            <w:tcW w:w="1600" w:type="dxa"/>
            <w:tcBorders>
              <w:top w:val="nil"/>
              <w:left w:val="nil"/>
              <w:bottom w:val="nil"/>
              <w:right w:val="nil"/>
            </w:tcBorders>
            <w:shd w:val="clear" w:color="auto" w:fill="auto"/>
            <w:noWrap/>
            <w:vAlign w:val="bottom"/>
            <w:hideMark/>
          </w:tcPr>
          <w:p w14:paraId="28DE72F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Spain</w:t>
            </w:r>
          </w:p>
        </w:tc>
        <w:tc>
          <w:tcPr>
            <w:tcW w:w="749" w:type="dxa"/>
            <w:tcBorders>
              <w:top w:val="nil"/>
              <w:left w:val="nil"/>
              <w:bottom w:val="nil"/>
              <w:right w:val="nil"/>
            </w:tcBorders>
            <w:shd w:val="clear" w:color="auto" w:fill="auto"/>
            <w:noWrap/>
            <w:vAlign w:val="bottom"/>
            <w:hideMark/>
          </w:tcPr>
          <w:p w14:paraId="78ECF73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4.37</w:t>
            </w:r>
          </w:p>
        </w:tc>
        <w:tc>
          <w:tcPr>
            <w:tcW w:w="865" w:type="dxa"/>
            <w:tcBorders>
              <w:top w:val="nil"/>
              <w:left w:val="nil"/>
              <w:bottom w:val="nil"/>
              <w:right w:val="nil"/>
            </w:tcBorders>
            <w:shd w:val="clear" w:color="auto" w:fill="auto"/>
            <w:noWrap/>
            <w:vAlign w:val="bottom"/>
            <w:hideMark/>
          </w:tcPr>
          <w:p w14:paraId="35D608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2.28</w:t>
            </w:r>
          </w:p>
        </w:tc>
        <w:tc>
          <w:tcPr>
            <w:tcW w:w="1418" w:type="dxa"/>
            <w:tcBorders>
              <w:top w:val="nil"/>
              <w:left w:val="nil"/>
              <w:bottom w:val="nil"/>
              <w:right w:val="nil"/>
            </w:tcBorders>
            <w:shd w:val="clear" w:color="auto" w:fill="auto"/>
            <w:noWrap/>
            <w:vAlign w:val="bottom"/>
            <w:hideMark/>
          </w:tcPr>
          <w:p w14:paraId="6F0B1DD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[2.18, 2.39]</w:t>
            </w:r>
          </w:p>
        </w:tc>
        <w:tc>
          <w:tcPr>
            <w:tcW w:w="1166" w:type="dxa"/>
            <w:tcBorders>
              <w:top w:val="nil"/>
              <w:left w:val="nil"/>
              <w:bottom w:val="nil"/>
              <w:right w:val="nil"/>
            </w:tcBorders>
            <w:shd w:val="clear" w:color="auto" w:fill="auto"/>
            <w:noWrap/>
            <w:vAlign w:val="bottom"/>
            <w:hideMark/>
          </w:tcPr>
          <w:p w14:paraId="188597D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3.20</w:t>
            </w:r>
          </w:p>
        </w:tc>
        <w:tc>
          <w:tcPr>
            <w:tcW w:w="1318" w:type="dxa"/>
            <w:tcBorders>
              <w:top w:val="nil"/>
              <w:left w:val="nil"/>
              <w:bottom w:val="nil"/>
              <w:right w:val="nil"/>
            </w:tcBorders>
            <w:shd w:val="clear" w:color="auto" w:fill="auto"/>
            <w:noWrap/>
            <w:vAlign w:val="bottom"/>
            <w:hideMark/>
          </w:tcPr>
          <w:p w14:paraId="581E734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[2.97, 3.43]</w:t>
            </w:r>
          </w:p>
        </w:tc>
        <w:tc>
          <w:tcPr>
            <w:tcW w:w="1219" w:type="dxa"/>
            <w:tcBorders>
              <w:top w:val="nil"/>
              <w:left w:val="nil"/>
              <w:bottom w:val="nil"/>
              <w:right w:val="nil"/>
            </w:tcBorders>
            <w:shd w:val="clear" w:color="auto" w:fill="auto"/>
            <w:noWrap/>
            <w:vAlign w:val="bottom"/>
            <w:hideMark/>
          </w:tcPr>
          <w:p w14:paraId="2338A39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-0.92</w:t>
            </w:r>
          </w:p>
        </w:tc>
        <w:tc>
          <w:tcPr>
            <w:tcW w:w="1496" w:type="dxa"/>
            <w:tcBorders>
              <w:top w:val="nil"/>
              <w:left w:val="nil"/>
              <w:bottom w:val="nil"/>
              <w:right w:val="nil"/>
            </w:tcBorders>
            <w:shd w:val="clear" w:color="auto" w:fill="auto"/>
            <w:noWrap/>
            <w:vAlign w:val="bottom"/>
            <w:hideMark/>
          </w:tcPr>
          <w:p w14:paraId="4EE9827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[-0.80, -1.04]</w:t>
            </w:r>
          </w:p>
        </w:tc>
        <w:tc>
          <w:tcPr>
            <w:tcW w:w="253" w:type="dxa"/>
            <w:vAlign w:val="center"/>
            <w:hideMark/>
          </w:tcPr>
          <w:p w14:paraId="6F3E2308"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B2A3BE3" w14:textId="77777777" w:rsidTr="007027B1">
        <w:trPr>
          <w:trHeight w:val="226"/>
        </w:trPr>
        <w:tc>
          <w:tcPr>
            <w:tcW w:w="1600" w:type="dxa"/>
            <w:tcBorders>
              <w:top w:val="nil"/>
              <w:left w:val="nil"/>
              <w:bottom w:val="nil"/>
              <w:right w:val="nil"/>
            </w:tcBorders>
            <w:shd w:val="clear" w:color="auto" w:fill="auto"/>
            <w:noWrap/>
            <w:vAlign w:val="bottom"/>
            <w:hideMark/>
          </w:tcPr>
          <w:p w14:paraId="5DC2990F"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Sweden</w:t>
            </w:r>
          </w:p>
        </w:tc>
        <w:tc>
          <w:tcPr>
            <w:tcW w:w="749" w:type="dxa"/>
            <w:tcBorders>
              <w:top w:val="nil"/>
              <w:left w:val="nil"/>
              <w:bottom w:val="nil"/>
              <w:right w:val="nil"/>
            </w:tcBorders>
            <w:shd w:val="clear" w:color="auto" w:fill="auto"/>
            <w:noWrap/>
            <w:vAlign w:val="bottom"/>
            <w:hideMark/>
          </w:tcPr>
          <w:p w14:paraId="0D76B0E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2.73</w:t>
            </w:r>
          </w:p>
        </w:tc>
        <w:tc>
          <w:tcPr>
            <w:tcW w:w="865" w:type="dxa"/>
            <w:tcBorders>
              <w:top w:val="nil"/>
              <w:left w:val="nil"/>
              <w:bottom w:val="nil"/>
              <w:right w:val="nil"/>
            </w:tcBorders>
            <w:shd w:val="clear" w:color="auto" w:fill="auto"/>
            <w:noWrap/>
            <w:vAlign w:val="bottom"/>
            <w:hideMark/>
          </w:tcPr>
          <w:p w14:paraId="1D6DBA0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2.12</w:t>
            </w:r>
          </w:p>
        </w:tc>
        <w:tc>
          <w:tcPr>
            <w:tcW w:w="1418" w:type="dxa"/>
            <w:tcBorders>
              <w:top w:val="nil"/>
              <w:left w:val="nil"/>
              <w:bottom w:val="nil"/>
              <w:right w:val="nil"/>
            </w:tcBorders>
            <w:shd w:val="clear" w:color="auto" w:fill="auto"/>
            <w:noWrap/>
            <w:vAlign w:val="bottom"/>
            <w:hideMark/>
          </w:tcPr>
          <w:p w14:paraId="1586812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[2.00, 2.24]</w:t>
            </w:r>
          </w:p>
        </w:tc>
        <w:tc>
          <w:tcPr>
            <w:tcW w:w="1166" w:type="dxa"/>
            <w:tcBorders>
              <w:top w:val="nil"/>
              <w:left w:val="nil"/>
              <w:bottom w:val="nil"/>
              <w:right w:val="nil"/>
            </w:tcBorders>
            <w:shd w:val="clear" w:color="auto" w:fill="auto"/>
            <w:noWrap/>
            <w:vAlign w:val="bottom"/>
            <w:hideMark/>
          </w:tcPr>
          <w:p w14:paraId="64156A2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2.29</w:t>
            </w:r>
          </w:p>
        </w:tc>
        <w:tc>
          <w:tcPr>
            <w:tcW w:w="1318" w:type="dxa"/>
            <w:tcBorders>
              <w:top w:val="nil"/>
              <w:left w:val="nil"/>
              <w:bottom w:val="nil"/>
              <w:right w:val="nil"/>
            </w:tcBorders>
            <w:shd w:val="clear" w:color="auto" w:fill="auto"/>
            <w:noWrap/>
            <w:vAlign w:val="bottom"/>
            <w:hideMark/>
          </w:tcPr>
          <w:p w14:paraId="2495D10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[2.17, 2.41]</w:t>
            </w:r>
          </w:p>
        </w:tc>
        <w:tc>
          <w:tcPr>
            <w:tcW w:w="1219" w:type="dxa"/>
            <w:tcBorders>
              <w:top w:val="nil"/>
              <w:left w:val="nil"/>
              <w:bottom w:val="nil"/>
              <w:right w:val="nil"/>
            </w:tcBorders>
            <w:shd w:val="clear" w:color="auto" w:fill="auto"/>
            <w:noWrap/>
            <w:vAlign w:val="bottom"/>
            <w:hideMark/>
          </w:tcPr>
          <w:p w14:paraId="2280CD3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-0.17</w:t>
            </w:r>
          </w:p>
        </w:tc>
        <w:tc>
          <w:tcPr>
            <w:tcW w:w="1496" w:type="dxa"/>
            <w:tcBorders>
              <w:top w:val="nil"/>
              <w:left w:val="nil"/>
              <w:bottom w:val="nil"/>
              <w:right w:val="nil"/>
            </w:tcBorders>
            <w:shd w:val="clear" w:color="auto" w:fill="auto"/>
            <w:noWrap/>
            <w:vAlign w:val="bottom"/>
            <w:hideMark/>
          </w:tcPr>
          <w:p w14:paraId="424E72E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[-0.17, -0.16]</w:t>
            </w:r>
          </w:p>
        </w:tc>
        <w:tc>
          <w:tcPr>
            <w:tcW w:w="253" w:type="dxa"/>
            <w:vAlign w:val="center"/>
            <w:hideMark/>
          </w:tcPr>
          <w:p w14:paraId="5699F3C9"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4F0C88C" w14:textId="77777777" w:rsidTr="00C93A2F">
        <w:trPr>
          <w:trHeight w:val="226"/>
        </w:trPr>
        <w:tc>
          <w:tcPr>
            <w:tcW w:w="1600" w:type="dxa"/>
            <w:tcBorders>
              <w:top w:val="nil"/>
              <w:left w:val="nil"/>
              <w:bottom w:val="nil"/>
              <w:right w:val="nil"/>
            </w:tcBorders>
            <w:shd w:val="clear" w:color="auto" w:fill="auto"/>
            <w:noWrap/>
            <w:vAlign w:val="bottom"/>
            <w:hideMark/>
          </w:tcPr>
          <w:p w14:paraId="4E485373"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Switzerland</w:t>
            </w:r>
          </w:p>
        </w:tc>
        <w:tc>
          <w:tcPr>
            <w:tcW w:w="749" w:type="dxa"/>
            <w:tcBorders>
              <w:top w:val="nil"/>
              <w:left w:val="nil"/>
              <w:bottom w:val="nil"/>
              <w:right w:val="nil"/>
            </w:tcBorders>
            <w:shd w:val="clear" w:color="auto" w:fill="auto"/>
            <w:noWrap/>
            <w:vAlign w:val="bottom"/>
            <w:hideMark/>
          </w:tcPr>
          <w:p w14:paraId="47B6307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3.26</w:t>
            </w:r>
          </w:p>
        </w:tc>
        <w:tc>
          <w:tcPr>
            <w:tcW w:w="865" w:type="dxa"/>
            <w:tcBorders>
              <w:top w:val="nil"/>
              <w:left w:val="nil"/>
              <w:bottom w:val="nil"/>
              <w:right w:val="nil"/>
            </w:tcBorders>
            <w:shd w:val="clear" w:color="auto" w:fill="auto"/>
            <w:noWrap/>
            <w:vAlign w:val="bottom"/>
            <w:hideMark/>
          </w:tcPr>
          <w:p w14:paraId="336EA0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2.28</w:t>
            </w:r>
          </w:p>
        </w:tc>
        <w:tc>
          <w:tcPr>
            <w:tcW w:w="1418" w:type="dxa"/>
            <w:tcBorders>
              <w:top w:val="nil"/>
              <w:left w:val="nil"/>
              <w:bottom w:val="nil"/>
              <w:right w:val="nil"/>
            </w:tcBorders>
            <w:shd w:val="clear" w:color="auto" w:fill="auto"/>
            <w:noWrap/>
            <w:vAlign w:val="bottom"/>
            <w:hideMark/>
          </w:tcPr>
          <w:p w14:paraId="35FDC8A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[2.03, 2.52]</w:t>
            </w:r>
          </w:p>
        </w:tc>
        <w:tc>
          <w:tcPr>
            <w:tcW w:w="1166" w:type="dxa"/>
            <w:tcBorders>
              <w:top w:val="nil"/>
              <w:left w:val="nil"/>
              <w:bottom w:val="nil"/>
              <w:right w:val="nil"/>
            </w:tcBorders>
            <w:shd w:val="clear" w:color="auto" w:fill="auto"/>
            <w:noWrap/>
            <w:vAlign w:val="bottom"/>
            <w:hideMark/>
          </w:tcPr>
          <w:p w14:paraId="640719D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2.77</w:t>
            </w:r>
          </w:p>
        </w:tc>
        <w:tc>
          <w:tcPr>
            <w:tcW w:w="1318" w:type="dxa"/>
            <w:tcBorders>
              <w:top w:val="nil"/>
              <w:left w:val="nil"/>
              <w:bottom w:val="nil"/>
              <w:right w:val="nil"/>
            </w:tcBorders>
            <w:shd w:val="clear" w:color="auto" w:fill="auto"/>
            <w:noWrap/>
            <w:vAlign w:val="bottom"/>
            <w:hideMark/>
          </w:tcPr>
          <w:p w14:paraId="7F7713E9"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[2.59, 2.95]</w:t>
            </w:r>
          </w:p>
        </w:tc>
        <w:tc>
          <w:tcPr>
            <w:tcW w:w="1219" w:type="dxa"/>
            <w:tcBorders>
              <w:top w:val="nil"/>
              <w:left w:val="nil"/>
              <w:bottom w:val="nil"/>
              <w:right w:val="nil"/>
            </w:tcBorders>
            <w:shd w:val="clear" w:color="auto" w:fill="auto"/>
            <w:noWrap/>
            <w:vAlign w:val="bottom"/>
            <w:hideMark/>
          </w:tcPr>
          <w:p w14:paraId="1643C47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-0.49</w:t>
            </w:r>
          </w:p>
        </w:tc>
        <w:tc>
          <w:tcPr>
            <w:tcW w:w="1496" w:type="dxa"/>
            <w:tcBorders>
              <w:top w:val="nil"/>
              <w:left w:val="nil"/>
              <w:bottom w:val="nil"/>
              <w:right w:val="nil"/>
            </w:tcBorders>
            <w:shd w:val="clear" w:color="auto" w:fill="auto"/>
            <w:noWrap/>
            <w:vAlign w:val="bottom"/>
            <w:hideMark/>
          </w:tcPr>
          <w:p w14:paraId="40D3BAA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[-0.55, -0.43]</w:t>
            </w:r>
          </w:p>
        </w:tc>
        <w:tc>
          <w:tcPr>
            <w:tcW w:w="253" w:type="dxa"/>
            <w:vAlign w:val="center"/>
            <w:hideMark/>
          </w:tcPr>
          <w:p w14:paraId="15AC7AD4" w14:textId="77777777" w:rsidR="00F839D1" w:rsidRPr="00F839D1" w:rsidRDefault="00F839D1" w:rsidP="00F839D1">
            <w:pPr>
              <w:spacing w:after="0"/>
              <w:rPr>
                <w:rFonts w:ascii="Times New Roman" w:eastAsia="Times New Roman" w:hAnsi="Times New Roman" w:cs="Times New Roman"/>
                <w:sz w:val="20"/>
                <w:szCs w:val="20"/>
              </w:rPr>
            </w:pPr>
          </w:p>
        </w:tc>
      </w:tr>
      <w:tr w:rsidR="00C93A2F" w:rsidRPr="00F839D1" w14:paraId="3811BCBD" w14:textId="77777777" w:rsidTr="007027B1">
        <w:trPr>
          <w:trHeight w:val="226"/>
        </w:trPr>
        <w:tc>
          <w:tcPr>
            <w:tcW w:w="1600" w:type="dxa"/>
            <w:tcBorders>
              <w:top w:val="nil"/>
              <w:left w:val="nil"/>
              <w:bottom w:val="single" w:sz="4" w:space="0" w:color="auto"/>
              <w:right w:val="nil"/>
            </w:tcBorders>
            <w:shd w:val="clear" w:color="auto" w:fill="auto"/>
            <w:noWrap/>
            <w:vAlign w:val="bottom"/>
          </w:tcPr>
          <w:p w14:paraId="45597041" w14:textId="77777777" w:rsidR="00C93A2F" w:rsidRPr="00F839D1" w:rsidRDefault="00C93A2F" w:rsidP="00F839D1">
            <w:pPr>
              <w:spacing w:after="0"/>
              <w:jc w:val="right"/>
              <w:rPr>
                <w:rFonts w:ascii="Arial" w:eastAsia="Times New Roman" w:hAnsi="Arial" w:cs="Arial"/>
                <w:color w:val="000000"/>
              </w:rPr>
            </w:pPr>
          </w:p>
        </w:tc>
        <w:tc>
          <w:tcPr>
            <w:tcW w:w="749" w:type="dxa"/>
            <w:tcBorders>
              <w:top w:val="nil"/>
              <w:left w:val="nil"/>
              <w:bottom w:val="single" w:sz="4" w:space="0" w:color="auto"/>
              <w:right w:val="nil"/>
            </w:tcBorders>
            <w:shd w:val="clear" w:color="auto" w:fill="auto"/>
            <w:noWrap/>
            <w:vAlign w:val="bottom"/>
          </w:tcPr>
          <w:p w14:paraId="133448CE" w14:textId="77777777" w:rsidR="00C93A2F" w:rsidRPr="00F839D1" w:rsidRDefault="00C93A2F" w:rsidP="00F839D1">
            <w:pPr>
              <w:spacing w:after="0"/>
              <w:jc w:val="center"/>
              <w:rPr>
                <w:rFonts w:ascii="Arial" w:eastAsia="Times New Roman" w:hAnsi="Arial" w:cs="Arial"/>
                <w:color w:val="000000"/>
              </w:rPr>
            </w:pPr>
          </w:p>
        </w:tc>
        <w:tc>
          <w:tcPr>
            <w:tcW w:w="865" w:type="dxa"/>
            <w:tcBorders>
              <w:top w:val="nil"/>
              <w:left w:val="nil"/>
              <w:bottom w:val="single" w:sz="4" w:space="0" w:color="auto"/>
              <w:right w:val="nil"/>
            </w:tcBorders>
            <w:shd w:val="clear" w:color="auto" w:fill="auto"/>
            <w:noWrap/>
            <w:vAlign w:val="bottom"/>
          </w:tcPr>
          <w:p w14:paraId="57D9BC7C" w14:textId="77777777" w:rsidR="00C93A2F" w:rsidRPr="00F839D1" w:rsidRDefault="00C93A2F" w:rsidP="00F839D1">
            <w:pPr>
              <w:spacing w:after="0"/>
              <w:jc w:val="center"/>
              <w:rPr>
                <w:rFonts w:ascii="Arial" w:eastAsia="Times New Roman" w:hAnsi="Arial" w:cs="Arial"/>
                <w:color w:val="000000"/>
              </w:rPr>
            </w:pPr>
          </w:p>
        </w:tc>
        <w:tc>
          <w:tcPr>
            <w:tcW w:w="1418" w:type="dxa"/>
            <w:tcBorders>
              <w:top w:val="nil"/>
              <w:left w:val="nil"/>
              <w:bottom w:val="single" w:sz="4" w:space="0" w:color="auto"/>
              <w:right w:val="nil"/>
            </w:tcBorders>
            <w:shd w:val="clear" w:color="auto" w:fill="auto"/>
            <w:noWrap/>
            <w:vAlign w:val="bottom"/>
          </w:tcPr>
          <w:p w14:paraId="5720BCFC" w14:textId="77777777" w:rsidR="00C93A2F" w:rsidRPr="00F839D1" w:rsidRDefault="00C93A2F" w:rsidP="00F839D1">
            <w:pPr>
              <w:spacing w:after="0"/>
              <w:rPr>
                <w:rFonts w:ascii="Arial" w:eastAsia="Times New Roman" w:hAnsi="Arial" w:cs="Arial"/>
                <w:color w:val="000000"/>
              </w:rPr>
            </w:pPr>
          </w:p>
        </w:tc>
        <w:tc>
          <w:tcPr>
            <w:tcW w:w="1166" w:type="dxa"/>
            <w:tcBorders>
              <w:top w:val="nil"/>
              <w:left w:val="nil"/>
              <w:bottom w:val="single" w:sz="4" w:space="0" w:color="auto"/>
              <w:right w:val="nil"/>
            </w:tcBorders>
            <w:shd w:val="clear" w:color="auto" w:fill="auto"/>
            <w:noWrap/>
            <w:vAlign w:val="bottom"/>
          </w:tcPr>
          <w:p w14:paraId="1DFEE485" w14:textId="77777777" w:rsidR="00C93A2F" w:rsidRPr="00F839D1" w:rsidRDefault="00C93A2F" w:rsidP="00F839D1">
            <w:pPr>
              <w:spacing w:after="0"/>
              <w:jc w:val="center"/>
              <w:rPr>
                <w:rFonts w:ascii="Arial" w:eastAsia="Times New Roman" w:hAnsi="Arial" w:cs="Arial"/>
                <w:color w:val="000000"/>
              </w:rPr>
            </w:pPr>
          </w:p>
        </w:tc>
        <w:tc>
          <w:tcPr>
            <w:tcW w:w="1318" w:type="dxa"/>
            <w:tcBorders>
              <w:top w:val="nil"/>
              <w:left w:val="nil"/>
              <w:bottom w:val="single" w:sz="4" w:space="0" w:color="auto"/>
              <w:right w:val="nil"/>
            </w:tcBorders>
            <w:shd w:val="clear" w:color="auto" w:fill="auto"/>
            <w:noWrap/>
            <w:vAlign w:val="bottom"/>
          </w:tcPr>
          <w:p w14:paraId="5691750B" w14:textId="77777777" w:rsidR="00C93A2F" w:rsidRPr="00F839D1" w:rsidRDefault="00C93A2F" w:rsidP="00F839D1">
            <w:pPr>
              <w:spacing w:after="0"/>
              <w:rPr>
                <w:rFonts w:ascii="Arial" w:eastAsia="Times New Roman" w:hAnsi="Arial" w:cs="Arial"/>
                <w:color w:val="000000"/>
              </w:rPr>
            </w:pPr>
          </w:p>
        </w:tc>
        <w:tc>
          <w:tcPr>
            <w:tcW w:w="1219" w:type="dxa"/>
            <w:tcBorders>
              <w:top w:val="nil"/>
              <w:left w:val="nil"/>
              <w:bottom w:val="single" w:sz="4" w:space="0" w:color="auto"/>
              <w:right w:val="nil"/>
            </w:tcBorders>
            <w:shd w:val="clear" w:color="auto" w:fill="auto"/>
            <w:noWrap/>
            <w:vAlign w:val="bottom"/>
          </w:tcPr>
          <w:p w14:paraId="2543FFB7" w14:textId="77777777" w:rsidR="00C93A2F" w:rsidRPr="00F839D1" w:rsidRDefault="00C93A2F" w:rsidP="00F839D1">
            <w:pPr>
              <w:spacing w:after="0"/>
              <w:jc w:val="center"/>
              <w:rPr>
                <w:rFonts w:ascii="Arial" w:eastAsia="Times New Roman" w:hAnsi="Arial" w:cs="Arial"/>
                <w:color w:val="000000"/>
              </w:rPr>
            </w:pPr>
          </w:p>
        </w:tc>
        <w:tc>
          <w:tcPr>
            <w:tcW w:w="1496" w:type="dxa"/>
            <w:tcBorders>
              <w:top w:val="nil"/>
              <w:left w:val="nil"/>
              <w:bottom w:val="single" w:sz="4" w:space="0" w:color="auto"/>
              <w:right w:val="nil"/>
            </w:tcBorders>
            <w:shd w:val="clear" w:color="auto" w:fill="auto"/>
            <w:noWrap/>
            <w:vAlign w:val="bottom"/>
          </w:tcPr>
          <w:p w14:paraId="3CB5C55B" w14:textId="77777777" w:rsidR="00C93A2F" w:rsidRPr="00F839D1" w:rsidRDefault="00C93A2F" w:rsidP="00F839D1">
            <w:pPr>
              <w:spacing w:after="0"/>
              <w:rPr>
                <w:rFonts w:ascii="Arial" w:eastAsia="Times New Roman" w:hAnsi="Arial" w:cs="Arial"/>
                <w:color w:val="000000"/>
              </w:rPr>
            </w:pPr>
          </w:p>
        </w:tc>
        <w:tc>
          <w:tcPr>
            <w:tcW w:w="253" w:type="dxa"/>
            <w:vAlign w:val="center"/>
          </w:tcPr>
          <w:p w14:paraId="2460FE8A" w14:textId="77777777" w:rsidR="00C93A2F" w:rsidRPr="00F839D1" w:rsidRDefault="00C93A2F" w:rsidP="00F839D1">
            <w:pPr>
              <w:spacing w:after="0"/>
              <w:rPr>
                <w:rFonts w:ascii="Times New Roman" w:eastAsia="Times New Roman" w:hAnsi="Times New Roman" w:cs="Times New Roman"/>
                <w:sz w:val="20"/>
                <w:szCs w:val="20"/>
              </w:rPr>
            </w:pPr>
          </w:p>
        </w:tc>
      </w:tr>
    </w:tbl>
    <w:p w14:paraId="4BF3198F" w14:textId="77777777" w:rsidR="001D31AB" w:rsidRDefault="001D31AB" w:rsidP="007027B1">
      <w:pPr>
        <w:keepNext/>
        <w:spacing w:before="240" w:after="240" w:line="360" w:lineRule="auto"/>
        <w:jc w:val="both"/>
        <w:rPr>
          <w:rFonts w:ascii="Arial" w:eastAsia="Georgia" w:hAnsi="Arial" w:cs="Arial"/>
          <w:b/>
          <w:sz w:val="24"/>
          <w:szCs w:val="24"/>
          <w:highlight w:val="white"/>
        </w:rPr>
      </w:pPr>
    </w:p>
    <w:p w14:paraId="639596EA" w14:textId="6B58E26B" w:rsidR="001D31AB" w:rsidRPr="00FE7042" w:rsidRDefault="00834175" w:rsidP="007027B1">
      <w:pPr>
        <w:keepNext/>
        <w:spacing w:before="240" w:after="240" w:line="360" w:lineRule="auto"/>
        <w:jc w:val="both"/>
        <w:rPr>
          <w:rFonts w:ascii="Arial" w:eastAsia="Georgia" w:hAnsi="Arial" w:cs="Arial"/>
          <w:sz w:val="24"/>
          <w:szCs w:val="24"/>
          <w:highlight w:val="white"/>
        </w:rPr>
      </w:pPr>
      <w:r>
        <w:rPr>
          <w:rFonts w:ascii="Arial" w:eastAsia="Georgia" w:hAnsi="Arial" w:cs="Arial"/>
          <w:b/>
          <w:sz w:val="24"/>
          <w:szCs w:val="24"/>
          <w:highlight w:val="white"/>
        </w:rPr>
        <w:t>Table</w:t>
      </w:r>
      <w:r w:rsidRPr="00FE7042">
        <w:rPr>
          <w:rFonts w:ascii="Arial" w:eastAsia="Georgia" w:hAnsi="Arial" w:cs="Arial"/>
          <w:b/>
          <w:sz w:val="24"/>
          <w:szCs w:val="24"/>
          <w:highlight w:val="white"/>
        </w:rPr>
        <w:t xml:space="preserve"> </w:t>
      </w:r>
      <w:r>
        <w:rPr>
          <w:rFonts w:ascii="Arial" w:eastAsia="Georgia" w:hAnsi="Arial" w:cs="Arial"/>
          <w:b/>
          <w:sz w:val="24"/>
          <w:szCs w:val="24"/>
          <w:highlight w:val="white"/>
        </w:rPr>
        <w:t>2</w:t>
      </w:r>
      <w:r w:rsidRPr="00FE7042">
        <w:rPr>
          <w:rFonts w:ascii="Arial" w:eastAsia="Georgia" w:hAnsi="Arial" w:cs="Arial"/>
          <w:b/>
          <w:sz w:val="24"/>
          <w:szCs w:val="24"/>
          <w:highlight w:val="white"/>
        </w:rPr>
        <w:t>.</w:t>
      </w:r>
      <w:r w:rsidRPr="00FE7042">
        <w:rPr>
          <w:rFonts w:ascii="Arial" w:eastAsia="Georgia" w:hAnsi="Arial" w:cs="Arial"/>
          <w:sz w:val="24"/>
          <w:szCs w:val="24"/>
          <w:highlight w:val="white"/>
        </w:rPr>
        <w:t xml:space="preserve"> Decomposition of the gender gap in </w:t>
      </w:r>
      <w:r>
        <w:rPr>
          <w:rFonts w:ascii="Arial" w:eastAsia="Georgia" w:hAnsi="Arial" w:cs="Arial"/>
          <w:sz w:val="24"/>
          <w:szCs w:val="24"/>
          <w:highlight w:val="white"/>
        </w:rPr>
        <w:t>chronic disease</w:t>
      </w:r>
      <w:r w:rsidRPr="00FE7042">
        <w:rPr>
          <w:rFonts w:ascii="Arial" w:eastAsia="Georgia" w:hAnsi="Arial" w:cs="Arial"/>
          <w:sz w:val="24"/>
          <w:szCs w:val="24"/>
          <w:highlight w:val="white"/>
        </w:rPr>
        <w:t>-free life expectancy (</w:t>
      </w:r>
      <w:r>
        <w:rPr>
          <w:rFonts w:ascii="Arial" w:eastAsia="Georgia" w:hAnsi="Arial" w:cs="Arial"/>
          <w:sz w:val="24"/>
          <w:szCs w:val="24"/>
          <w:highlight w:val="white"/>
        </w:rPr>
        <w:t>C</w:t>
      </w:r>
      <w:r w:rsidRPr="00FE7042">
        <w:rPr>
          <w:rFonts w:ascii="Arial" w:eastAsia="Georgia" w:hAnsi="Arial" w:cs="Arial"/>
          <w:sz w:val="24"/>
          <w:szCs w:val="24"/>
          <w:highlight w:val="white"/>
        </w:rPr>
        <w:t>FLE)</w:t>
      </w:r>
      <w:r>
        <w:rPr>
          <w:rFonts w:ascii="Arial" w:eastAsia="Georgia" w:hAnsi="Arial" w:cs="Arial"/>
          <w:sz w:val="24"/>
          <w:szCs w:val="24"/>
          <w:highlight w:val="white"/>
        </w:rPr>
        <w:t xml:space="preserve"> </w:t>
      </w:r>
      <w:r w:rsidRPr="00FE7042">
        <w:rPr>
          <w:rFonts w:ascii="Arial" w:eastAsia="Georgia" w:hAnsi="Arial" w:cs="Arial"/>
          <w:sz w:val="24"/>
          <w:szCs w:val="24"/>
          <w:highlight w:val="white"/>
        </w:rPr>
        <w:t xml:space="preserve">at ages 60+ into mortality and </w:t>
      </w:r>
      <w:r>
        <w:rPr>
          <w:rFonts w:ascii="Arial" w:eastAsia="Georgia" w:hAnsi="Arial" w:cs="Arial"/>
          <w:sz w:val="24"/>
          <w:szCs w:val="24"/>
          <w:highlight w:val="white"/>
        </w:rPr>
        <w:t>disability</w:t>
      </w:r>
      <w:r w:rsidRPr="00FE7042">
        <w:rPr>
          <w:rFonts w:ascii="Arial" w:eastAsia="Georgia" w:hAnsi="Arial" w:cs="Arial"/>
          <w:sz w:val="24"/>
          <w:szCs w:val="24"/>
          <w:highlight w:val="white"/>
        </w:rPr>
        <w:t xml:space="preserve"> effects by country</w:t>
      </w:r>
      <w:r>
        <w:rPr>
          <w:rFonts w:ascii="Arial" w:eastAsia="Georgia" w:hAnsi="Arial" w:cs="Arial"/>
          <w:sz w:val="24"/>
          <w:szCs w:val="24"/>
          <w:highlight w:val="white"/>
        </w:rPr>
        <w:t>, with 95% confidence intervals.</w:t>
      </w:r>
    </w:p>
    <w:tbl>
      <w:tblPr>
        <w:tblW w:w="10265" w:type="dxa"/>
        <w:tblLook w:val="04A0" w:firstRow="1" w:lastRow="0" w:firstColumn="1" w:lastColumn="0" w:noHBand="0" w:noVBand="1"/>
      </w:tblPr>
      <w:tblGrid>
        <w:gridCol w:w="1666"/>
        <w:gridCol w:w="748"/>
        <w:gridCol w:w="903"/>
        <w:gridCol w:w="1524"/>
        <w:gridCol w:w="1214"/>
        <w:gridCol w:w="1319"/>
        <w:gridCol w:w="1130"/>
        <w:gridCol w:w="1501"/>
        <w:gridCol w:w="261"/>
      </w:tblGrid>
      <w:tr w:rsidR="00CA26BF" w:rsidRPr="00CA26BF" w14:paraId="69B833A2" w14:textId="77777777" w:rsidTr="001D31AB">
        <w:trPr>
          <w:gridAfter w:val="1"/>
          <w:wAfter w:w="260" w:type="dxa"/>
          <w:trHeight w:val="251"/>
        </w:trPr>
        <w:tc>
          <w:tcPr>
            <w:tcW w:w="1666" w:type="dxa"/>
            <w:vMerge w:val="restart"/>
            <w:tcBorders>
              <w:top w:val="single" w:sz="4" w:space="0" w:color="auto"/>
              <w:left w:val="nil"/>
              <w:bottom w:val="single" w:sz="4" w:space="0" w:color="000000"/>
              <w:right w:val="nil"/>
            </w:tcBorders>
            <w:shd w:val="clear" w:color="auto" w:fill="auto"/>
            <w:noWrap/>
            <w:vAlign w:val="center"/>
            <w:hideMark/>
          </w:tcPr>
          <w:p w14:paraId="5720BEC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Country</w:t>
            </w:r>
          </w:p>
        </w:tc>
        <w:tc>
          <w:tcPr>
            <w:tcW w:w="748" w:type="dxa"/>
            <w:vMerge w:val="restart"/>
            <w:tcBorders>
              <w:top w:val="single" w:sz="4" w:space="0" w:color="auto"/>
              <w:left w:val="nil"/>
              <w:bottom w:val="single" w:sz="4" w:space="0" w:color="000000"/>
              <w:right w:val="nil"/>
            </w:tcBorders>
            <w:shd w:val="clear" w:color="auto" w:fill="auto"/>
            <w:noWrap/>
            <w:vAlign w:val="center"/>
            <w:hideMark/>
          </w:tcPr>
          <w:p w14:paraId="1E438BF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LE</w:t>
            </w:r>
          </w:p>
        </w:tc>
        <w:tc>
          <w:tcPr>
            <w:tcW w:w="903" w:type="dxa"/>
            <w:vMerge w:val="restart"/>
            <w:tcBorders>
              <w:top w:val="single" w:sz="4" w:space="0" w:color="auto"/>
              <w:left w:val="nil"/>
              <w:bottom w:val="single" w:sz="4" w:space="0" w:color="000000"/>
              <w:right w:val="nil"/>
            </w:tcBorders>
            <w:shd w:val="clear" w:color="auto" w:fill="auto"/>
            <w:noWrap/>
            <w:vAlign w:val="center"/>
            <w:hideMark/>
          </w:tcPr>
          <w:p w14:paraId="205E75D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CFLE</w:t>
            </w:r>
          </w:p>
        </w:tc>
        <w:tc>
          <w:tcPr>
            <w:tcW w:w="1524" w:type="dxa"/>
            <w:vMerge w:val="restart"/>
            <w:tcBorders>
              <w:top w:val="single" w:sz="4" w:space="0" w:color="auto"/>
              <w:left w:val="nil"/>
              <w:bottom w:val="single" w:sz="4" w:space="0" w:color="000000"/>
              <w:right w:val="nil"/>
            </w:tcBorders>
            <w:shd w:val="clear" w:color="auto" w:fill="auto"/>
            <w:noWrap/>
            <w:vAlign w:val="center"/>
            <w:hideMark/>
          </w:tcPr>
          <w:p w14:paraId="62DBF93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c>
          <w:tcPr>
            <w:tcW w:w="5164" w:type="dxa"/>
            <w:gridSpan w:val="4"/>
            <w:tcBorders>
              <w:top w:val="single" w:sz="4" w:space="0" w:color="auto"/>
              <w:left w:val="nil"/>
              <w:bottom w:val="single" w:sz="4" w:space="0" w:color="auto"/>
              <w:right w:val="nil"/>
            </w:tcBorders>
            <w:shd w:val="clear" w:color="auto" w:fill="auto"/>
            <w:noWrap/>
            <w:vAlign w:val="bottom"/>
            <w:hideMark/>
          </w:tcPr>
          <w:p w14:paraId="2BF4CF0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Components</w:t>
            </w:r>
          </w:p>
        </w:tc>
      </w:tr>
      <w:tr w:rsidR="00CA26BF" w:rsidRPr="00CA26BF" w14:paraId="2ADD6B23" w14:textId="77777777" w:rsidTr="001D31AB">
        <w:trPr>
          <w:gridAfter w:val="1"/>
          <w:wAfter w:w="261" w:type="dxa"/>
          <w:trHeight w:val="469"/>
        </w:trPr>
        <w:tc>
          <w:tcPr>
            <w:tcW w:w="1666" w:type="dxa"/>
            <w:vMerge/>
            <w:tcBorders>
              <w:top w:val="single" w:sz="4" w:space="0" w:color="auto"/>
              <w:left w:val="nil"/>
              <w:bottom w:val="single" w:sz="4" w:space="0" w:color="000000"/>
              <w:right w:val="nil"/>
            </w:tcBorders>
            <w:vAlign w:val="center"/>
            <w:hideMark/>
          </w:tcPr>
          <w:p w14:paraId="5AA1CF1A" w14:textId="77777777" w:rsidR="00CA26BF" w:rsidRPr="00CA26BF" w:rsidRDefault="00CA26BF" w:rsidP="00CA26BF">
            <w:pPr>
              <w:spacing w:after="0"/>
              <w:rPr>
                <w:rFonts w:ascii="Arial" w:eastAsia="Times New Roman" w:hAnsi="Arial" w:cs="Arial"/>
                <w:color w:val="000000"/>
              </w:rPr>
            </w:pPr>
          </w:p>
        </w:tc>
        <w:tc>
          <w:tcPr>
            <w:tcW w:w="748" w:type="dxa"/>
            <w:vMerge/>
            <w:tcBorders>
              <w:top w:val="single" w:sz="4" w:space="0" w:color="auto"/>
              <w:left w:val="nil"/>
              <w:bottom w:val="single" w:sz="4" w:space="0" w:color="000000"/>
              <w:right w:val="nil"/>
            </w:tcBorders>
            <w:vAlign w:val="center"/>
            <w:hideMark/>
          </w:tcPr>
          <w:p w14:paraId="0C92FEF3" w14:textId="77777777" w:rsidR="00CA26BF" w:rsidRPr="00CA26BF" w:rsidRDefault="00CA26BF" w:rsidP="00CA26BF">
            <w:pPr>
              <w:spacing w:after="0"/>
              <w:rPr>
                <w:rFonts w:ascii="Arial" w:eastAsia="Times New Roman" w:hAnsi="Arial" w:cs="Arial"/>
                <w:color w:val="000000"/>
              </w:rPr>
            </w:pPr>
          </w:p>
        </w:tc>
        <w:tc>
          <w:tcPr>
            <w:tcW w:w="903" w:type="dxa"/>
            <w:vMerge/>
            <w:tcBorders>
              <w:top w:val="single" w:sz="4" w:space="0" w:color="auto"/>
              <w:left w:val="nil"/>
              <w:bottom w:val="single" w:sz="4" w:space="0" w:color="000000"/>
              <w:right w:val="nil"/>
            </w:tcBorders>
            <w:vAlign w:val="center"/>
            <w:hideMark/>
          </w:tcPr>
          <w:p w14:paraId="7E4B7655" w14:textId="77777777" w:rsidR="00CA26BF" w:rsidRPr="00CA26BF" w:rsidRDefault="00CA26BF" w:rsidP="00CA26BF">
            <w:pPr>
              <w:spacing w:after="0"/>
              <w:rPr>
                <w:rFonts w:ascii="Arial" w:eastAsia="Times New Roman" w:hAnsi="Arial" w:cs="Arial"/>
                <w:color w:val="000000"/>
              </w:rPr>
            </w:pPr>
          </w:p>
        </w:tc>
        <w:tc>
          <w:tcPr>
            <w:tcW w:w="1524" w:type="dxa"/>
            <w:vMerge/>
            <w:tcBorders>
              <w:top w:val="single" w:sz="4" w:space="0" w:color="auto"/>
              <w:left w:val="nil"/>
              <w:bottom w:val="single" w:sz="4" w:space="0" w:color="000000"/>
              <w:right w:val="nil"/>
            </w:tcBorders>
            <w:vAlign w:val="center"/>
            <w:hideMark/>
          </w:tcPr>
          <w:p w14:paraId="300794B7" w14:textId="77777777" w:rsidR="00CA26BF" w:rsidRPr="00CA26BF" w:rsidRDefault="00CA26BF" w:rsidP="00CA26BF">
            <w:pPr>
              <w:spacing w:after="0"/>
              <w:rPr>
                <w:rFonts w:ascii="Arial" w:eastAsia="Times New Roman" w:hAnsi="Arial" w:cs="Arial"/>
                <w:color w:val="000000"/>
              </w:rPr>
            </w:pPr>
          </w:p>
        </w:tc>
        <w:tc>
          <w:tcPr>
            <w:tcW w:w="1214" w:type="dxa"/>
            <w:vMerge w:val="restart"/>
            <w:tcBorders>
              <w:top w:val="nil"/>
              <w:left w:val="nil"/>
              <w:bottom w:val="single" w:sz="4" w:space="0" w:color="000000"/>
              <w:right w:val="nil"/>
            </w:tcBorders>
            <w:shd w:val="clear" w:color="auto" w:fill="auto"/>
            <w:noWrap/>
            <w:vAlign w:val="center"/>
            <w:hideMark/>
          </w:tcPr>
          <w:p w14:paraId="2DE0F17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Mortality</w:t>
            </w:r>
          </w:p>
        </w:tc>
        <w:tc>
          <w:tcPr>
            <w:tcW w:w="1319" w:type="dxa"/>
            <w:vMerge w:val="restart"/>
            <w:tcBorders>
              <w:top w:val="nil"/>
              <w:left w:val="nil"/>
              <w:bottom w:val="single" w:sz="4" w:space="0" w:color="000000"/>
              <w:right w:val="nil"/>
            </w:tcBorders>
            <w:shd w:val="clear" w:color="auto" w:fill="auto"/>
            <w:noWrap/>
            <w:vAlign w:val="center"/>
            <w:hideMark/>
          </w:tcPr>
          <w:p w14:paraId="299B686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c>
          <w:tcPr>
            <w:tcW w:w="1130" w:type="dxa"/>
            <w:vMerge w:val="restart"/>
            <w:tcBorders>
              <w:top w:val="nil"/>
              <w:left w:val="nil"/>
              <w:bottom w:val="single" w:sz="4" w:space="0" w:color="000000"/>
              <w:right w:val="nil"/>
            </w:tcBorders>
            <w:shd w:val="clear" w:color="auto" w:fill="auto"/>
            <w:noWrap/>
            <w:vAlign w:val="center"/>
            <w:hideMark/>
          </w:tcPr>
          <w:p w14:paraId="4A00DD8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Chronic</w:t>
            </w:r>
          </w:p>
        </w:tc>
        <w:tc>
          <w:tcPr>
            <w:tcW w:w="1500" w:type="dxa"/>
            <w:vMerge w:val="restart"/>
            <w:tcBorders>
              <w:top w:val="nil"/>
              <w:left w:val="nil"/>
              <w:bottom w:val="single" w:sz="4" w:space="0" w:color="000000"/>
              <w:right w:val="nil"/>
            </w:tcBorders>
            <w:shd w:val="clear" w:color="auto" w:fill="auto"/>
            <w:noWrap/>
            <w:vAlign w:val="center"/>
            <w:hideMark/>
          </w:tcPr>
          <w:p w14:paraId="1E407BE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r>
      <w:tr w:rsidR="001D31AB" w:rsidRPr="00CA26BF" w14:paraId="065F0550" w14:textId="77777777" w:rsidTr="001D31AB">
        <w:trPr>
          <w:trHeight w:val="251"/>
        </w:trPr>
        <w:tc>
          <w:tcPr>
            <w:tcW w:w="1666" w:type="dxa"/>
            <w:vMerge/>
            <w:tcBorders>
              <w:top w:val="single" w:sz="4" w:space="0" w:color="auto"/>
              <w:left w:val="nil"/>
              <w:bottom w:val="single" w:sz="4" w:space="0" w:color="000000"/>
              <w:right w:val="nil"/>
            </w:tcBorders>
            <w:vAlign w:val="center"/>
            <w:hideMark/>
          </w:tcPr>
          <w:p w14:paraId="0B63F5FC" w14:textId="77777777" w:rsidR="00CA26BF" w:rsidRPr="00CA26BF" w:rsidRDefault="00CA26BF" w:rsidP="00CA26BF">
            <w:pPr>
              <w:spacing w:after="0"/>
              <w:rPr>
                <w:rFonts w:ascii="Arial" w:eastAsia="Times New Roman" w:hAnsi="Arial" w:cs="Arial"/>
                <w:color w:val="000000"/>
              </w:rPr>
            </w:pPr>
          </w:p>
        </w:tc>
        <w:tc>
          <w:tcPr>
            <w:tcW w:w="748" w:type="dxa"/>
            <w:vMerge/>
            <w:tcBorders>
              <w:top w:val="single" w:sz="4" w:space="0" w:color="auto"/>
              <w:left w:val="nil"/>
              <w:bottom w:val="single" w:sz="4" w:space="0" w:color="000000"/>
              <w:right w:val="nil"/>
            </w:tcBorders>
            <w:vAlign w:val="center"/>
            <w:hideMark/>
          </w:tcPr>
          <w:p w14:paraId="14E076FA" w14:textId="77777777" w:rsidR="00CA26BF" w:rsidRPr="00CA26BF" w:rsidRDefault="00CA26BF" w:rsidP="00CA26BF">
            <w:pPr>
              <w:spacing w:after="0"/>
              <w:rPr>
                <w:rFonts w:ascii="Arial" w:eastAsia="Times New Roman" w:hAnsi="Arial" w:cs="Arial"/>
                <w:color w:val="000000"/>
              </w:rPr>
            </w:pPr>
          </w:p>
        </w:tc>
        <w:tc>
          <w:tcPr>
            <w:tcW w:w="903" w:type="dxa"/>
            <w:vMerge/>
            <w:tcBorders>
              <w:top w:val="single" w:sz="4" w:space="0" w:color="auto"/>
              <w:left w:val="nil"/>
              <w:bottom w:val="single" w:sz="4" w:space="0" w:color="000000"/>
              <w:right w:val="nil"/>
            </w:tcBorders>
            <w:vAlign w:val="center"/>
            <w:hideMark/>
          </w:tcPr>
          <w:p w14:paraId="024111AB" w14:textId="77777777" w:rsidR="00CA26BF" w:rsidRPr="00CA26BF" w:rsidRDefault="00CA26BF" w:rsidP="00CA26BF">
            <w:pPr>
              <w:spacing w:after="0"/>
              <w:rPr>
                <w:rFonts w:ascii="Arial" w:eastAsia="Times New Roman" w:hAnsi="Arial" w:cs="Arial"/>
                <w:color w:val="000000"/>
              </w:rPr>
            </w:pPr>
          </w:p>
        </w:tc>
        <w:tc>
          <w:tcPr>
            <w:tcW w:w="1524" w:type="dxa"/>
            <w:vMerge/>
            <w:tcBorders>
              <w:top w:val="single" w:sz="4" w:space="0" w:color="auto"/>
              <w:left w:val="nil"/>
              <w:bottom w:val="single" w:sz="4" w:space="0" w:color="000000"/>
              <w:right w:val="nil"/>
            </w:tcBorders>
            <w:vAlign w:val="center"/>
            <w:hideMark/>
          </w:tcPr>
          <w:p w14:paraId="154F6D1E" w14:textId="77777777" w:rsidR="00CA26BF" w:rsidRPr="00CA26BF" w:rsidRDefault="00CA26BF" w:rsidP="00CA26BF">
            <w:pPr>
              <w:spacing w:after="0"/>
              <w:rPr>
                <w:rFonts w:ascii="Arial" w:eastAsia="Times New Roman" w:hAnsi="Arial" w:cs="Arial"/>
                <w:color w:val="000000"/>
              </w:rPr>
            </w:pPr>
          </w:p>
        </w:tc>
        <w:tc>
          <w:tcPr>
            <w:tcW w:w="1214" w:type="dxa"/>
            <w:vMerge/>
            <w:tcBorders>
              <w:top w:val="nil"/>
              <w:left w:val="nil"/>
              <w:bottom w:val="single" w:sz="4" w:space="0" w:color="000000"/>
              <w:right w:val="nil"/>
            </w:tcBorders>
            <w:vAlign w:val="center"/>
            <w:hideMark/>
          </w:tcPr>
          <w:p w14:paraId="2319E0E2" w14:textId="77777777" w:rsidR="00CA26BF" w:rsidRPr="00CA26BF" w:rsidRDefault="00CA26BF" w:rsidP="00CA26BF">
            <w:pPr>
              <w:spacing w:after="0"/>
              <w:rPr>
                <w:rFonts w:ascii="Arial" w:eastAsia="Times New Roman" w:hAnsi="Arial" w:cs="Arial"/>
                <w:color w:val="000000"/>
              </w:rPr>
            </w:pPr>
          </w:p>
        </w:tc>
        <w:tc>
          <w:tcPr>
            <w:tcW w:w="1319" w:type="dxa"/>
            <w:vMerge/>
            <w:tcBorders>
              <w:top w:val="nil"/>
              <w:left w:val="nil"/>
              <w:bottom w:val="single" w:sz="4" w:space="0" w:color="000000"/>
              <w:right w:val="nil"/>
            </w:tcBorders>
            <w:vAlign w:val="center"/>
            <w:hideMark/>
          </w:tcPr>
          <w:p w14:paraId="32D5056F" w14:textId="77777777" w:rsidR="00CA26BF" w:rsidRPr="00CA26BF" w:rsidRDefault="00CA26BF" w:rsidP="00CA26BF">
            <w:pPr>
              <w:spacing w:after="0"/>
              <w:rPr>
                <w:rFonts w:ascii="Arial" w:eastAsia="Times New Roman" w:hAnsi="Arial" w:cs="Arial"/>
                <w:color w:val="000000"/>
              </w:rPr>
            </w:pPr>
          </w:p>
        </w:tc>
        <w:tc>
          <w:tcPr>
            <w:tcW w:w="1130" w:type="dxa"/>
            <w:vMerge/>
            <w:tcBorders>
              <w:top w:val="nil"/>
              <w:left w:val="nil"/>
              <w:bottom w:val="single" w:sz="4" w:space="0" w:color="000000"/>
              <w:right w:val="nil"/>
            </w:tcBorders>
            <w:vAlign w:val="center"/>
            <w:hideMark/>
          </w:tcPr>
          <w:p w14:paraId="313E4A2B" w14:textId="77777777" w:rsidR="00CA26BF" w:rsidRPr="00CA26BF" w:rsidRDefault="00CA26BF" w:rsidP="00CA26BF">
            <w:pPr>
              <w:spacing w:after="0"/>
              <w:rPr>
                <w:rFonts w:ascii="Arial" w:eastAsia="Times New Roman" w:hAnsi="Arial" w:cs="Arial"/>
                <w:color w:val="000000"/>
              </w:rPr>
            </w:pPr>
          </w:p>
        </w:tc>
        <w:tc>
          <w:tcPr>
            <w:tcW w:w="1500" w:type="dxa"/>
            <w:vMerge/>
            <w:tcBorders>
              <w:top w:val="nil"/>
              <w:left w:val="nil"/>
              <w:bottom w:val="single" w:sz="4" w:space="0" w:color="000000"/>
              <w:right w:val="nil"/>
            </w:tcBorders>
            <w:vAlign w:val="center"/>
            <w:hideMark/>
          </w:tcPr>
          <w:p w14:paraId="3DB01B1A" w14:textId="77777777" w:rsidR="00CA26BF" w:rsidRPr="00CA26BF" w:rsidRDefault="00CA26BF" w:rsidP="00CA26BF">
            <w:pPr>
              <w:spacing w:after="0"/>
              <w:rPr>
                <w:rFonts w:ascii="Arial" w:eastAsia="Times New Roman" w:hAnsi="Arial" w:cs="Arial"/>
                <w:color w:val="000000"/>
              </w:rPr>
            </w:pPr>
          </w:p>
        </w:tc>
        <w:tc>
          <w:tcPr>
            <w:tcW w:w="261" w:type="dxa"/>
            <w:tcBorders>
              <w:top w:val="nil"/>
              <w:left w:val="nil"/>
              <w:bottom w:val="nil"/>
              <w:right w:val="nil"/>
            </w:tcBorders>
            <w:shd w:val="clear" w:color="auto" w:fill="auto"/>
            <w:noWrap/>
            <w:vAlign w:val="bottom"/>
            <w:hideMark/>
          </w:tcPr>
          <w:p w14:paraId="280C993A" w14:textId="77777777" w:rsidR="00CA26BF" w:rsidRPr="00CA26BF" w:rsidRDefault="00CA26BF" w:rsidP="00CA26BF">
            <w:pPr>
              <w:spacing w:after="0"/>
              <w:jc w:val="center"/>
              <w:rPr>
                <w:rFonts w:ascii="Arial" w:eastAsia="Times New Roman" w:hAnsi="Arial" w:cs="Arial"/>
                <w:color w:val="000000"/>
              </w:rPr>
            </w:pPr>
          </w:p>
        </w:tc>
      </w:tr>
      <w:tr w:rsidR="001D31AB" w:rsidRPr="00CA26BF" w14:paraId="77995ED0" w14:textId="77777777" w:rsidTr="001D31AB">
        <w:trPr>
          <w:trHeight w:val="251"/>
        </w:trPr>
        <w:tc>
          <w:tcPr>
            <w:tcW w:w="1666" w:type="dxa"/>
            <w:tcBorders>
              <w:top w:val="nil"/>
              <w:left w:val="nil"/>
              <w:bottom w:val="nil"/>
              <w:right w:val="nil"/>
            </w:tcBorders>
            <w:shd w:val="clear" w:color="auto" w:fill="auto"/>
            <w:noWrap/>
            <w:vAlign w:val="bottom"/>
            <w:hideMark/>
          </w:tcPr>
          <w:p w14:paraId="065B8D3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US </w:t>
            </w:r>
          </w:p>
        </w:tc>
        <w:tc>
          <w:tcPr>
            <w:tcW w:w="748" w:type="dxa"/>
            <w:tcBorders>
              <w:top w:val="nil"/>
              <w:left w:val="nil"/>
              <w:bottom w:val="nil"/>
              <w:right w:val="nil"/>
            </w:tcBorders>
            <w:shd w:val="clear" w:color="auto" w:fill="auto"/>
            <w:noWrap/>
            <w:vAlign w:val="bottom"/>
            <w:hideMark/>
          </w:tcPr>
          <w:p w14:paraId="0145C8A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2.99</w:t>
            </w:r>
          </w:p>
        </w:tc>
        <w:tc>
          <w:tcPr>
            <w:tcW w:w="903" w:type="dxa"/>
            <w:tcBorders>
              <w:top w:val="nil"/>
              <w:left w:val="nil"/>
              <w:bottom w:val="nil"/>
              <w:right w:val="nil"/>
            </w:tcBorders>
            <w:shd w:val="clear" w:color="auto" w:fill="auto"/>
            <w:noWrap/>
            <w:vAlign w:val="bottom"/>
            <w:hideMark/>
          </w:tcPr>
          <w:p w14:paraId="6D2EAB2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-0.16</w:t>
            </w:r>
          </w:p>
        </w:tc>
        <w:tc>
          <w:tcPr>
            <w:tcW w:w="1524" w:type="dxa"/>
            <w:tcBorders>
              <w:top w:val="nil"/>
              <w:left w:val="nil"/>
              <w:bottom w:val="nil"/>
              <w:right w:val="nil"/>
            </w:tcBorders>
            <w:shd w:val="clear" w:color="auto" w:fill="auto"/>
            <w:noWrap/>
            <w:vAlign w:val="bottom"/>
            <w:hideMark/>
          </w:tcPr>
          <w:p w14:paraId="326972E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[-0.07, -0.26]</w:t>
            </w:r>
          </w:p>
        </w:tc>
        <w:tc>
          <w:tcPr>
            <w:tcW w:w="1214" w:type="dxa"/>
            <w:tcBorders>
              <w:top w:val="nil"/>
              <w:left w:val="nil"/>
              <w:bottom w:val="nil"/>
              <w:right w:val="nil"/>
            </w:tcBorders>
            <w:shd w:val="clear" w:color="auto" w:fill="auto"/>
            <w:noWrap/>
            <w:vAlign w:val="bottom"/>
            <w:hideMark/>
          </w:tcPr>
          <w:p w14:paraId="126ADF7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0.33</w:t>
            </w:r>
          </w:p>
        </w:tc>
        <w:tc>
          <w:tcPr>
            <w:tcW w:w="1319" w:type="dxa"/>
            <w:tcBorders>
              <w:top w:val="nil"/>
              <w:left w:val="nil"/>
              <w:bottom w:val="nil"/>
              <w:right w:val="nil"/>
            </w:tcBorders>
            <w:shd w:val="clear" w:color="auto" w:fill="auto"/>
            <w:noWrap/>
            <w:vAlign w:val="bottom"/>
            <w:hideMark/>
          </w:tcPr>
          <w:p w14:paraId="290BAB4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[0.27, 0.39]</w:t>
            </w:r>
          </w:p>
        </w:tc>
        <w:tc>
          <w:tcPr>
            <w:tcW w:w="1130" w:type="dxa"/>
            <w:tcBorders>
              <w:top w:val="nil"/>
              <w:left w:val="nil"/>
              <w:bottom w:val="nil"/>
              <w:right w:val="nil"/>
            </w:tcBorders>
            <w:shd w:val="clear" w:color="auto" w:fill="auto"/>
            <w:noWrap/>
            <w:vAlign w:val="bottom"/>
            <w:hideMark/>
          </w:tcPr>
          <w:p w14:paraId="3FB599F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-0.49</w:t>
            </w:r>
          </w:p>
        </w:tc>
        <w:tc>
          <w:tcPr>
            <w:tcW w:w="1500" w:type="dxa"/>
            <w:tcBorders>
              <w:top w:val="nil"/>
              <w:left w:val="nil"/>
              <w:bottom w:val="nil"/>
              <w:right w:val="nil"/>
            </w:tcBorders>
            <w:shd w:val="clear" w:color="auto" w:fill="auto"/>
            <w:noWrap/>
            <w:vAlign w:val="bottom"/>
            <w:hideMark/>
          </w:tcPr>
          <w:p w14:paraId="34E102F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[-0.34, -0.65]</w:t>
            </w:r>
          </w:p>
        </w:tc>
        <w:tc>
          <w:tcPr>
            <w:tcW w:w="261" w:type="dxa"/>
            <w:vAlign w:val="center"/>
            <w:hideMark/>
          </w:tcPr>
          <w:p w14:paraId="373B438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F35450F" w14:textId="77777777" w:rsidTr="001D31AB">
        <w:trPr>
          <w:trHeight w:val="251"/>
        </w:trPr>
        <w:tc>
          <w:tcPr>
            <w:tcW w:w="1666" w:type="dxa"/>
            <w:tcBorders>
              <w:top w:val="nil"/>
              <w:left w:val="nil"/>
              <w:bottom w:val="nil"/>
              <w:right w:val="nil"/>
            </w:tcBorders>
            <w:shd w:val="clear" w:color="auto" w:fill="auto"/>
            <w:noWrap/>
            <w:vAlign w:val="bottom"/>
            <w:hideMark/>
          </w:tcPr>
          <w:p w14:paraId="51D73F2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China </w:t>
            </w:r>
          </w:p>
        </w:tc>
        <w:tc>
          <w:tcPr>
            <w:tcW w:w="748" w:type="dxa"/>
            <w:tcBorders>
              <w:top w:val="nil"/>
              <w:left w:val="nil"/>
              <w:bottom w:val="nil"/>
              <w:right w:val="nil"/>
            </w:tcBorders>
            <w:shd w:val="clear" w:color="auto" w:fill="auto"/>
            <w:noWrap/>
            <w:vAlign w:val="bottom"/>
            <w:hideMark/>
          </w:tcPr>
          <w:p w14:paraId="499FBE0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3.81</w:t>
            </w:r>
          </w:p>
        </w:tc>
        <w:tc>
          <w:tcPr>
            <w:tcW w:w="903" w:type="dxa"/>
            <w:tcBorders>
              <w:top w:val="nil"/>
              <w:left w:val="nil"/>
              <w:bottom w:val="nil"/>
              <w:right w:val="nil"/>
            </w:tcBorders>
            <w:shd w:val="clear" w:color="auto" w:fill="auto"/>
            <w:noWrap/>
            <w:vAlign w:val="bottom"/>
            <w:hideMark/>
          </w:tcPr>
          <w:p w14:paraId="1049BEC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0.15</w:t>
            </w:r>
          </w:p>
        </w:tc>
        <w:tc>
          <w:tcPr>
            <w:tcW w:w="1524" w:type="dxa"/>
            <w:tcBorders>
              <w:top w:val="nil"/>
              <w:left w:val="nil"/>
              <w:bottom w:val="nil"/>
              <w:right w:val="nil"/>
            </w:tcBorders>
            <w:shd w:val="clear" w:color="auto" w:fill="auto"/>
            <w:noWrap/>
            <w:vAlign w:val="bottom"/>
            <w:hideMark/>
          </w:tcPr>
          <w:p w14:paraId="7827AC0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[0.08,   0.23]</w:t>
            </w:r>
          </w:p>
        </w:tc>
        <w:tc>
          <w:tcPr>
            <w:tcW w:w="1214" w:type="dxa"/>
            <w:tcBorders>
              <w:top w:val="nil"/>
              <w:left w:val="nil"/>
              <w:bottom w:val="nil"/>
              <w:right w:val="nil"/>
            </w:tcBorders>
            <w:shd w:val="clear" w:color="auto" w:fill="auto"/>
            <w:noWrap/>
            <w:vAlign w:val="bottom"/>
            <w:hideMark/>
          </w:tcPr>
          <w:p w14:paraId="24FF986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1.12</w:t>
            </w:r>
          </w:p>
        </w:tc>
        <w:tc>
          <w:tcPr>
            <w:tcW w:w="1319" w:type="dxa"/>
            <w:tcBorders>
              <w:top w:val="nil"/>
              <w:left w:val="nil"/>
              <w:bottom w:val="nil"/>
              <w:right w:val="nil"/>
            </w:tcBorders>
            <w:shd w:val="clear" w:color="auto" w:fill="auto"/>
            <w:noWrap/>
            <w:vAlign w:val="bottom"/>
            <w:hideMark/>
          </w:tcPr>
          <w:p w14:paraId="7C869E07"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[0.91, 1.34]</w:t>
            </w:r>
          </w:p>
        </w:tc>
        <w:tc>
          <w:tcPr>
            <w:tcW w:w="1130" w:type="dxa"/>
            <w:tcBorders>
              <w:top w:val="nil"/>
              <w:left w:val="nil"/>
              <w:bottom w:val="nil"/>
              <w:right w:val="nil"/>
            </w:tcBorders>
            <w:shd w:val="clear" w:color="auto" w:fill="auto"/>
            <w:noWrap/>
            <w:vAlign w:val="bottom"/>
            <w:hideMark/>
          </w:tcPr>
          <w:p w14:paraId="536960F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-0.97</w:t>
            </w:r>
          </w:p>
        </w:tc>
        <w:tc>
          <w:tcPr>
            <w:tcW w:w="1500" w:type="dxa"/>
            <w:tcBorders>
              <w:top w:val="nil"/>
              <w:left w:val="nil"/>
              <w:bottom w:val="nil"/>
              <w:right w:val="nil"/>
            </w:tcBorders>
            <w:shd w:val="clear" w:color="auto" w:fill="auto"/>
            <w:noWrap/>
            <w:vAlign w:val="bottom"/>
            <w:hideMark/>
          </w:tcPr>
          <w:p w14:paraId="0CBA99DD"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[-0.82, -1.11]</w:t>
            </w:r>
          </w:p>
        </w:tc>
        <w:tc>
          <w:tcPr>
            <w:tcW w:w="261" w:type="dxa"/>
            <w:vAlign w:val="center"/>
            <w:hideMark/>
          </w:tcPr>
          <w:p w14:paraId="6DAD5F7E"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7B3CB33B" w14:textId="77777777" w:rsidTr="001D31AB">
        <w:trPr>
          <w:trHeight w:val="251"/>
        </w:trPr>
        <w:tc>
          <w:tcPr>
            <w:tcW w:w="1666" w:type="dxa"/>
            <w:tcBorders>
              <w:top w:val="nil"/>
              <w:left w:val="nil"/>
              <w:bottom w:val="nil"/>
              <w:right w:val="nil"/>
            </w:tcBorders>
            <w:shd w:val="clear" w:color="auto" w:fill="auto"/>
            <w:noWrap/>
            <w:vAlign w:val="bottom"/>
            <w:hideMark/>
          </w:tcPr>
          <w:p w14:paraId="29A713A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Mexico </w:t>
            </w:r>
          </w:p>
        </w:tc>
        <w:tc>
          <w:tcPr>
            <w:tcW w:w="748" w:type="dxa"/>
            <w:tcBorders>
              <w:top w:val="nil"/>
              <w:left w:val="nil"/>
              <w:bottom w:val="nil"/>
              <w:right w:val="nil"/>
            </w:tcBorders>
            <w:shd w:val="clear" w:color="auto" w:fill="auto"/>
            <w:noWrap/>
            <w:vAlign w:val="bottom"/>
            <w:hideMark/>
          </w:tcPr>
          <w:p w14:paraId="09AA119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2.64</w:t>
            </w:r>
          </w:p>
        </w:tc>
        <w:tc>
          <w:tcPr>
            <w:tcW w:w="903" w:type="dxa"/>
            <w:tcBorders>
              <w:top w:val="nil"/>
              <w:left w:val="nil"/>
              <w:bottom w:val="nil"/>
              <w:right w:val="nil"/>
            </w:tcBorders>
            <w:shd w:val="clear" w:color="auto" w:fill="auto"/>
            <w:noWrap/>
            <w:vAlign w:val="bottom"/>
            <w:hideMark/>
          </w:tcPr>
          <w:p w14:paraId="5C7277F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-1.97</w:t>
            </w:r>
          </w:p>
        </w:tc>
        <w:tc>
          <w:tcPr>
            <w:tcW w:w="1524" w:type="dxa"/>
            <w:tcBorders>
              <w:top w:val="nil"/>
              <w:left w:val="nil"/>
              <w:bottom w:val="nil"/>
              <w:right w:val="nil"/>
            </w:tcBorders>
            <w:shd w:val="clear" w:color="auto" w:fill="auto"/>
            <w:noWrap/>
            <w:vAlign w:val="bottom"/>
            <w:hideMark/>
          </w:tcPr>
          <w:p w14:paraId="2E7241D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[-1.87, -2.06]</w:t>
            </w:r>
          </w:p>
        </w:tc>
        <w:tc>
          <w:tcPr>
            <w:tcW w:w="1214" w:type="dxa"/>
            <w:tcBorders>
              <w:top w:val="nil"/>
              <w:left w:val="nil"/>
              <w:bottom w:val="nil"/>
              <w:right w:val="nil"/>
            </w:tcBorders>
            <w:shd w:val="clear" w:color="auto" w:fill="auto"/>
            <w:noWrap/>
            <w:vAlign w:val="bottom"/>
            <w:hideMark/>
          </w:tcPr>
          <w:p w14:paraId="705389A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1.05</w:t>
            </w:r>
          </w:p>
        </w:tc>
        <w:tc>
          <w:tcPr>
            <w:tcW w:w="1319" w:type="dxa"/>
            <w:tcBorders>
              <w:top w:val="nil"/>
              <w:left w:val="nil"/>
              <w:bottom w:val="nil"/>
              <w:right w:val="nil"/>
            </w:tcBorders>
            <w:shd w:val="clear" w:color="auto" w:fill="auto"/>
            <w:noWrap/>
            <w:vAlign w:val="bottom"/>
            <w:hideMark/>
          </w:tcPr>
          <w:p w14:paraId="4FD585C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[0.87, 1.23]</w:t>
            </w:r>
          </w:p>
        </w:tc>
        <w:tc>
          <w:tcPr>
            <w:tcW w:w="1130" w:type="dxa"/>
            <w:tcBorders>
              <w:top w:val="nil"/>
              <w:left w:val="nil"/>
              <w:bottom w:val="nil"/>
              <w:right w:val="nil"/>
            </w:tcBorders>
            <w:shd w:val="clear" w:color="auto" w:fill="auto"/>
            <w:noWrap/>
            <w:vAlign w:val="bottom"/>
            <w:hideMark/>
          </w:tcPr>
          <w:p w14:paraId="4D799AD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-3.01</w:t>
            </w:r>
          </w:p>
        </w:tc>
        <w:tc>
          <w:tcPr>
            <w:tcW w:w="1500" w:type="dxa"/>
            <w:tcBorders>
              <w:top w:val="nil"/>
              <w:left w:val="nil"/>
              <w:bottom w:val="nil"/>
              <w:right w:val="nil"/>
            </w:tcBorders>
            <w:shd w:val="clear" w:color="auto" w:fill="auto"/>
            <w:noWrap/>
            <w:vAlign w:val="bottom"/>
            <w:hideMark/>
          </w:tcPr>
          <w:p w14:paraId="4D357CB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[-2.74, -3.29]</w:t>
            </w:r>
          </w:p>
        </w:tc>
        <w:tc>
          <w:tcPr>
            <w:tcW w:w="261" w:type="dxa"/>
            <w:vAlign w:val="center"/>
            <w:hideMark/>
          </w:tcPr>
          <w:p w14:paraId="17FDB60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AB34CF6" w14:textId="77777777" w:rsidTr="001D31AB">
        <w:trPr>
          <w:trHeight w:val="251"/>
        </w:trPr>
        <w:tc>
          <w:tcPr>
            <w:tcW w:w="1666" w:type="dxa"/>
            <w:tcBorders>
              <w:top w:val="nil"/>
              <w:left w:val="nil"/>
              <w:bottom w:val="nil"/>
              <w:right w:val="nil"/>
            </w:tcBorders>
            <w:shd w:val="clear" w:color="auto" w:fill="auto"/>
            <w:noWrap/>
            <w:vAlign w:val="bottom"/>
            <w:hideMark/>
          </w:tcPr>
          <w:p w14:paraId="62B4E15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India </w:t>
            </w:r>
          </w:p>
        </w:tc>
        <w:tc>
          <w:tcPr>
            <w:tcW w:w="748" w:type="dxa"/>
            <w:tcBorders>
              <w:top w:val="nil"/>
              <w:left w:val="nil"/>
              <w:bottom w:val="nil"/>
              <w:right w:val="nil"/>
            </w:tcBorders>
            <w:shd w:val="clear" w:color="auto" w:fill="auto"/>
            <w:noWrap/>
            <w:vAlign w:val="bottom"/>
            <w:hideMark/>
          </w:tcPr>
          <w:p w14:paraId="5035604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1.63</w:t>
            </w:r>
          </w:p>
        </w:tc>
        <w:tc>
          <w:tcPr>
            <w:tcW w:w="903" w:type="dxa"/>
            <w:tcBorders>
              <w:top w:val="nil"/>
              <w:left w:val="nil"/>
              <w:bottom w:val="nil"/>
              <w:right w:val="nil"/>
            </w:tcBorders>
            <w:shd w:val="clear" w:color="auto" w:fill="auto"/>
            <w:noWrap/>
            <w:vAlign w:val="bottom"/>
            <w:hideMark/>
          </w:tcPr>
          <w:p w14:paraId="2ABC75C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1.08</w:t>
            </w:r>
          </w:p>
        </w:tc>
        <w:tc>
          <w:tcPr>
            <w:tcW w:w="1524" w:type="dxa"/>
            <w:tcBorders>
              <w:top w:val="nil"/>
              <w:left w:val="nil"/>
              <w:bottom w:val="nil"/>
              <w:right w:val="nil"/>
            </w:tcBorders>
            <w:shd w:val="clear" w:color="auto" w:fill="auto"/>
            <w:noWrap/>
            <w:vAlign w:val="bottom"/>
            <w:hideMark/>
          </w:tcPr>
          <w:p w14:paraId="1AFF9DF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[1.06,   1.10]</w:t>
            </w:r>
          </w:p>
        </w:tc>
        <w:tc>
          <w:tcPr>
            <w:tcW w:w="1214" w:type="dxa"/>
            <w:tcBorders>
              <w:top w:val="nil"/>
              <w:left w:val="nil"/>
              <w:bottom w:val="nil"/>
              <w:right w:val="nil"/>
            </w:tcBorders>
            <w:shd w:val="clear" w:color="auto" w:fill="auto"/>
            <w:noWrap/>
            <w:vAlign w:val="bottom"/>
            <w:hideMark/>
          </w:tcPr>
          <w:p w14:paraId="5B5C404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1.07</w:t>
            </w:r>
          </w:p>
        </w:tc>
        <w:tc>
          <w:tcPr>
            <w:tcW w:w="1319" w:type="dxa"/>
            <w:tcBorders>
              <w:top w:val="nil"/>
              <w:left w:val="nil"/>
              <w:bottom w:val="nil"/>
              <w:right w:val="nil"/>
            </w:tcBorders>
            <w:shd w:val="clear" w:color="auto" w:fill="auto"/>
            <w:noWrap/>
            <w:vAlign w:val="bottom"/>
            <w:hideMark/>
          </w:tcPr>
          <w:p w14:paraId="7D1A05E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[1.03, 1.11]</w:t>
            </w:r>
          </w:p>
        </w:tc>
        <w:tc>
          <w:tcPr>
            <w:tcW w:w="1130" w:type="dxa"/>
            <w:tcBorders>
              <w:top w:val="nil"/>
              <w:left w:val="nil"/>
              <w:bottom w:val="nil"/>
              <w:right w:val="nil"/>
            </w:tcBorders>
            <w:shd w:val="clear" w:color="auto" w:fill="auto"/>
            <w:noWrap/>
            <w:vAlign w:val="bottom"/>
            <w:hideMark/>
          </w:tcPr>
          <w:p w14:paraId="6A617EA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0.01</w:t>
            </w:r>
          </w:p>
        </w:tc>
        <w:tc>
          <w:tcPr>
            <w:tcW w:w="1500" w:type="dxa"/>
            <w:tcBorders>
              <w:top w:val="nil"/>
              <w:left w:val="nil"/>
              <w:bottom w:val="nil"/>
              <w:right w:val="nil"/>
            </w:tcBorders>
            <w:shd w:val="clear" w:color="auto" w:fill="auto"/>
            <w:noWrap/>
            <w:vAlign w:val="bottom"/>
            <w:hideMark/>
          </w:tcPr>
          <w:p w14:paraId="3943CF5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[0.03</w:t>
            </w:r>
            <w:proofErr w:type="gramStart"/>
            <w:r w:rsidRPr="00CA26BF">
              <w:rPr>
                <w:rFonts w:ascii="Arial" w:eastAsia="Times New Roman" w:hAnsi="Arial" w:cs="Arial"/>
                <w:color w:val="000000"/>
              </w:rPr>
              <w:t>,  -</w:t>
            </w:r>
            <w:proofErr w:type="gramEnd"/>
            <w:r w:rsidRPr="00CA26BF">
              <w:rPr>
                <w:rFonts w:ascii="Arial" w:eastAsia="Times New Roman" w:hAnsi="Arial" w:cs="Arial"/>
                <w:color w:val="000000"/>
              </w:rPr>
              <w:t>0.01]</w:t>
            </w:r>
          </w:p>
        </w:tc>
        <w:tc>
          <w:tcPr>
            <w:tcW w:w="261" w:type="dxa"/>
            <w:vAlign w:val="center"/>
            <w:hideMark/>
          </w:tcPr>
          <w:p w14:paraId="79750E5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253AAD2" w14:textId="77777777" w:rsidTr="001D31AB">
        <w:trPr>
          <w:trHeight w:val="251"/>
        </w:trPr>
        <w:tc>
          <w:tcPr>
            <w:tcW w:w="1666" w:type="dxa"/>
            <w:tcBorders>
              <w:top w:val="nil"/>
              <w:left w:val="nil"/>
              <w:bottom w:val="nil"/>
              <w:right w:val="nil"/>
            </w:tcBorders>
            <w:shd w:val="clear" w:color="auto" w:fill="auto"/>
            <w:noWrap/>
            <w:vAlign w:val="bottom"/>
            <w:hideMark/>
          </w:tcPr>
          <w:p w14:paraId="6B9C45D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Korea </w:t>
            </w:r>
          </w:p>
        </w:tc>
        <w:tc>
          <w:tcPr>
            <w:tcW w:w="748" w:type="dxa"/>
            <w:tcBorders>
              <w:top w:val="nil"/>
              <w:left w:val="nil"/>
              <w:bottom w:val="nil"/>
              <w:right w:val="nil"/>
            </w:tcBorders>
            <w:shd w:val="clear" w:color="auto" w:fill="auto"/>
            <w:noWrap/>
            <w:vAlign w:val="bottom"/>
            <w:hideMark/>
          </w:tcPr>
          <w:p w14:paraId="653140F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5.56</w:t>
            </w:r>
          </w:p>
        </w:tc>
        <w:tc>
          <w:tcPr>
            <w:tcW w:w="903" w:type="dxa"/>
            <w:tcBorders>
              <w:top w:val="nil"/>
              <w:left w:val="nil"/>
              <w:bottom w:val="nil"/>
              <w:right w:val="nil"/>
            </w:tcBorders>
            <w:shd w:val="clear" w:color="auto" w:fill="auto"/>
            <w:noWrap/>
            <w:vAlign w:val="bottom"/>
            <w:hideMark/>
          </w:tcPr>
          <w:p w14:paraId="2D9561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-1.61</w:t>
            </w:r>
          </w:p>
        </w:tc>
        <w:tc>
          <w:tcPr>
            <w:tcW w:w="1524" w:type="dxa"/>
            <w:tcBorders>
              <w:top w:val="nil"/>
              <w:left w:val="nil"/>
              <w:bottom w:val="nil"/>
              <w:right w:val="nil"/>
            </w:tcBorders>
            <w:shd w:val="clear" w:color="auto" w:fill="auto"/>
            <w:noWrap/>
            <w:vAlign w:val="bottom"/>
            <w:hideMark/>
          </w:tcPr>
          <w:p w14:paraId="56DB7F8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[-1.61, -1.61]</w:t>
            </w:r>
          </w:p>
        </w:tc>
        <w:tc>
          <w:tcPr>
            <w:tcW w:w="1214" w:type="dxa"/>
            <w:tcBorders>
              <w:top w:val="nil"/>
              <w:left w:val="nil"/>
              <w:bottom w:val="nil"/>
              <w:right w:val="nil"/>
            </w:tcBorders>
            <w:shd w:val="clear" w:color="auto" w:fill="auto"/>
            <w:noWrap/>
            <w:vAlign w:val="bottom"/>
            <w:hideMark/>
          </w:tcPr>
          <w:p w14:paraId="3DB8D04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1.95</w:t>
            </w:r>
          </w:p>
        </w:tc>
        <w:tc>
          <w:tcPr>
            <w:tcW w:w="1319" w:type="dxa"/>
            <w:tcBorders>
              <w:top w:val="nil"/>
              <w:left w:val="nil"/>
              <w:bottom w:val="nil"/>
              <w:right w:val="nil"/>
            </w:tcBorders>
            <w:shd w:val="clear" w:color="auto" w:fill="auto"/>
            <w:noWrap/>
            <w:vAlign w:val="bottom"/>
            <w:hideMark/>
          </w:tcPr>
          <w:p w14:paraId="761B63B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[1.70, 2.20]</w:t>
            </w:r>
          </w:p>
        </w:tc>
        <w:tc>
          <w:tcPr>
            <w:tcW w:w="1130" w:type="dxa"/>
            <w:tcBorders>
              <w:top w:val="nil"/>
              <w:left w:val="nil"/>
              <w:bottom w:val="nil"/>
              <w:right w:val="nil"/>
            </w:tcBorders>
            <w:shd w:val="clear" w:color="auto" w:fill="auto"/>
            <w:noWrap/>
            <w:vAlign w:val="bottom"/>
            <w:hideMark/>
          </w:tcPr>
          <w:p w14:paraId="13CD9CE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-3.56</w:t>
            </w:r>
          </w:p>
        </w:tc>
        <w:tc>
          <w:tcPr>
            <w:tcW w:w="1500" w:type="dxa"/>
            <w:tcBorders>
              <w:top w:val="nil"/>
              <w:left w:val="nil"/>
              <w:bottom w:val="nil"/>
              <w:right w:val="nil"/>
            </w:tcBorders>
            <w:shd w:val="clear" w:color="auto" w:fill="auto"/>
            <w:noWrap/>
            <w:vAlign w:val="bottom"/>
            <w:hideMark/>
          </w:tcPr>
          <w:p w14:paraId="520A1F8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[-3.31, -3.80]</w:t>
            </w:r>
          </w:p>
        </w:tc>
        <w:tc>
          <w:tcPr>
            <w:tcW w:w="261" w:type="dxa"/>
            <w:vAlign w:val="center"/>
            <w:hideMark/>
          </w:tcPr>
          <w:p w14:paraId="6967E89C"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3CD4FB0" w14:textId="77777777" w:rsidTr="001D31AB">
        <w:trPr>
          <w:trHeight w:val="251"/>
        </w:trPr>
        <w:tc>
          <w:tcPr>
            <w:tcW w:w="1666" w:type="dxa"/>
            <w:tcBorders>
              <w:top w:val="nil"/>
              <w:left w:val="nil"/>
              <w:bottom w:val="nil"/>
              <w:right w:val="nil"/>
            </w:tcBorders>
            <w:shd w:val="clear" w:color="auto" w:fill="auto"/>
            <w:noWrap/>
            <w:vAlign w:val="bottom"/>
            <w:hideMark/>
          </w:tcPr>
          <w:p w14:paraId="6ECD27A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England </w:t>
            </w:r>
          </w:p>
        </w:tc>
        <w:tc>
          <w:tcPr>
            <w:tcW w:w="748" w:type="dxa"/>
            <w:tcBorders>
              <w:top w:val="nil"/>
              <w:left w:val="nil"/>
              <w:bottom w:val="nil"/>
              <w:right w:val="nil"/>
            </w:tcBorders>
            <w:shd w:val="clear" w:color="auto" w:fill="auto"/>
            <w:noWrap/>
            <w:vAlign w:val="bottom"/>
            <w:hideMark/>
          </w:tcPr>
          <w:p w14:paraId="4F7845E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2.68</w:t>
            </w:r>
          </w:p>
        </w:tc>
        <w:tc>
          <w:tcPr>
            <w:tcW w:w="903" w:type="dxa"/>
            <w:tcBorders>
              <w:top w:val="nil"/>
              <w:left w:val="nil"/>
              <w:bottom w:val="nil"/>
              <w:right w:val="nil"/>
            </w:tcBorders>
            <w:shd w:val="clear" w:color="auto" w:fill="auto"/>
            <w:noWrap/>
            <w:vAlign w:val="bottom"/>
            <w:hideMark/>
          </w:tcPr>
          <w:p w14:paraId="541EAD5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-0.76</w:t>
            </w:r>
          </w:p>
        </w:tc>
        <w:tc>
          <w:tcPr>
            <w:tcW w:w="1524" w:type="dxa"/>
            <w:tcBorders>
              <w:top w:val="nil"/>
              <w:left w:val="nil"/>
              <w:bottom w:val="nil"/>
              <w:right w:val="nil"/>
            </w:tcBorders>
            <w:shd w:val="clear" w:color="auto" w:fill="auto"/>
            <w:noWrap/>
            <w:vAlign w:val="bottom"/>
            <w:hideMark/>
          </w:tcPr>
          <w:p w14:paraId="37EC0D0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[-0.72, -0.79]</w:t>
            </w:r>
          </w:p>
        </w:tc>
        <w:tc>
          <w:tcPr>
            <w:tcW w:w="1214" w:type="dxa"/>
            <w:tcBorders>
              <w:top w:val="nil"/>
              <w:left w:val="nil"/>
              <w:bottom w:val="nil"/>
              <w:right w:val="nil"/>
            </w:tcBorders>
            <w:shd w:val="clear" w:color="auto" w:fill="auto"/>
            <w:noWrap/>
            <w:vAlign w:val="bottom"/>
            <w:hideMark/>
          </w:tcPr>
          <w:p w14:paraId="75BD01D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0.59</w:t>
            </w:r>
          </w:p>
        </w:tc>
        <w:tc>
          <w:tcPr>
            <w:tcW w:w="1319" w:type="dxa"/>
            <w:tcBorders>
              <w:top w:val="nil"/>
              <w:left w:val="nil"/>
              <w:bottom w:val="nil"/>
              <w:right w:val="nil"/>
            </w:tcBorders>
            <w:shd w:val="clear" w:color="auto" w:fill="auto"/>
            <w:noWrap/>
            <w:vAlign w:val="bottom"/>
            <w:hideMark/>
          </w:tcPr>
          <w:p w14:paraId="6EFC5A5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[0.49, 0.68]</w:t>
            </w:r>
          </w:p>
        </w:tc>
        <w:tc>
          <w:tcPr>
            <w:tcW w:w="1130" w:type="dxa"/>
            <w:tcBorders>
              <w:top w:val="nil"/>
              <w:left w:val="nil"/>
              <w:bottom w:val="nil"/>
              <w:right w:val="nil"/>
            </w:tcBorders>
            <w:shd w:val="clear" w:color="auto" w:fill="auto"/>
            <w:noWrap/>
            <w:vAlign w:val="bottom"/>
            <w:hideMark/>
          </w:tcPr>
          <w:p w14:paraId="62228F2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-1.35</w:t>
            </w:r>
          </w:p>
        </w:tc>
        <w:tc>
          <w:tcPr>
            <w:tcW w:w="1500" w:type="dxa"/>
            <w:tcBorders>
              <w:top w:val="nil"/>
              <w:left w:val="nil"/>
              <w:bottom w:val="nil"/>
              <w:right w:val="nil"/>
            </w:tcBorders>
            <w:shd w:val="clear" w:color="auto" w:fill="auto"/>
            <w:noWrap/>
            <w:vAlign w:val="bottom"/>
            <w:hideMark/>
          </w:tcPr>
          <w:p w14:paraId="62DA930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[-1.22, -1.47]</w:t>
            </w:r>
          </w:p>
        </w:tc>
        <w:tc>
          <w:tcPr>
            <w:tcW w:w="261" w:type="dxa"/>
            <w:vAlign w:val="center"/>
            <w:hideMark/>
          </w:tcPr>
          <w:p w14:paraId="76472E6F"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0E13C33" w14:textId="77777777" w:rsidTr="001D31AB">
        <w:trPr>
          <w:trHeight w:val="251"/>
        </w:trPr>
        <w:tc>
          <w:tcPr>
            <w:tcW w:w="1666" w:type="dxa"/>
            <w:tcBorders>
              <w:top w:val="nil"/>
              <w:left w:val="nil"/>
              <w:bottom w:val="nil"/>
              <w:right w:val="nil"/>
            </w:tcBorders>
            <w:shd w:val="clear" w:color="auto" w:fill="auto"/>
            <w:vAlign w:val="bottom"/>
            <w:hideMark/>
          </w:tcPr>
          <w:p w14:paraId="1676D40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Europe </w:t>
            </w:r>
          </w:p>
        </w:tc>
        <w:tc>
          <w:tcPr>
            <w:tcW w:w="748" w:type="dxa"/>
            <w:tcBorders>
              <w:top w:val="nil"/>
              <w:left w:val="nil"/>
              <w:bottom w:val="nil"/>
              <w:right w:val="nil"/>
            </w:tcBorders>
            <w:shd w:val="clear" w:color="auto" w:fill="auto"/>
            <w:noWrap/>
            <w:vAlign w:val="bottom"/>
            <w:hideMark/>
          </w:tcPr>
          <w:p w14:paraId="67B1CAA4" w14:textId="77777777" w:rsidR="00CA26BF" w:rsidRPr="00CA26BF" w:rsidRDefault="00CA26BF" w:rsidP="00CA26BF">
            <w:pPr>
              <w:spacing w:after="0"/>
              <w:rPr>
                <w:rFonts w:ascii="Arial" w:eastAsia="Times New Roman" w:hAnsi="Arial" w:cs="Arial"/>
                <w:color w:val="000000"/>
              </w:rPr>
            </w:pPr>
          </w:p>
        </w:tc>
        <w:tc>
          <w:tcPr>
            <w:tcW w:w="903" w:type="dxa"/>
            <w:tcBorders>
              <w:top w:val="nil"/>
              <w:left w:val="nil"/>
              <w:bottom w:val="nil"/>
              <w:right w:val="nil"/>
            </w:tcBorders>
            <w:shd w:val="clear" w:color="auto" w:fill="auto"/>
            <w:noWrap/>
            <w:vAlign w:val="bottom"/>
            <w:hideMark/>
          </w:tcPr>
          <w:p w14:paraId="2AB7E03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bottom"/>
            <w:hideMark/>
          </w:tcPr>
          <w:p w14:paraId="6B20F092"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noWrap/>
            <w:vAlign w:val="bottom"/>
            <w:hideMark/>
          </w:tcPr>
          <w:p w14:paraId="69BA0E6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319" w:type="dxa"/>
            <w:tcBorders>
              <w:top w:val="nil"/>
              <w:left w:val="nil"/>
              <w:bottom w:val="nil"/>
              <w:right w:val="nil"/>
            </w:tcBorders>
            <w:shd w:val="clear" w:color="auto" w:fill="auto"/>
            <w:noWrap/>
            <w:vAlign w:val="bottom"/>
            <w:hideMark/>
          </w:tcPr>
          <w:p w14:paraId="21C70E30"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C78049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35483FF"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261" w:type="dxa"/>
            <w:vAlign w:val="center"/>
            <w:hideMark/>
          </w:tcPr>
          <w:p w14:paraId="6C58AC9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A93882B" w14:textId="77777777" w:rsidTr="001D31AB">
        <w:trPr>
          <w:trHeight w:val="251"/>
        </w:trPr>
        <w:tc>
          <w:tcPr>
            <w:tcW w:w="1666" w:type="dxa"/>
            <w:tcBorders>
              <w:top w:val="nil"/>
              <w:left w:val="nil"/>
              <w:bottom w:val="nil"/>
              <w:right w:val="nil"/>
            </w:tcBorders>
            <w:shd w:val="clear" w:color="auto" w:fill="auto"/>
            <w:noWrap/>
            <w:vAlign w:val="bottom"/>
            <w:hideMark/>
          </w:tcPr>
          <w:p w14:paraId="7BCF3E6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 xml:space="preserve"> (</w:t>
            </w:r>
            <w:r w:rsidRPr="00CA26BF">
              <w:rPr>
                <w:rFonts w:ascii="Arial" w:eastAsia="Times New Roman" w:hAnsi="Arial" w:cs="Arial"/>
                <w:i/>
                <w:iCs/>
                <w:color w:val="000000"/>
              </w:rPr>
              <w:t>Pooled</w:t>
            </w:r>
            <w:r w:rsidRPr="00CA26BF">
              <w:rPr>
                <w:rFonts w:ascii="Arial" w:eastAsia="Times New Roman" w:hAnsi="Arial" w:cs="Arial"/>
                <w:color w:val="000000"/>
              </w:rPr>
              <w:t>)</w:t>
            </w:r>
          </w:p>
        </w:tc>
        <w:tc>
          <w:tcPr>
            <w:tcW w:w="748" w:type="dxa"/>
            <w:tcBorders>
              <w:top w:val="nil"/>
              <w:left w:val="nil"/>
              <w:bottom w:val="nil"/>
              <w:right w:val="nil"/>
            </w:tcBorders>
            <w:shd w:val="clear" w:color="auto" w:fill="auto"/>
            <w:noWrap/>
            <w:vAlign w:val="bottom"/>
            <w:hideMark/>
          </w:tcPr>
          <w:p w14:paraId="5898DE8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4.15</w:t>
            </w:r>
          </w:p>
        </w:tc>
        <w:tc>
          <w:tcPr>
            <w:tcW w:w="903" w:type="dxa"/>
            <w:tcBorders>
              <w:top w:val="nil"/>
              <w:left w:val="nil"/>
              <w:bottom w:val="nil"/>
              <w:right w:val="nil"/>
            </w:tcBorders>
            <w:shd w:val="clear" w:color="auto" w:fill="auto"/>
            <w:noWrap/>
            <w:vAlign w:val="bottom"/>
            <w:hideMark/>
          </w:tcPr>
          <w:p w14:paraId="7B9D285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-0.46</w:t>
            </w:r>
          </w:p>
        </w:tc>
        <w:tc>
          <w:tcPr>
            <w:tcW w:w="1524" w:type="dxa"/>
            <w:tcBorders>
              <w:top w:val="nil"/>
              <w:left w:val="nil"/>
              <w:bottom w:val="nil"/>
              <w:right w:val="nil"/>
            </w:tcBorders>
            <w:shd w:val="clear" w:color="auto" w:fill="auto"/>
            <w:noWrap/>
            <w:vAlign w:val="bottom"/>
            <w:hideMark/>
          </w:tcPr>
          <w:p w14:paraId="5720BEB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[-0.52, -0.40]</w:t>
            </w:r>
          </w:p>
        </w:tc>
        <w:tc>
          <w:tcPr>
            <w:tcW w:w="1214" w:type="dxa"/>
            <w:tcBorders>
              <w:top w:val="nil"/>
              <w:left w:val="nil"/>
              <w:bottom w:val="nil"/>
              <w:right w:val="nil"/>
            </w:tcBorders>
            <w:shd w:val="clear" w:color="auto" w:fill="auto"/>
            <w:noWrap/>
            <w:vAlign w:val="bottom"/>
            <w:hideMark/>
          </w:tcPr>
          <w:p w14:paraId="1E42105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0.83</w:t>
            </w:r>
          </w:p>
        </w:tc>
        <w:tc>
          <w:tcPr>
            <w:tcW w:w="1319" w:type="dxa"/>
            <w:tcBorders>
              <w:top w:val="nil"/>
              <w:left w:val="nil"/>
              <w:bottom w:val="nil"/>
              <w:right w:val="nil"/>
            </w:tcBorders>
            <w:shd w:val="clear" w:color="auto" w:fill="auto"/>
            <w:noWrap/>
            <w:vAlign w:val="bottom"/>
            <w:hideMark/>
          </w:tcPr>
          <w:p w14:paraId="6779652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[0.74, 0.91]</w:t>
            </w:r>
          </w:p>
        </w:tc>
        <w:tc>
          <w:tcPr>
            <w:tcW w:w="1130" w:type="dxa"/>
            <w:tcBorders>
              <w:top w:val="nil"/>
              <w:left w:val="nil"/>
              <w:bottom w:val="nil"/>
              <w:right w:val="nil"/>
            </w:tcBorders>
            <w:shd w:val="clear" w:color="auto" w:fill="auto"/>
            <w:noWrap/>
            <w:vAlign w:val="bottom"/>
            <w:hideMark/>
          </w:tcPr>
          <w:p w14:paraId="372A153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-1.29</w:t>
            </w:r>
          </w:p>
        </w:tc>
        <w:tc>
          <w:tcPr>
            <w:tcW w:w="1500" w:type="dxa"/>
            <w:tcBorders>
              <w:top w:val="nil"/>
              <w:left w:val="nil"/>
              <w:bottom w:val="nil"/>
              <w:right w:val="nil"/>
            </w:tcBorders>
            <w:shd w:val="clear" w:color="auto" w:fill="auto"/>
            <w:noWrap/>
            <w:vAlign w:val="bottom"/>
            <w:hideMark/>
          </w:tcPr>
          <w:p w14:paraId="647D5BA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[-1.27, -1.31]</w:t>
            </w:r>
          </w:p>
        </w:tc>
        <w:tc>
          <w:tcPr>
            <w:tcW w:w="261" w:type="dxa"/>
            <w:vAlign w:val="center"/>
            <w:hideMark/>
          </w:tcPr>
          <w:p w14:paraId="383168F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DE2D683" w14:textId="77777777" w:rsidTr="001D31AB">
        <w:trPr>
          <w:trHeight w:val="251"/>
        </w:trPr>
        <w:tc>
          <w:tcPr>
            <w:tcW w:w="1666" w:type="dxa"/>
            <w:tcBorders>
              <w:top w:val="nil"/>
              <w:left w:val="nil"/>
              <w:bottom w:val="nil"/>
              <w:right w:val="nil"/>
            </w:tcBorders>
            <w:shd w:val="clear" w:color="auto" w:fill="auto"/>
            <w:noWrap/>
            <w:vAlign w:val="bottom"/>
            <w:hideMark/>
          </w:tcPr>
          <w:p w14:paraId="68DBB05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Austria</w:t>
            </w:r>
          </w:p>
        </w:tc>
        <w:tc>
          <w:tcPr>
            <w:tcW w:w="748" w:type="dxa"/>
            <w:tcBorders>
              <w:top w:val="nil"/>
              <w:left w:val="nil"/>
              <w:bottom w:val="nil"/>
              <w:right w:val="nil"/>
            </w:tcBorders>
            <w:shd w:val="clear" w:color="auto" w:fill="auto"/>
            <w:noWrap/>
            <w:vAlign w:val="bottom"/>
            <w:hideMark/>
          </w:tcPr>
          <w:p w14:paraId="4F07CCF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3.70</w:t>
            </w:r>
          </w:p>
        </w:tc>
        <w:tc>
          <w:tcPr>
            <w:tcW w:w="903" w:type="dxa"/>
            <w:tcBorders>
              <w:top w:val="nil"/>
              <w:left w:val="nil"/>
              <w:bottom w:val="nil"/>
              <w:right w:val="nil"/>
            </w:tcBorders>
            <w:shd w:val="clear" w:color="auto" w:fill="auto"/>
            <w:noWrap/>
            <w:vAlign w:val="bottom"/>
            <w:hideMark/>
          </w:tcPr>
          <w:p w14:paraId="794F331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0.46</w:t>
            </w:r>
          </w:p>
        </w:tc>
        <w:tc>
          <w:tcPr>
            <w:tcW w:w="1524" w:type="dxa"/>
            <w:tcBorders>
              <w:top w:val="nil"/>
              <w:left w:val="nil"/>
              <w:bottom w:val="nil"/>
              <w:right w:val="nil"/>
            </w:tcBorders>
            <w:shd w:val="clear" w:color="auto" w:fill="auto"/>
            <w:noWrap/>
            <w:vAlign w:val="bottom"/>
            <w:hideMark/>
          </w:tcPr>
          <w:p w14:paraId="6E68C46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[0.53,   0.39]</w:t>
            </w:r>
          </w:p>
        </w:tc>
        <w:tc>
          <w:tcPr>
            <w:tcW w:w="1214" w:type="dxa"/>
            <w:tcBorders>
              <w:top w:val="nil"/>
              <w:left w:val="nil"/>
              <w:bottom w:val="nil"/>
              <w:right w:val="nil"/>
            </w:tcBorders>
            <w:shd w:val="clear" w:color="auto" w:fill="auto"/>
            <w:noWrap/>
            <w:vAlign w:val="bottom"/>
            <w:hideMark/>
          </w:tcPr>
          <w:p w14:paraId="4442F6B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0.89</w:t>
            </w:r>
          </w:p>
        </w:tc>
        <w:tc>
          <w:tcPr>
            <w:tcW w:w="1319" w:type="dxa"/>
            <w:tcBorders>
              <w:top w:val="nil"/>
              <w:left w:val="nil"/>
              <w:bottom w:val="nil"/>
              <w:right w:val="nil"/>
            </w:tcBorders>
            <w:shd w:val="clear" w:color="auto" w:fill="auto"/>
            <w:noWrap/>
            <w:vAlign w:val="bottom"/>
            <w:hideMark/>
          </w:tcPr>
          <w:p w14:paraId="57FE86F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[0.66, 1.11]</w:t>
            </w:r>
          </w:p>
        </w:tc>
        <w:tc>
          <w:tcPr>
            <w:tcW w:w="1130" w:type="dxa"/>
            <w:tcBorders>
              <w:top w:val="nil"/>
              <w:left w:val="nil"/>
              <w:bottom w:val="nil"/>
              <w:right w:val="nil"/>
            </w:tcBorders>
            <w:shd w:val="clear" w:color="auto" w:fill="auto"/>
            <w:noWrap/>
            <w:vAlign w:val="bottom"/>
            <w:hideMark/>
          </w:tcPr>
          <w:p w14:paraId="5A8D9BE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-0.43</w:t>
            </w:r>
          </w:p>
        </w:tc>
        <w:tc>
          <w:tcPr>
            <w:tcW w:w="1500" w:type="dxa"/>
            <w:tcBorders>
              <w:top w:val="nil"/>
              <w:left w:val="nil"/>
              <w:bottom w:val="nil"/>
              <w:right w:val="nil"/>
            </w:tcBorders>
            <w:shd w:val="clear" w:color="auto" w:fill="auto"/>
            <w:noWrap/>
            <w:vAlign w:val="bottom"/>
            <w:hideMark/>
          </w:tcPr>
          <w:p w14:paraId="05A3FB9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[-0.13, -0.73]</w:t>
            </w:r>
          </w:p>
        </w:tc>
        <w:tc>
          <w:tcPr>
            <w:tcW w:w="261" w:type="dxa"/>
            <w:vAlign w:val="center"/>
            <w:hideMark/>
          </w:tcPr>
          <w:p w14:paraId="7EF87D1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1BBFA76" w14:textId="77777777" w:rsidTr="001D31AB">
        <w:trPr>
          <w:trHeight w:val="251"/>
        </w:trPr>
        <w:tc>
          <w:tcPr>
            <w:tcW w:w="1666" w:type="dxa"/>
            <w:tcBorders>
              <w:top w:val="nil"/>
              <w:left w:val="nil"/>
              <w:bottom w:val="nil"/>
              <w:right w:val="nil"/>
            </w:tcBorders>
            <w:shd w:val="clear" w:color="auto" w:fill="auto"/>
            <w:noWrap/>
            <w:vAlign w:val="bottom"/>
            <w:hideMark/>
          </w:tcPr>
          <w:p w14:paraId="224C1145"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Belgium</w:t>
            </w:r>
          </w:p>
        </w:tc>
        <w:tc>
          <w:tcPr>
            <w:tcW w:w="748" w:type="dxa"/>
            <w:tcBorders>
              <w:top w:val="nil"/>
              <w:left w:val="nil"/>
              <w:bottom w:val="nil"/>
              <w:right w:val="nil"/>
            </w:tcBorders>
            <w:shd w:val="clear" w:color="auto" w:fill="auto"/>
            <w:noWrap/>
            <w:vAlign w:val="bottom"/>
            <w:hideMark/>
          </w:tcPr>
          <w:p w14:paraId="5B3F47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3.53</w:t>
            </w:r>
          </w:p>
        </w:tc>
        <w:tc>
          <w:tcPr>
            <w:tcW w:w="903" w:type="dxa"/>
            <w:tcBorders>
              <w:top w:val="nil"/>
              <w:left w:val="nil"/>
              <w:bottom w:val="nil"/>
              <w:right w:val="nil"/>
            </w:tcBorders>
            <w:shd w:val="clear" w:color="auto" w:fill="auto"/>
            <w:noWrap/>
            <w:vAlign w:val="bottom"/>
            <w:hideMark/>
          </w:tcPr>
          <w:p w14:paraId="25B824D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-0.55</w:t>
            </w:r>
          </w:p>
        </w:tc>
        <w:tc>
          <w:tcPr>
            <w:tcW w:w="1524" w:type="dxa"/>
            <w:tcBorders>
              <w:top w:val="nil"/>
              <w:left w:val="nil"/>
              <w:bottom w:val="nil"/>
              <w:right w:val="nil"/>
            </w:tcBorders>
            <w:shd w:val="clear" w:color="auto" w:fill="auto"/>
            <w:noWrap/>
            <w:vAlign w:val="bottom"/>
            <w:hideMark/>
          </w:tcPr>
          <w:p w14:paraId="246A5E1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[-0.56, -0.55]</w:t>
            </w:r>
          </w:p>
        </w:tc>
        <w:tc>
          <w:tcPr>
            <w:tcW w:w="1214" w:type="dxa"/>
            <w:tcBorders>
              <w:top w:val="nil"/>
              <w:left w:val="nil"/>
              <w:bottom w:val="nil"/>
              <w:right w:val="nil"/>
            </w:tcBorders>
            <w:shd w:val="clear" w:color="auto" w:fill="auto"/>
            <w:noWrap/>
            <w:vAlign w:val="bottom"/>
            <w:hideMark/>
          </w:tcPr>
          <w:p w14:paraId="1FA785B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0.71</w:t>
            </w:r>
          </w:p>
        </w:tc>
        <w:tc>
          <w:tcPr>
            <w:tcW w:w="1319" w:type="dxa"/>
            <w:tcBorders>
              <w:top w:val="nil"/>
              <w:left w:val="nil"/>
              <w:bottom w:val="nil"/>
              <w:right w:val="nil"/>
            </w:tcBorders>
            <w:shd w:val="clear" w:color="auto" w:fill="auto"/>
            <w:noWrap/>
            <w:vAlign w:val="bottom"/>
            <w:hideMark/>
          </w:tcPr>
          <w:p w14:paraId="78C1D1F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[0.56, 0.86]</w:t>
            </w:r>
          </w:p>
        </w:tc>
        <w:tc>
          <w:tcPr>
            <w:tcW w:w="1130" w:type="dxa"/>
            <w:tcBorders>
              <w:top w:val="nil"/>
              <w:left w:val="nil"/>
              <w:bottom w:val="nil"/>
              <w:right w:val="nil"/>
            </w:tcBorders>
            <w:shd w:val="clear" w:color="auto" w:fill="auto"/>
            <w:noWrap/>
            <w:vAlign w:val="bottom"/>
            <w:hideMark/>
          </w:tcPr>
          <w:p w14:paraId="3EA1B13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-1.26</w:t>
            </w:r>
          </w:p>
        </w:tc>
        <w:tc>
          <w:tcPr>
            <w:tcW w:w="1500" w:type="dxa"/>
            <w:tcBorders>
              <w:top w:val="nil"/>
              <w:left w:val="nil"/>
              <w:bottom w:val="nil"/>
              <w:right w:val="nil"/>
            </w:tcBorders>
            <w:shd w:val="clear" w:color="auto" w:fill="auto"/>
            <w:noWrap/>
            <w:vAlign w:val="bottom"/>
            <w:hideMark/>
          </w:tcPr>
          <w:p w14:paraId="5C17C6B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[-1.12, -1.41]</w:t>
            </w:r>
          </w:p>
        </w:tc>
        <w:tc>
          <w:tcPr>
            <w:tcW w:w="261" w:type="dxa"/>
            <w:vAlign w:val="center"/>
            <w:hideMark/>
          </w:tcPr>
          <w:p w14:paraId="172F6ED7"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EF25AFD" w14:textId="77777777" w:rsidTr="001D31AB">
        <w:trPr>
          <w:trHeight w:val="251"/>
        </w:trPr>
        <w:tc>
          <w:tcPr>
            <w:tcW w:w="1666" w:type="dxa"/>
            <w:tcBorders>
              <w:top w:val="nil"/>
              <w:left w:val="nil"/>
              <w:bottom w:val="nil"/>
              <w:right w:val="nil"/>
            </w:tcBorders>
            <w:shd w:val="clear" w:color="auto" w:fill="auto"/>
            <w:noWrap/>
            <w:vAlign w:val="bottom"/>
            <w:hideMark/>
          </w:tcPr>
          <w:p w14:paraId="738437DD"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Croatia</w:t>
            </w:r>
          </w:p>
        </w:tc>
        <w:tc>
          <w:tcPr>
            <w:tcW w:w="748" w:type="dxa"/>
            <w:tcBorders>
              <w:top w:val="nil"/>
              <w:left w:val="nil"/>
              <w:bottom w:val="nil"/>
              <w:right w:val="nil"/>
            </w:tcBorders>
            <w:shd w:val="clear" w:color="auto" w:fill="auto"/>
            <w:noWrap/>
            <w:vAlign w:val="bottom"/>
            <w:hideMark/>
          </w:tcPr>
          <w:p w14:paraId="325FFF9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4.28</w:t>
            </w:r>
          </w:p>
        </w:tc>
        <w:tc>
          <w:tcPr>
            <w:tcW w:w="903" w:type="dxa"/>
            <w:tcBorders>
              <w:top w:val="nil"/>
              <w:left w:val="nil"/>
              <w:bottom w:val="nil"/>
              <w:right w:val="nil"/>
            </w:tcBorders>
            <w:shd w:val="clear" w:color="auto" w:fill="auto"/>
            <w:noWrap/>
            <w:vAlign w:val="bottom"/>
            <w:hideMark/>
          </w:tcPr>
          <w:p w14:paraId="27DC0EE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-0.08</w:t>
            </w:r>
          </w:p>
        </w:tc>
        <w:tc>
          <w:tcPr>
            <w:tcW w:w="1524" w:type="dxa"/>
            <w:tcBorders>
              <w:top w:val="nil"/>
              <w:left w:val="nil"/>
              <w:bottom w:val="nil"/>
              <w:right w:val="nil"/>
            </w:tcBorders>
            <w:shd w:val="clear" w:color="auto" w:fill="auto"/>
            <w:noWrap/>
            <w:vAlign w:val="bottom"/>
            <w:hideMark/>
          </w:tcPr>
          <w:p w14:paraId="40349AB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19,  0.03</w:t>
            </w:r>
            <w:proofErr w:type="gramEnd"/>
            <w:r w:rsidRPr="00CA26BF">
              <w:rPr>
                <w:rFonts w:ascii="Arial" w:eastAsia="Times New Roman" w:hAnsi="Arial" w:cs="Arial"/>
                <w:color w:val="000000"/>
              </w:rPr>
              <w:t>]</w:t>
            </w:r>
          </w:p>
        </w:tc>
        <w:tc>
          <w:tcPr>
            <w:tcW w:w="1214" w:type="dxa"/>
            <w:tcBorders>
              <w:top w:val="nil"/>
              <w:left w:val="nil"/>
              <w:bottom w:val="nil"/>
              <w:right w:val="nil"/>
            </w:tcBorders>
            <w:shd w:val="clear" w:color="auto" w:fill="auto"/>
            <w:noWrap/>
            <w:vAlign w:val="bottom"/>
            <w:hideMark/>
          </w:tcPr>
          <w:p w14:paraId="3D2066C7"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1.64</w:t>
            </w:r>
          </w:p>
        </w:tc>
        <w:tc>
          <w:tcPr>
            <w:tcW w:w="1319" w:type="dxa"/>
            <w:tcBorders>
              <w:top w:val="nil"/>
              <w:left w:val="nil"/>
              <w:bottom w:val="nil"/>
              <w:right w:val="nil"/>
            </w:tcBorders>
            <w:shd w:val="clear" w:color="auto" w:fill="auto"/>
            <w:noWrap/>
            <w:vAlign w:val="bottom"/>
            <w:hideMark/>
          </w:tcPr>
          <w:p w14:paraId="1F13A34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[1.25, 2.02]</w:t>
            </w:r>
          </w:p>
        </w:tc>
        <w:tc>
          <w:tcPr>
            <w:tcW w:w="1130" w:type="dxa"/>
            <w:tcBorders>
              <w:top w:val="nil"/>
              <w:left w:val="nil"/>
              <w:bottom w:val="nil"/>
              <w:right w:val="nil"/>
            </w:tcBorders>
            <w:shd w:val="clear" w:color="auto" w:fill="auto"/>
            <w:noWrap/>
            <w:vAlign w:val="bottom"/>
            <w:hideMark/>
          </w:tcPr>
          <w:p w14:paraId="4F6BC37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-1.72</w:t>
            </w:r>
          </w:p>
        </w:tc>
        <w:tc>
          <w:tcPr>
            <w:tcW w:w="1500" w:type="dxa"/>
            <w:tcBorders>
              <w:top w:val="nil"/>
              <w:left w:val="nil"/>
              <w:bottom w:val="nil"/>
              <w:right w:val="nil"/>
            </w:tcBorders>
            <w:shd w:val="clear" w:color="auto" w:fill="auto"/>
            <w:noWrap/>
            <w:vAlign w:val="bottom"/>
            <w:hideMark/>
          </w:tcPr>
          <w:p w14:paraId="7436A2E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[-1.44, -1.99]</w:t>
            </w:r>
          </w:p>
        </w:tc>
        <w:tc>
          <w:tcPr>
            <w:tcW w:w="261" w:type="dxa"/>
            <w:vAlign w:val="center"/>
            <w:hideMark/>
          </w:tcPr>
          <w:p w14:paraId="6F14E06B"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DECCDE3" w14:textId="77777777" w:rsidTr="001D31AB">
        <w:trPr>
          <w:trHeight w:val="251"/>
        </w:trPr>
        <w:tc>
          <w:tcPr>
            <w:tcW w:w="1666" w:type="dxa"/>
            <w:tcBorders>
              <w:top w:val="nil"/>
              <w:left w:val="nil"/>
              <w:bottom w:val="nil"/>
              <w:right w:val="nil"/>
            </w:tcBorders>
            <w:shd w:val="clear" w:color="auto" w:fill="auto"/>
            <w:noWrap/>
            <w:vAlign w:val="bottom"/>
            <w:hideMark/>
          </w:tcPr>
          <w:p w14:paraId="029967F7"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Czechia</w:t>
            </w:r>
          </w:p>
        </w:tc>
        <w:tc>
          <w:tcPr>
            <w:tcW w:w="748" w:type="dxa"/>
            <w:tcBorders>
              <w:top w:val="nil"/>
              <w:left w:val="nil"/>
              <w:bottom w:val="nil"/>
              <w:right w:val="nil"/>
            </w:tcBorders>
            <w:shd w:val="clear" w:color="auto" w:fill="auto"/>
            <w:noWrap/>
            <w:vAlign w:val="center"/>
            <w:hideMark/>
          </w:tcPr>
          <w:p w14:paraId="5236303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4.17</w:t>
            </w:r>
          </w:p>
        </w:tc>
        <w:tc>
          <w:tcPr>
            <w:tcW w:w="903" w:type="dxa"/>
            <w:tcBorders>
              <w:top w:val="nil"/>
              <w:left w:val="nil"/>
              <w:bottom w:val="nil"/>
              <w:right w:val="nil"/>
            </w:tcBorders>
            <w:shd w:val="clear" w:color="auto" w:fill="auto"/>
            <w:noWrap/>
            <w:vAlign w:val="center"/>
            <w:hideMark/>
          </w:tcPr>
          <w:p w14:paraId="03E4A4C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0.21</w:t>
            </w:r>
          </w:p>
        </w:tc>
        <w:tc>
          <w:tcPr>
            <w:tcW w:w="1524" w:type="dxa"/>
            <w:tcBorders>
              <w:top w:val="nil"/>
              <w:left w:val="nil"/>
              <w:bottom w:val="nil"/>
              <w:right w:val="nil"/>
            </w:tcBorders>
            <w:shd w:val="clear" w:color="auto" w:fill="auto"/>
            <w:noWrap/>
            <w:vAlign w:val="bottom"/>
            <w:hideMark/>
          </w:tcPr>
          <w:p w14:paraId="7590FA0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[0.34,   0.07]</w:t>
            </w:r>
          </w:p>
        </w:tc>
        <w:tc>
          <w:tcPr>
            <w:tcW w:w="1214" w:type="dxa"/>
            <w:tcBorders>
              <w:top w:val="nil"/>
              <w:left w:val="nil"/>
              <w:bottom w:val="nil"/>
              <w:right w:val="nil"/>
            </w:tcBorders>
            <w:shd w:val="clear" w:color="auto" w:fill="auto"/>
            <w:noWrap/>
            <w:vAlign w:val="center"/>
            <w:hideMark/>
          </w:tcPr>
          <w:p w14:paraId="55D55CD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0.73</w:t>
            </w:r>
          </w:p>
        </w:tc>
        <w:tc>
          <w:tcPr>
            <w:tcW w:w="1319" w:type="dxa"/>
            <w:tcBorders>
              <w:top w:val="nil"/>
              <w:left w:val="nil"/>
              <w:bottom w:val="nil"/>
              <w:right w:val="nil"/>
            </w:tcBorders>
            <w:shd w:val="clear" w:color="auto" w:fill="auto"/>
            <w:noWrap/>
            <w:vAlign w:val="center"/>
            <w:hideMark/>
          </w:tcPr>
          <w:p w14:paraId="7557DD8D"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[0.51, 0.96]</w:t>
            </w:r>
          </w:p>
        </w:tc>
        <w:tc>
          <w:tcPr>
            <w:tcW w:w="1130" w:type="dxa"/>
            <w:tcBorders>
              <w:top w:val="nil"/>
              <w:left w:val="nil"/>
              <w:bottom w:val="nil"/>
              <w:right w:val="nil"/>
            </w:tcBorders>
            <w:shd w:val="clear" w:color="auto" w:fill="auto"/>
            <w:noWrap/>
            <w:vAlign w:val="center"/>
            <w:hideMark/>
          </w:tcPr>
          <w:p w14:paraId="46DB599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-0.53</w:t>
            </w:r>
          </w:p>
        </w:tc>
        <w:tc>
          <w:tcPr>
            <w:tcW w:w="1500" w:type="dxa"/>
            <w:tcBorders>
              <w:top w:val="nil"/>
              <w:left w:val="nil"/>
              <w:bottom w:val="nil"/>
              <w:right w:val="nil"/>
            </w:tcBorders>
            <w:shd w:val="clear" w:color="auto" w:fill="auto"/>
            <w:noWrap/>
            <w:vAlign w:val="bottom"/>
            <w:hideMark/>
          </w:tcPr>
          <w:p w14:paraId="6807E68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[-0.16, -0.89]</w:t>
            </w:r>
          </w:p>
        </w:tc>
        <w:tc>
          <w:tcPr>
            <w:tcW w:w="261" w:type="dxa"/>
            <w:vAlign w:val="center"/>
            <w:hideMark/>
          </w:tcPr>
          <w:p w14:paraId="122343CD"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3A8FCAF" w14:textId="77777777" w:rsidTr="001D31AB">
        <w:trPr>
          <w:trHeight w:val="251"/>
        </w:trPr>
        <w:tc>
          <w:tcPr>
            <w:tcW w:w="1666" w:type="dxa"/>
            <w:tcBorders>
              <w:top w:val="nil"/>
              <w:left w:val="nil"/>
              <w:bottom w:val="nil"/>
              <w:right w:val="nil"/>
            </w:tcBorders>
            <w:shd w:val="clear" w:color="auto" w:fill="auto"/>
            <w:noWrap/>
            <w:vAlign w:val="bottom"/>
            <w:hideMark/>
          </w:tcPr>
          <w:p w14:paraId="30A36312"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Denmark</w:t>
            </w:r>
          </w:p>
        </w:tc>
        <w:tc>
          <w:tcPr>
            <w:tcW w:w="748" w:type="dxa"/>
            <w:tcBorders>
              <w:top w:val="nil"/>
              <w:left w:val="nil"/>
              <w:bottom w:val="nil"/>
              <w:right w:val="nil"/>
            </w:tcBorders>
            <w:shd w:val="clear" w:color="auto" w:fill="auto"/>
            <w:noWrap/>
            <w:vAlign w:val="bottom"/>
            <w:hideMark/>
          </w:tcPr>
          <w:p w14:paraId="071C68B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2.99</w:t>
            </w:r>
          </w:p>
        </w:tc>
        <w:tc>
          <w:tcPr>
            <w:tcW w:w="903" w:type="dxa"/>
            <w:tcBorders>
              <w:top w:val="nil"/>
              <w:left w:val="nil"/>
              <w:bottom w:val="nil"/>
              <w:right w:val="nil"/>
            </w:tcBorders>
            <w:shd w:val="clear" w:color="auto" w:fill="auto"/>
            <w:noWrap/>
            <w:vAlign w:val="bottom"/>
            <w:hideMark/>
          </w:tcPr>
          <w:p w14:paraId="67E99F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-0.32</w:t>
            </w:r>
          </w:p>
        </w:tc>
        <w:tc>
          <w:tcPr>
            <w:tcW w:w="1524" w:type="dxa"/>
            <w:tcBorders>
              <w:top w:val="nil"/>
              <w:left w:val="nil"/>
              <w:bottom w:val="nil"/>
              <w:right w:val="nil"/>
            </w:tcBorders>
            <w:shd w:val="clear" w:color="auto" w:fill="auto"/>
            <w:noWrap/>
            <w:vAlign w:val="bottom"/>
            <w:hideMark/>
          </w:tcPr>
          <w:p w14:paraId="08AA0FF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[-0.16, -0.48]</w:t>
            </w:r>
          </w:p>
        </w:tc>
        <w:tc>
          <w:tcPr>
            <w:tcW w:w="1214" w:type="dxa"/>
            <w:tcBorders>
              <w:top w:val="nil"/>
              <w:left w:val="nil"/>
              <w:bottom w:val="nil"/>
              <w:right w:val="nil"/>
            </w:tcBorders>
            <w:shd w:val="clear" w:color="auto" w:fill="auto"/>
            <w:noWrap/>
            <w:vAlign w:val="bottom"/>
            <w:hideMark/>
          </w:tcPr>
          <w:p w14:paraId="7F330C4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0.69</w:t>
            </w:r>
          </w:p>
        </w:tc>
        <w:tc>
          <w:tcPr>
            <w:tcW w:w="1319" w:type="dxa"/>
            <w:tcBorders>
              <w:top w:val="nil"/>
              <w:left w:val="nil"/>
              <w:bottom w:val="nil"/>
              <w:right w:val="nil"/>
            </w:tcBorders>
            <w:shd w:val="clear" w:color="auto" w:fill="auto"/>
            <w:noWrap/>
            <w:vAlign w:val="bottom"/>
            <w:hideMark/>
          </w:tcPr>
          <w:p w14:paraId="646C188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[0.62, 0.77]</w:t>
            </w:r>
          </w:p>
        </w:tc>
        <w:tc>
          <w:tcPr>
            <w:tcW w:w="1130" w:type="dxa"/>
            <w:tcBorders>
              <w:top w:val="nil"/>
              <w:left w:val="nil"/>
              <w:bottom w:val="nil"/>
              <w:right w:val="nil"/>
            </w:tcBorders>
            <w:shd w:val="clear" w:color="auto" w:fill="auto"/>
            <w:noWrap/>
            <w:vAlign w:val="bottom"/>
            <w:hideMark/>
          </w:tcPr>
          <w:p w14:paraId="21F5C73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-1.01</w:t>
            </w:r>
          </w:p>
        </w:tc>
        <w:tc>
          <w:tcPr>
            <w:tcW w:w="1500" w:type="dxa"/>
            <w:tcBorders>
              <w:top w:val="nil"/>
              <w:left w:val="nil"/>
              <w:bottom w:val="nil"/>
              <w:right w:val="nil"/>
            </w:tcBorders>
            <w:shd w:val="clear" w:color="auto" w:fill="auto"/>
            <w:noWrap/>
            <w:vAlign w:val="bottom"/>
            <w:hideMark/>
          </w:tcPr>
          <w:p w14:paraId="6CE7559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[-0.77, -1.25]</w:t>
            </w:r>
          </w:p>
        </w:tc>
        <w:tc>
          <w:tcPr>
            <w:tcW w:w="261" w:type="dxa"/>
            <w:vAlign w:val="center"/>
            <w:hideMark/>
          </w:tcPr>
          <w:p w14:paraId="01CBD4A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4B27DA6C" w14:textId="77777777" w:rsidTr="001D31AB">
        <w:trPr>
          <w:trHeight w:val="251"/>
        </w:trPr>
        <w:tc>
          <w:tcPr>
            <w:tcW w:w="1666" w:type="dxa"/>
            <w:tcBorders>
              <w:top w:val="nil"/>
              <w:left w:val="nil"/>
              <w:bottom w:val="nil"/>
              <w:right w:val="nil"/>
            </w:tcBorders>
            <w:shd w:val="clear" w:color="auto" w:fill="auto"/>
            <w:noWrap/>
            <w:vAlign w:val="bottom"/>
            <w:hideMark/>
          </w:tcPr>
          <w:p w14:paraId="04F2710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Estonia</w:t>
            </w:r>
          </w:p>
        </w:tc>
        <w:tc>
          <w:tcPr>
            <w:tcW w:w="748" w:type="dxa"/>
            <w:tcBorders>
              <w:top w:val="nil"/>
              <w:left w:val="nil"/>
              <w:bottom w:val="nil"/>
              <w:right w:val="nil"/>
            </w:tcBorders>
            <w:shd w:val="clear" w:color="auto" w:fill="auto"/>
            <w:noWrap/>
            <w:vAlign w:val="bottom"/>
            <w:hideMark/>
          </w:tcPr>
          <w:p w14:paraId="63E73E3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5.65</w:t>
            </w:r>
          </w:p>
        </w:tc>
        <w:tc>
          <w:tcPr>
            <w:tcW w:w="903" w:type="dxa"/>
            <w:tcBorders>
              <w:top w:val="nil"/>
              <w:left w:val="nil"/>
              <w:bottom w:val="nil"/>
              <w:right w:val="nil"/>
            </w:tcBorders>
            <w:shd w:val="clear" w:color="auto" w:fill="auto"/>
            <w:noWrap/>
            <w:vAlign w:val="bottom"/>
            <w:hideMark/>
          </w:tcPr>
          <w:p w14:paraId="394B0B1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0.17</w:t>
            </w:r>
          </w:p>
        </w:tc>
        <w:tc>
          <w:tcPr>
            <w:tcW w:w="1524" w:type="dxa"/>
            <w:tcBorders>
              <w:top w:val="nil"/>
              <w:left w:val="nil"/>
              <w:bottom w:val="nil"/>
              <w:right w:val="nil"/>
            </w:tcBorders>
            <w:shd w:val="clear" w:color="auto" w:fill="auto"/>
            <w:noWrap/>
            <w:vAlign w:val="bottom"/>
            <w:hideMark/>
          </w:tcPr>
          <w:p w14:paraId="0EF56A5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[0.05,   0.30]</w:t>
            </w:r>
          </w:p>
        </w:tc>
        <w:tc>
          <w:tcPr>
            <w:tcW w:w="1214" w:type="dxa"/>
            <w:tcBorders>
              <w:top w:val="nil"/>
              <w:left w:val="nil"/>
              <w:bottom w:val="nil"/>
              <w:right w:val="nil"/>
            </w:tcBorders>
            <w:shd w:val="clear" w:color="auto" w:fill="auto"/>
            <w:noWrap/>
            <w:vAlign w:val="bottom"/>
            <w:hideMark/>
          </w:tcPr>
          <w:p w14:paraId="77FE590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1.03</w:t>
            </w:r>
          </w:p>
        </w:tc>
        <w:tc>
          <w:tcPr>
            <w:tcW w:w="1319" w:type="dxa"/>
            <w:tcBorders>
              <w:top w:val="nil"/>
              <w:left w:val="nil"/>
              <w:bottom w:val="nil"/>
              <w:right w:val="nil"/>
            </w:tcBorders>
            <w:shd w:val="clear" w:color="auto" w:fill="auto"/>
            <w:noWrap/>
            <w:vAlign w:val="bottom"/>
            <w:hideMark/>
          </w:tcPr>
          <w:p w14:paraId="73AA93A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[0.90, 1.16]</w:t>
            </w:r>
          </w:p>
        </w:tc>
        <w:tc>
          <w:tcPr>
            <w:tcW w:w="1130" w:type="dxa"/>
            <w:tcBorders>
              <w:top w:val="nil"/>
              <w:left w:val="nil"/>
              <w:bottom w:val="nil"/>
              <w:right w:val="nil"/>
            </w:tcBorders>
            <w:shd w:val="clear" w:color="auto" w:fill="auto"/>
            <w:noWrap/>
            <w:vAlign w:val="bottom"/>
            <w:hideMark/>
          </w:tcPr>
          <w:p w14:paraId="71EF180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-0.86</w:t>
            </w:r>
          </w:p>
        </w:tc>
        <w:tc>
          <w:tcPr>
            <w:tcW w:w="1500" w:type="dxa"/>
            <w:tcBorders>
              <w:top w:val="nil"/>
              <w:left w:val="nil"/>
              <w:bottom w:val="nil"/>
              <w:right w:val="nil"/>
            </w:tcBorders>
            <w:shd w:val="clear" w:color="auto" w:fill="auto"/>
            <w:noWrap/>
            <w:vAlign w:val="bottom"/>
            <w:hideMark/>
          </w:tcPr>
          <w:p w14:paraId="7C78A9F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[-0.85, -0.86]</w:t>
            </w:r>
          </w:p>
        </w:tc>
        <w:tc>
          <w:tcPr>
            <w:tcW w:w="261" w:type="dxa"/>
            <w:vAlign w:val="center"/>
            <w:hideMark/>
          </w:tcPr>
          <w:p w14:paraId="3C1D4D3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4086D89" w14:textId="77777777" w:rsidTr="001D31AB">
        <w:trPr>
          <w:trHeight w:val="251"/>
        </w:trPr>
        <w:tc>
          <w:tcPr>
            <w:tcW w:w="1666" w:type="dxa"/>
            <w:tcBorders>
              <w:top w:val="nil"/>
              <w:left w:val="nil"/>
              <w:bottom w:val="nil"/>
              <w:right w:val="nil"/>
            </w:tcBorders>
            <w:shd w:val="clear" w:color="auto" w:fill="auto"/>
            <w:noWrap/>
            <w:vAlign w:val="bottom"/>
            <w:hideMark/>
          </w:tcPr>
          <w:p w14:paraId="52F337D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France</w:t>
            </w:r>
          </w:p>
        </w:tc>
        <w:tc>
          <w:tcPr>
            <w:tcW w:w="748" w:type="dxa"/>
            <w:tcBorders>
              <w:top w:val="nil"/>
              <w:left w:val="nil"/>
              <w:bottom w:val="nil"/>
              <w:right w:val="nil"/>
            </w:tcBorders>
            <w:shd w:val="clear" w:color="auto" w:fill="auto"/>
            <w:noWrap/>
            <w:vAlign w:val="bottom"/>
            <w:hideMark/>
          </w:tcPr>
          <w:p w14:paraId="57B27F2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4.53</w:t>
            </w:r>
          </w:p>
        </w:tc>
        <w:tc>
          <w:tcPr>
            <w:tcW w:w="903" w:type="dxa"/>
            <w:tcBorders>
              <w:top w:val="nil"/>
              <w:left w:val="nil"/>
              <w:bottom w:val="nil"/>
              <w:right w:val="nil"/>
            </w:tcBorders>
            <w:shd w:val="clear" w:color="auto" w:fill="auto"/>
            <w:noWrap/>
            <w:vAlign w:val="bottom"/>
            <w:hideMark/>
          </w:tcPr>
          <w:p w14:paraId="75C42C7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-0.81</w:t>
            </w:r>
          </w:p>
        </w:tc>
        <w:tc>
          <w:tcPr>
            <w:tcW w:w="1524" w:type="dxa"/>
            <w:tcBorders>
              <w:top w:val="nil"/>
              <w:left w:val="nil"/>
              <w:bottom w:val="nil"/>
              <w:right w:val="nil"/>
            </w:tcBorders>
            <w:shd w:val="clear" w:color="auto" w:fill="auto"/>
            <w:noWrap/>
            <w:vAlign w:val="bottom"/>
            <w:hideMark/>
          </w:tcPr>
          <w:p w14:paraId="01EBC24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[-0.78, -0.84]</w:t>
            </w:r>
          </w:p>
        </w:tc>
        <w:tc>
          <w:tcPr>
            <w:tcW w:w="1214" w:type="dxa"/>
            <w:tcBorders>
              <w:top w:val="nil"/>
              <w:left w:val="nil"/>
              <w:bottom w:val="nil"/>
              <w:right w:val="nil"/>
            </w:tcBorders>
            <w:shd w:val="clear" w:color="auto" w:fill="auto"/>
            <w:noWrap/>
            <w:vAlign w:val="bottom"/>
            <w:hideMark/>
          </w:tcPr>
          <w:p w14:paraId="4C88016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0.60</w:t>
            </w:r>
          </w:p>
        </w:tc>
        <w:tc>
          <w:tcPr>
            <w:tcW w:w="1319" w:type="dxa"/>
            <w:tcBorders>
              <w:top w:val="nil"/>
              <w:left w:val="nil"/>
              <w:bottom w:val="nil"/>
              <w:right w:val="nil"/>
            </w:tcBorders>
            <w:shd w:val="clear" w:color="auto" w:fill="auto"/>
            <w:noWrap/>
            <w:vAlign w:val="bottom"/>
            <w:hideMark/>
          </w:tcPr>
          <w:p w14:paraId="18AB3C7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[0.42, 0.78]</w:t>
            </w:r>
          </w:p>
        </w:tc>
        <w:tc>
          <w:tcPr>
            <w:tcW w:w="1130" w:type="dxa"/>
            <w:tcBorders>
              <w:top w:val="nil"/>
              <w:left w:val="nil"/>
              <w:bottom w:val="nil"/>
              <w:right w:val="nil"/>
            </w:tcBorders>
            <w:shd w:val="clear" w:color="auto" w:fill="auto"/>
            <w:noWrap/>
            <w:vAlign w:val="bottom"/>
            <w:hideMark/>
          </w:tcPr>
          <w:p w14:paraId="7C3C775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-1.41</w:t>
            </w:r>
          </w:p>
        </w:tc>
        <w:tc>
          <w:tcPr>
            <w:tcW w:w="1500" w:type="dxa"/>
            <w:tcBorders>
              <w:top w:val="nil"/>
              <w:left w:val="nil"/>
              <w:bottom w:val="nil"/>
              <w:right w:val="nil"/>
            </w:tcBorders>
            <w:shd w:val="clear" w:color="auto" w:fill="auto"/>
            <w:noWrap/>
            <w:vAlign w:val="bottom"/>
            <w:hideMark/>
          </w:tcPr>
          <w:p w14:paraId="36BB9FC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[-1.20, -1.62]</w:t>
            </w:r>
          </w:p>
        </w:tc>
        <w:tc>
          <w:tcPr>
            <w:tcW w:w="261" w:type="dxa"/>
            <w:vAlign w:val="center"/>
            <w:hideMark/>
          </w:tcPr>
          <w:p w14:paraId="56ED2DF1"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363AB84" w14:textId="77777777" w:rsidTr="001D31AB">
        <w:trPr>
          <w:trHeight w:val="251"/>
        </w:trPr>
        <w:tc>
          <w:tcPr>
            <w:tcW w:w="1666" w:type="dxa"/>
            <w:tcBorders>
              <w:top w:val="nil"/>
              <w:left w:val="nil"/>
              <w:bottom w:val="nil"/>
              <w:right w:val="nil"/>
            </w:tcBorders>
            <w:shd w:val="clear" w:color="auto" w:fill="auto"/>
            <w:noWrap/>
            <w:vAlign w:val="bottom"/>
            <w:hideMark/>
          </w:tcPr>
          <w:p w14:paraId="325F0BB2"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Germany</w:t>
            </w:r>
          </w:p>
        </w:tc>
        <w:tc>
          <w:tcPr>
            <w:tcW w:w="748" w:type="dxa"/>
            <w:tcBorders>
              <w:top w:val="nil"/>
              <w:left w:val="nil"/>
              <w:bottom w:val="nil"/>
              <w:right w:val="nil"/>
            </w:tcBorders>
            <w:shd w:val="clear" w:color="auto" w:fill="auto"/>
            <w:noWrap/>
            <w:vAlign w:val="bottom"/>
            <w:hideMark/>
          </w:tcPr>
          <w:p w14:paraId="035066D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3.64</w:t>
            </w:r>
          </w:p>
        </w:tc>
        <w:tc>
          <w:tcPr>
            <w:tcW w:w="903" w:type="dxa"/>
            <w:tcBorders>
              <w:top w:val="nil"/>
              <w:left w:val="nil"/>
              <w:bottom w:val="nil"/>
              <w:right w:val="nil"/>
            </w:tcBorders>
            <w:shd w:val="clear" w:color="auto" w:fill="auto"/>
            <w:noWrap/>
            <w:vAlign w:val="bottom"/>
            <w:hideMark/>
          </w:tcPr>
          <w:p w14:paraId="3E86CC6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0.08</w:t>
            </w:r>
          </w:p>
        </w:tc>
        <w:tc>
          <w:tcPr>
            <w:tcW w:w="1524" w:type="dxa"/>
            <w:tcBorders>
              <w:top w:val="nil"/>
              <w:left w:val="nil"/>
              <w:bottom w:val="nil"/>
              <w:right w:val="nil"/>
            </w:tcBorders>
            <w:shd w:val="clear" w:color="auto" w:fill="auto"/>
            <w:noWrap/>
            <w:vAlign w:val="bottom"/>
            <w:hideMark/>
          </w:tcPr>
          <w:p w14:paraId="545D6EE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05,  0.22</w:t>
            </w:r>
            <w:proofErr w:type="gramEnd"/>
            <w:r w:rsidRPr="00CA26BF">
              <w:rPr>
                <w:rFonts w:ascii="Arial" w:eastAsia="Times New Roman" w:hAnsi="Arial" w:cs="Arial"/>
                <w:color w:val="000000"/>
              </w:rPr>
              <w:t>]</w:t>
            </w:r>
          </w:p>
        </w:tc>
        <w:tc>
          <w:tcPr>
            <w:tcW w:w="1214" w:type="dxa"/>
            <w:tcBorders>
              <w:top w:val="nil"/>
              <w:left w:val="nil"/>
              <w:bottom w:val="nil"/>
              <w:right w:val="nil"/>
            </w:tcBorders>
            <w:shd w:val="clear" w:color="auto" w:fill="auto"/>
            <w:noWrap/>
            <w:vAlign w:val="bottom"/>
            <w:hideMark/>
          </w:tcPr>
          <w:p w14:paraId="1F73933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0.69</w:t>
            </w:r>
          </w:p>
        </w:tc>
        <w:tc>
          <w:tcPr>
            <w:tcW w:w="1319" w:type="dxa"/>
            <w:tcBorders>
              <w:top w:val="nil"/>
              <w:left w:val="nil"/>
              <w:bottom w:val="nil"/>
              <w:right w:val="nil"/>
            </w:tcBorders>
            <w:shd w:val="clear" w:color="auto" w:fill="auto"/>
            <w:noWrap/>
            <w:vAlign w:val="bottom"/>
            <w:hideMark/>
          </w:tcPr>
          <w:p w14:paraId="2FE2966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[0.50, 0.88]</w:t>
            </w:r>
          </w:p>
        </w:tc>
        <w:tc>
          <w:tcPr>
            <w:tcW w:w="1130" w:type="dxa"/>
            <w:tcBorders>
              <w:top w:val="nil"/>
              <w:left w:val="nil"/>
              <w:bottom w:val="nil"/>
              <w:right w:val="nil"/>
            </w:tcBorders>
            <w:shd w:val="clear" w:color="auto" w:fill="auto"/>
            <w:noWrap/>
            <w:vAlign w:val="bottom"/>
            <w:hideMark/>
          </w:tcPr>
          <w:p w14:paraId="22B0612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-0.61</w:t>
            </w:r>
          </w:p>
        </w:tc>
        <w:tc>
          <w:tcPr>
            <w:tcW w:w="1500" w:type="dxa"/>
            <w:tcBorders>
              <w:top w:val="nil"/>
              <w:left w:val="nil"/>
              <w:bottom w:val="nil"/>
              <w:right w:val="nil"/>
            </w:tcBorders>
            <w:shd w:val="clear" w:color="auto" w:fill="auto"/>
            <w:noWrap/>
            <w:vAlign w:val="bottom"/>
            <w:hideMark/>
          </w:tcPr>
          <w:p w14:paraId="638B10E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[-0.55, -0.66]</w:t>
            </w:r>
          </w:p>
        </w:tc>
        <w:tc>
          <w:tcPr>
            <w:tcW w:w="261" w:type="dxa"/>
            <w:vAlign w:val="center"/>
            <w:hideMark/>
          </w:tcPr>
          <w:p w14:paraId="6914F0B8"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0FD9DF6" w14:textId="77777777" w:rsidTr="001D31AB">
        <w:trPr>
          <w:trHeight w:val="251"/>
        </w:trPr>
        <w:tc>
          <w:tcPr>
            <w:tcW w:w="1666" w:type="dxa"/>
            <w:tcBorders>
              <w:top w:val="nil"/>
              <w:left w:val="nil"/>
              <w:bottom w:val="nil"/>
              <w:right w:val="nil"/>
            </w:tcBorders>
            <w:shd w:val="clear" w:color="auto" w:fill="auto"/>
            <w:noWrap/>
            <w:vAlign w:val="bottom"/>
            <w:hideMark/>
          </w:tcPr>
          <w:p w14:paraId="01B7DDA5"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Greece</w:t>
            </w:r>
          </w:p>
        </w:tc>
        <w:tc>
          <w:tcPr>
            <w:tcW w:w="748" w:type="dxa"/>
            <w:tcBorders>
              <w:top w:val="nil"/>
              <w:left w:val="nil"/>
              <w:bottom w:val="nil"/>
              <w:right w:val="nil"/>
            </w:tcBorders>
            <w:shd w:val="clear" w:color="auto" w:fill="auto"/>
            <w:noWrap/>
            <w:vAlign w:val="bottom"/>
            <w:hideMark/>
          </w:tcPr>
          <w:p w14:paraId="05BEABA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4.01</w:t>
            </w:r>
          </w:p>
        </w:tc>
        <w:tc>
          <w:tcPr>
            <w:tcW w:w="903" w:type="dxa"/>
            <w:tcBorders>
              <w:top w:val="nil"/>
              <w:left w:val="nil"/>
              <w:bottom w:val="nil"/>
              <w:right w:val="nil"/>
            </w:tcBorders>
            <w:shd w:val="clear" w:color="auto" w:fill="auto"/>
            <w:noWrap/>
            <w:vAlign w:val="bottom"/>
            <w:hideMark/>
          </w:tcPr>
          <w:p w14:paraId="7ECB0B2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-1.39</w:t>
            </w:r>
          </w:p>
        </w:tc>
        <w:tc>
          <w:tcPr>
            <w:tcW w:w="1524" w:type="dxa"/>
            <w:tcBorders>
              <w:top w:val="nil"/>
              <w:left w:val="nil"/>
              <w:bottom w:val="nil"/>
              <w:right w:val="nil"/>
            </w:tcBorders>
            <w:shd w:val="clear" w:color="auto" w:fill="auto"/>
            <w:noWrap/>
            <w:vAlign w:val="bottom"/>
            <w:hideMark/>
          </w:tcPr>
          <w:p w14:paraId="4E784CA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[-1.53, -1.26]</w:t>
            </w:r>
          </w:p>
        </w:tc>
        <w:tc>
          <w:tcPr>
            <w:tcW w:w="1214" w:type="dxa"/>
            <w:tcBorders>
              <w:top w:val="nil"/>
              <w:left w:val="nil"/>
              <w:bottom w:val="nil"/>
              <w:right w:val="nil"/>
            </w:tcBorders>
            <w:shd w:val="clear" w:color="auto" w:fill="auto"/>
            <w:noWrap/>
            <w:vAlign w:val="bottom"/>
            <w:hideMark/>
          </w:tcPr>
          <w:p w14:paraId="782062E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1.40</w:t>
            </w:r>
          </w:p>
        </w:tc>
        <w:tc>
          <w:tcPr>
            <w:tcW w:w="1319" w:type="dxa"/>
            <w:tcBorders>
              <w:top w:val="nil"/>
              <w:left w:val="nil"/>
              <w:bottom w:val="nil"/>
              <w:right w:val="nil"/>
            </w:tcBorders>
            <w:shd w:val="clear" w:color="auto" w:fill="auto"/>
            <w:noWrap/>
            <w:vAlign w:val="bottom"/>
            <w:hideMark/>
          </w:tcPr>
          <w:p w14:paraId="0D7FFEE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[1.19, 1.61]</w:t>
            </w:r>
          </w:p>
        </w:tc>
        <w:tc>
          <w:tcPr>
            <w:tcW w:w="1130" w:type="dxa"/>
            <w:tcBorders>
              <w:top w:val="nil"/>
              <w:left w:val="nil"/>
              <w:bottom w:val="nil"/>
              <w:right w:val="nil"/>
            </w:tcBorders>
            <w:shd w:val="clear" w:color="auto" w:fill="auto"/>
            <w:noWrap/>
            <w:vAlign w:val="bottom"/>
            <w:hideMark/>
          </w:tcPr>
          <w:p w14:paraId="0262D7D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-2.79</w:t>
            </w:r>
          </w:p>
        </w:tc>
        <w:tc>
          <w:tcPr>
            <w:tcW w:w="1500" w:type="dxa"/>
            <w:tcBorders>
              <w:top w:val="nil"/>
              <w:left w:val="nil"/>
              <w:bottom w:val="nil"/>
              <w:right w:val="nil"/>
            </w:tcBorders>
            <w:shd w:val="clear" w:color="auto" w:fill="auto"/>
            <w:noWrap/>
            <w:vAlign w:val="bottom"/>
            <w:hideMark/>
          </w:tcPr>
          <w:p w14:paraId="24FEE02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[-2.71, -2.87]</w:t>
            </w:r>
          </w:p>
        </w:tc>
        <w:tc>
          <w:tcPr>
            <w:tcW w:w="261" w:type="dxa"/>
            <w:vAlign w:val="center"/>
            <w:hideMark/>
          </w:tcPr>
          <w:p w14:paraId="60E9B625"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3FA533CB" w14:textId="77777777" w:rsidTr="001D31AB">
        <w:trPr>
          <w:trHeight w:val="251"/>
        </w:trPr>
        <w:tc>
          <w:tcPr>
            <w:tcW w:w="1666" w:type="dxa"/>
            <w:tcBorders>
              <w:top w:val="nil"/>
              <w:left w:val="nil"/>
              <w:bottom w:val="nil"/>
              <w:right w:val="nil"/>
            </w:tcBorders>
            <w:shd w:val="clear" w:color="auto" w:fill="auto"/>
            <w:noWrap/>
            <w:vAlign w:val="bottom"/>
            <w:hideMark/>
          </w:tcPr>
          <w:p w14:paraId="1CA184C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Israel</w:t>
            </w:r>
          </w:p>
        </w:tc>
        <w:tc>
          <w:tcPr>
            <w:tcW w:w="748" w:type="dxa"/>
            <w:tcBorders>
              <w:top w:val="nil"/>
              <w:left w:val="nil"/>
              <w:bottom w:val="nil"/>
              <w:right w:val="nil"/>
            </w:tcBorders>
            <w:shd w:val="clear" w:color="auto" w:fill="auto"/>
            <w:noWrap/>
            <w:vAlign w:val="bottom"/>
            <w:hideMark/>
          </w:tcPr>
          <w:p w14:paraId="7B70097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2.80</w:t>
            </w:r>
          </w:p>
        </w:tc>
        <w:tc>
          <w:tcPr>
            <w:tcW w:w="903" w:type="dxa"/>
            <w:tcBorders>
              <w:top w:val="nil"/>
              <w:left w:val="nil"/>
              <w:bottom w:val="nil"/>
              <w:right w:val="nil"/>
            </w:tcBorders>
            <w:shd w:val="clear" w:color="auto" w:fill="auto"/>
            <w:noWrap/>
            <w:vAlign w:val="bottom"/>
            <w:hideMark/>
          </w:tcPr>
          <w:p w14:paraId="14289FB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1.69</w:t>
            </w:r>
          </w:p>
        </w:tc>
        <w:tc>
          <w:tcPr>
            <w:tcW w:w="1524" w:type="dxa"/>
            <w:tcBorders>
              <w:top w:val="nil"/>
              <w:left w:val="nil"/>
              <w:bottom w:val="nil"/>
              <w:right w:val="nil"/>
            </w:tcBorders>
            <w:shd w:val="clear" w:color="auto" w:fill="auto"/>
            <w:noWrap/>
            <w:vAlign w:val="bottom"/>
            <w:hideMark/>
          </w:tcPr>
          <w:p w14:paraId="7583300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[1.58,   1.81]</w:t>
            </w:r>
          </w:p>
        </w:tc>
        <w:tc>
          <w:tcPr>
            <w:tcW w:w="1214" w:type="dxa"/>
            <w:tcBorders>
              <w:top w:val="nil"/>
              <w:left w:val="nil"/>
              <w:bottom w:val="nil"/>
              <w:right w:val="nil"/>
            </w:tcBorders>
            <w:shd w:val="clear" w:color="auto" w:fill="auto"/>
            <w:noWrap/>
            <w:vAlign w:val="bottom"/>
            <w:hideMark/>
          </w:tcPr>
          <w:p w14:paraId="44D6578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0.63</w:t>
            </w:r>
          </w:p>
        </w:tc>
        <w:tc>
          <w:tcPr>
            <w:tcW w:w="1319" w:type="dxa"/>
            <w:tcBorders>
              <w:top w:val="nil"/>
              <w:left w:val="nil"/>
              <w:bottom w:val="nil"/>
              <w:right w:val="nil"/>
            </w:tcBorders>
            <w:shd w:val="clear" w:color="auto" w:fill="auto"/>
            <w:noWrap/>
            <w:vAlign w:val="bottom"/>
            <w:hideMark/>
          </w:tcPr>
          <w:p w14:paraId="6DE7DD7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[0.42, 0.84]</w:t>
            </w:r>
          </w:p>
        </w:tc>
        <w:tc>
          <w:tcPr>
            <w:tcW w:w="1130" w:type="dxa"/>
            <w:tcBorders>
              <w:top w:val="nil"/>
              <w:left w:val="nil"/>
              <w:bottom w:val="nil"/>
              <w:right w:val="nil"/>
            </w:tcBorders>
            <w:shd w:val="clear" w:color="auto" w:fill="auto"/>
            <w:noWrap/>
            <w:vAlign w:val="bottom"/>
            <w:hideMark/>
          </w:tcPr>
          <w:p w14:paraId="7328ADE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1.06</w:t>
            </w:r>
          </w:p>
        </w:tc>
        <w:tc>
          <w:tcPr>
            <w:tcW w:w="1500" w:type="dxa"/>
            <w:tcBorders>
              <w:top w:val="nil"/>
              <w:left w:val="nil"/>
              <w:bottom w:val="nil"/>
              <w:right w:val="nil"/>
            </w:tcBorders>
            <w:shd w:val="clear" w:color="auto" w:fill="auto"/>
            <w:noWrap/>
            <w:vAlign w:val="bottom"/>
            <w:hideMark/>
          </w:tcPr>
          <w:p w14:paraId="7AA5027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[1.16,   0.96]</w:t>
            </w:r>
          </w:p>
        </w:tc>
        <w:tc>
          <w:tcPr>
            <w:tcW w:w="261" w:type="dxa"/>
            <w:vAlign w:val="center"/>
            <w:hideMark/>
          </w:tcPr>
          <w:p w14:paraId="275D4177"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799AB55" w14:textId="77777777" w:rsidTr="001D31AB">
        <w:trPr>
          <w:trHeight w:val="251"/>
        </w:trPr>
        <w:tc>
          <w:tcPr>
            <w:tcW w:w="1666" w:type="dxa"/>
            <w:tcBorders>
              <w:top w:val="nil"/>
              <w:left w:val="nil"/>
              <w:bottom w:val="nil"/>
              <w:right w:val="nil"/>
            </w:tcBorders>
            <w:shd w:val="clear" w:color="auto" w:fill="auto"/>
            <w:noWrap/>
            <w:vAlign w:val="bottom"/>
            <w:hideMark/>
          </w:tcPr>
          <w:p w14:paraId="3FC0CA1D"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Italy</w:t>
            </w:r>
          </w:p>
        </w:tc>
        <w:tc>
          <w:tcPr>
            <w:tcW w:w="748" w:type="dxa"/>
            <w:tcBorders>
              <w:top w:val="nil"/>
              <w:left w:val="nil"/>
              <w:bottom w:val="nil"/>
              <w:right w:val="nil"/>
            </w:tcBorders>
            <w:shd w:val="clear" w:color="auto" w:fill="auto"/>
            <w:noWrap/>
            <w:vAlign w:val="bottom"/>
            <w:hideMark/>
          </w:tcPr>
          <w:p w14:paraId="62168C6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3.51</w:t>
            </w:r>
          </w:p>
        </w:tc>
        <w:tc>
          <w:tcPr>
            <w:tcW w:w="903" w:type="dxa"/>
            <w:tcBorders>
              <w:top w:val="nil"/>
              <w:left w:val="nil"/>
              <w:bottom w:val="nil"/>
              <w:right w:val="nil"/>
            </w:tcBorders>
            <w:shd w:val="clear" w:color="auto" w:fill="auto"/>
            <w:noWrap/>
            <w:vAlign w:val="bottom"/>
            <w:hideMark/>
          </w:tcPr>
          <w:p w14:paraId="1616464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-1.36</w:t>
            </w:r>
          </w:p>
        </w:tc>
        <w:tc>
          <w:tcPr>
            <w:tcW w:w="1524" w:type="dxa"/>
            <w:tcBorders>
              <w:top w:val="nil"/>
              <w:left w:val="nil"/>
              <w:bottom w:val="nil"/>
              <w:right w:val="nil"/>
            </w:tcBorders>
            <w:shd w:val="clear" w:color="auto" w:fill="auto"/>
            <w:noWrap/>
            <w:vAlign w:val="bottom"/>
            <w:hideMark/>
          </w:tcPr>
          <w:p w14:paraId="6F9213D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[-1.39, -1.32]</w:t>
            </w:r>
          </w:p>
        </w:tc>
        <w:tc>
          <w:tcPr>
            <w:tcW w:w="1214" w:type="dxa"/>
            <w:tcBorders>
              <w:top w:val="nil"/>
              <w:left w:val="nil"/>
              <w:bottom w:val="nil"/>
              <w:right w:val="nil"/>
            </w:tcBorders>
            <w:shd w:val="clear" w:color="auto" w:fill="auto"/>
            <w:noWrap/>
            <w:vAlign w:val="bottom"/>
            <w:hideMark/>
          </w:tcPr>
          <w:p w14:paraId="520FEBF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0.72</w:t>
            </w:r>
          </w:p>
        </w:tc>
        <w:tc>
          <w:tcPr>
            <w:tcW w:w="1319" w:type="dxa"/>
            <w:tcBorders>
              <w:top w:val="nil"/>
              <w:left w:val="nil"/>
              <w:bottom w:val="nil"/>
              <w:right w:val="nil"/>
            </w:tcBorders>
            <w:shd w:val="clear" w:color="auto" w:fill="auto"/>
            <w:noWrap/>
            <w:vAlign w:val="bottom"/>
            <w:hideMark/>
          </w:tcPr>
          <w:p w14:paraId="47DCE41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[0.55, 0.89]</w:t>
            </w:r>
          </w:p>
        </w:tc>
        <w:tc>
          <w:tcPr>
            <w:tcW w:w="1130" w:type="dxa"/>
            <w:tcBorders>
              <w:top w:val="nil"/>
              <w:left w:val="nil"/>
              <w:bottom w:val="nil"/>
              <w:right w:val="nil"/>
            </w:tcBorders>
            <w:shd w:val="clear" w:color="auto" w:fill="auto"/>
            <w:noWrap/>
            <w:vAlign w:val="bottom"/>
            <w:hideMark/>
          </w:tcPr>
          <w:p w14:paraId="0027DD8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-2.08</w:t>
            </w:r>
          </w:p>
        </w:tc>
        <w:tc>
          <w:tcPr>
            <w:tcW w:w="1500" w:type="dxa"/>
            <w:tcBorders>
              <w:top w:val="nil"/>
              <w:left w:val="nil"/>
              <w:bottom w:val="nil"/>
              <w:right w:val="nil"/>
            </w:tcBorders>
            <w:shd w:val="clear" w:color="auto" w:fill="auto"/>
            <w:noWrap/>
            <w:vAlign w:val="bottom"/>
            <w:hideMark/>
          </w:tcPr>
          <w:p w14:paraId="146AC90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[-1.94, -2.21]</w:t>
            </w:r>
          </w:p>
        </w:tc>
        <w:tc>
          <w:tcPr>
            <w:tcW w:w="261" w:type="dxa"/>
            <w:vAlign w:val="center"/>
            <w:hideMark/>
          </w:tcPr>
          <w:p w14:paraId="5FAEFFD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30ED09B" w14:textId="77777777" w:rsidTr="001D31AB">
        <w:trPr>
          <w:trHeight w:val="251"/>
        </w:trPr>
        <w:tc>
          <w:tcPr>
            <w:tcW w:w="1666" w:type="dxa"/>
            <w:tcBorders>
              <w:top w:val="nil"/>
              <w:left w:val="nil"/>
              <w:bottom w:val="nil"/>
              <w:right w:val="nil"/>
            </w:tcBorders>
            <w:shd w:val="clear" w:color="auto" w:fill="auto"/>
            <w:noWrap/>
            <w:vAlign w:val="bottom"/>
            <w:hideMark/>
          </w:tcPr>
          <w:p w14:paraId="3D4ED231"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lastRenderedPageBreak/>
              <w:t>Luxembourg</w:t>
            </w:r>
          </w:p>
        </w:tc>
        <w:tc>
          <w:tcPr>
            <w:tcW w:w="748" w:type="dxa"/>
            <w:tcBorders>
              <w:top w:val="nil"/>
              <w:left w:val="nil"/>
              <w:bottom w:val="nil"/>
              <w:right w:val="nil"/>
            </w:tcBorders>
            <w:shd w:val="clear" w:color="auto" w:fill="auto"/>
            <w:noWrap/>
            <w:vAlign w:val="bottom"/>
            <w:hideMark/>
          </w:tcPr>
          <w:p w14:paraId="13E2746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3.07</w:t>
            </w:r>
          </w:p>
        </w:tc>
        <w:tc>
          <w:tcPr>
            <w:tcW w:w="903" w:type="dxa"/>
            <w:tcBorders>
              <w:top w:val="nil"/>
              <w:left w:val="nil"/>
              <w:bottom w:val="nil"/>
              <w:right w:val="nil"/>
            </w:tcBorders>
            <w:shd w:val="clear" w:color="auto" w:fill="auto"/>
            <w:noWrap/>
            <w:vAlign w:val="bottom"/>
            <w:hideMark/>
          </w:tcPr>
          <w:p w14:paraId="719740C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-0.42</w:t>
            </w:r>
          </w:p>
        </w:tc>
        <w:tc>
          <w:tcPr>
            <w:tcW w:w="1524" w:type="dxa"/>
            <w:tcBorders>
              <w:top w:val="nil"/>
              <w:left w:val="nil"/>
              <w:bottom w:val="nil"/>
              <w:right w:val="nil"/>
            </w:tcBorders>
            <w:shd w:val="clear" w:color="auto" w:fill="auto"/>
            <w:noWrap/>
            <w:vAlign w:val="bottom"/>
            <w:hideMark/>
          </w:tcPr>
          <w:p w14:paraId="529D953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[-0.23, -0.61]</w:t>
            </w:r>
          </w:p>
        </w:tc>
        <w:tc>
          <w:tcPr>
            <w:tcW w:w="1214" w:type="dxa"/>
            <w:tcBorders>
              <w:top w:val="nil"/>
              <w:left w:val="nil"/>
              <w:bottom w:val="nil"/>
              <w:right w:val="nil"/>
            </w:tcBorders>
            <w:shd w:val="clear" w:color="auto" w:fill="auto"/>
            <w:noWrap/>
            <w:vAlign w:val="bottom"/>
            <w:hideMark/>
          </w:tcPr>
          <w:p w14:paraId="0273622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0.70</w:t>
            </w:r>
          </w:p>
        </w:tc>
        <w:tc>
          <w:tcPr>
            <w:tcW w:w="1319" w:type="dxa"/>
            <w:tcBorders>
              <w:top w:val="nil"/>
              <w:left w:val="nil"/>
              <w:bottom w:val="nil"/>
              <w:right w:val="nil"/>
            </w:tcBorders>
            <w:shd w:val="clear" w:color="auto" w:fill="auto"/>
            <w:noWrap/>
            <w:vAlign w:val="bottom"/>
            <w:hideMark/>
          </w:tcPr>
          <w:p w14:paraId="1F88A0C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[0.52, 0.87]</w:t>
            </w:r>
          </w:p>
        </w:tc>
        <w:tc>
          <w:tcPr>
            <w:tcW w:w="1130" w:type="dxa"/>
            <w:tcBorders>
              <w:top w:val="nil"/>
              <w:left w:val="nil"/>
              <w:bottom w:val="nil"/>
              <w:right w:val="nil"/>
            </w:tcBorders>
            <w:shd w:val="clear" w:color="auto" w:fill="auto"/>
            <w:noWrap/>
            <w:vAlign w:val="bottom"/>
            <w:hideMark/>
          </w:tcPr>
          <w:p w14:paraId="578D81E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-1.11</w:t>
            </w:r>
          </w:p>
        </w:tc>
        <w:tc>
          <w:tcPr>
            <w:tcW w:w="1500" w:type="dxa"/>
            <w:tcBorders>
              <w:top w:val="nil"/>
              <w:left w:val="nil"/>
              <w:bottom w:val="nil"/>
              <w:right w:val="nil"/>
            </w:tcBorders>
            <w:shd w:val="clear" w:color="auto" w:fill="auto"/>
            <w:noWrap/>
            <w:vAlign w:val="bottom"/>
            <w:hideMark/>
          </w:tcPr>
          <w:p w14:paraId="6ABDA34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[-0.75, -1.48]</w:t>
            </w:r>
          </w:p>
        </w:tc>
        <w:tc>
          <w:tcPr>
            <w:tcW w:w="261" w:type="dxa"/>
            <w:vAlign w:val="center"/>
            <w:hideMark/>
          </w:tcPr>
          <w:p w14:paraId="082DE09E"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D130B73" w14:textId="77777777" w:rsidTr="001D31AB">
        <w:trPr>
          <w:trHeight w:val="251"/>
        </w:trPr>
        <w:tc>
          <w:tcPr>
            <w:tcW w:w="1666" w:type="dxa"/>
            <w:tcBorders>
              <w:top w:val="nil"/>
              <w:left w:val="nil"/>
              <w:bottom w:val="nil"/>
              <w:right w:val="nil"/>
            </w:tcBorders>
            <w:shd w:val="clear" w:color="auto" w:fill="auto"/>
            <w:noWrap/>
            <w:vAlign w:val="bottom"/>
            <w:hideMark/>
          </w:tcPr>
          <w:p w14:paraId="4A65C7E3"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Poland</w:t>
            </w:r>
          </w:p>
        </w:tc>
        <w:tc>
          <w:tcPr>
            <w:tcW w:w="748" w:type="dxa"/>
            <w:tcBorders>
              <w:top w:val="nil"/>
              <w:left w:val="nil"/>
              <w:bottom w:val="nil"/>
              <w:right w:val="nil"/>
            </w:tcBorders>
            <w:shd w:val="clear" w:color="auto" w:fill="auto"/>
            <w:noWrap/>
            <w:vAlign w:val="bottom"/>
            <w:hideMark/>
          </w:tcPr>
          <w:p w14:paraId="3DB239C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5.01</w:t>
            </w:r>
          </w:p>
        </w:tc>
        <w:tc>
          <w:tcPr>
            <w:tcW w:w="903" w:type="dxa"/>
            <w:tcBorders>
              <w:top w:val="nil"/>
              <w:left w:val="nil"/>
              <w:bottom w:val="nil"/>
              <w:right w:val="nil"/>
            </w:tcBorders>
            <w:shd w:val="clear" w:color="auto" w:fill="auto"/>
            <w:noWrap/>
            <w:vAlign w:val="bottom"/>
            <w:hideMark/>
          </w:tcPr>
          <w:p w14:paraId="795FCA8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-0.41</w:t>
            </w:r>
          </w:p>
        </w:tc>
        <w:tc>
          <w:tcPr>
            <w:tcW w:w="1524" w:type="dxa"/>
            <w:tcBorders>
              <w:top w:val="nil"/>
              <w:left w:val="nil"/>
              <w:bottom w:val="nil"/>
              <w:right w:val="nil"/>
            </w:tcBorders>
            <w:shd w:val="clear" w:color="auto" w:fill="auto"/>
            <w:noWrap/>
            <w:vAlign w:val="bottom"/>
            <w:hideMark/>
          </w:tcPr>
          <w:p w14:paraId="6AEA910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[-0.39, -0.43]</w:t>
            </w:r>
          </w:p>
        </w:tc>
        <w:tc>
          <w:tcPr>
            <w:tcW w:w="1214" w:type="dxa"/>
            <w:tcBorders>
              <w:top w:val="nil"/>
              <w:left w:val="nil"/>
              <w:bottom w:val="nil"/>
              <w:right w:val="nil"/>
            </w:tcBorders>
            <w:shd w:val="clear" w:color="auto" w:fill="auto"/>
            <w:noWrap/>
            <w:vAlign w:val="bottom"/>
            <w:hideMark/>
          </w:tcPr>
          <w:p w14:paraId="43CBE6C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0.70</w:t>
            </w:r>
          </w:p>
        </w:tc>
        <w:tc>
          <w:tcPr>
            <w:tcW w:w="1319" w:type="dxa"/>
            <w:tcBorders>
              <w:top w:val="nil"/>
              <w:left w:val="nil"/>
              <w:bottom w:val="nil"/>
              <w:right w:val="nil"/>
            </w:tcBorders>
            <w:shd w:val="clear" w:color="auto" w:fill="auto"/>
            <w:noWrap/>
            <w:vAlign w:val="bottom"/>
            <w:hideMark/>
          </w:tcPr>
          <w:p w14:paraId="00625E8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[0.43, 0.97]</w:t>
            </w:r>
          </w:p>
        </w:tc>
        <w:tc>
          <w:tcPr>
            <w:tcW w:w="1130" w:type="dxa"/>
            <w:tcBorders>
              <w:top w:val="nil"/>
              <w:left w:val="nil"/>
              <w:bottom w:val="nil"/>
              <w:right w:val="nil"/>
            </w:tcBorders>
            <w:shd w:val="clear" w:color="auto" w:fill="auto"/>
            <w:noWrap/>
            <w:vAlign w:val="bottom"/>
            <w:hideMark/>
          </w:tcPr>
          <w:p w14:paraId="58D0436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-1.11</w:t>
            </w:r>
          </w:p>
        </w:tc>
        <w:tc>
          <w:tcPr>
            <w:tcW w:w="1500" w:type="dxa"/>
            <w:tcBorders>
              <w:top w:val="nil"/>
              <w:left w:val="nil"/>
              <w:bottom w:val="nil"/>
              <w:right w:val="nil"/>
            </w:tcBorders>
            <w:shd w:val="clear" w:color="auto" w:fill="auto"/>
            <w:noWrap/>
            <w:vAlign w:val="bottom"/>
            <w:hideMark/>
          </w:tcPr>
          <w:p w14:paraId="48B64CF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[-0.82, -1.40]</w:t>
            </w:r>
          </w:p>
        </w:tc>
        <w:tc>
          <w:tcPr>
            <w:tcW w:w="261" w:type="dxa"/>
            <w:vAlign w:val="center"/>
            <w:hideMark/>
          </w:tcPr>
          <w:p w14:paraId="14B273D9"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3EB70238" w14:textId="77777777" w:rsidTr="001D31AB">
        <w:trPr>
          <w:trHeight w:val="251"/>
        </w:trPr>
        <w:tc>
          <w:tcPr>
            <w:tcW w:w="1666" w:type="dxa"/>
            <w:tcBorders>
              <w:top w:val="nil"/>
              <w:left w:val="nil"/>
              <w:bottom w:val="nil"/>
              <w:right w:val="nil"/>
            </w:tcBorders>
            <w:shd w:val="clear" w:color="auto" w:fill="auto"/>
            <w:noWrap/>
            <w:vAlign w:val="bottom"/>
            <w:hideMark/>
          </w:tcPr>
          <w:p w14:paraId="7EAAF66B"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Portugal</w:t>
            </w:r>
          </w:p>
        </w:tc>
        <w:tc>
          <w:tcPr>
            <w:tcW w:w="748" w:type="dxa"/>
            <w:tcBorders>
              <w:top w:val="nil"/>
              <w:left w:val="nil"/>
              <w:bottom w:val="nil"/>
              <w:right w:val="nil"/>
            </w:tcBorders>
            <w:shd w:val="clear" w:color="auto" w:fill="auto"/>
            <w:noWrap/>
            <w:vAlign w:val="bottom"/>
            <w:hideMark/>
          </w:tcPr>
          <w:p w14:paraId="7FBC572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4.15</w:t>
            </w:r>
          </w:p>
        </w:tc>
        <w:tc>
          <w:tcPr>
            <w:tcW w:w="903" w:type="dxa"/>
            <w:tcBorders>
              <w:top w:val="nil"/>
              <w:left w:val="nil"/>
              <w:bottom w:val="nil"/>
              <w:right w:val="nil"/>
            </w:tcBorders>
            <w:shd w:val="clear" w:color="auto" w:fill="auto"/>
            <w:noWrap/>
            <w:vAlign w:val="bottom"/>
            <w:hideMark/>
          </w:tcPr>
          <w:p w14:paraId="7769B11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-2.37</w:t>
            </w:r>
          </w:p>
        </w:tc>
        <w:tc>
          <w:tcPr>
            <w:tcW w:w="1524" w:type="dxa"/>
            <w:tcBorders>
              <w:top w:val="nil"/>
              <w:left w:val="nil"/>
              <w:bottom w:val="nil"/>
              <w:right w:val="nil"/>
            </w:tcBorders>
            <w:shd w:val="clear" w:color="auto" w:fill="auto"/>
            <w:noWrap/>
            <w:vAlign w:val="bottom"/>
            <w:hideMark/>
          </w:tcPr>
          <w:p w14:paraId="2CBAB0E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[-2.34, -2.39]</w:t>
            </w:r>
          </w:p>
        </w:tc>
        <w:tc>
          <w:tcPr>
            <w:tcW w:w="1214" w:type="dxa"/>
            <w:tcBorders>
              <w:top w:val="nil"/>
              <w:left w:val="nil"/>
              <w:bottom w:val="nil"/>
              <w:right w:val="nil"/>
            </w:tcBorders>
            <w:shd w:val="clear" w:color="auto" w:fill="auto"/>
            <w:noWrap/>
            <w:vAlign w:val="bottom"/>
            <w:hideMark/>
          </w:tcPr>
          <w:p w14:paraId="1121F5D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0.75</w:t>
            </w:r>
          </w:p>
        </w:tc>
        <w:tc>
          <w:tcPr>
            <w:tcW w:w="1319" w:type="dxa"/>
            <w:tcBorders>
              <w:top w:val="nil"/>
              <w:left w:val="nil"/>
              <w:bottom w:val="nil"/>
              <w:right w:val="nil"/>
            </w:tcBorders>
            <w:shd w:val="clear" w:color="auto" w:fill="auto"/>
            <w:noWrap/>
            <w:vAlign w:val="bottom"/>
            <w:hideMark/>
          </w:tcPr>
          <w:p w14:paraId="5EE059F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[0.31, 1.19]</w:t>
            </w:r>
          </w:p>
        </w:tc>
        <w:tc>
          <w:tcPr>
            <w:tcW w:w="1130" w:type="dxa"/>
            <w:tcBorders>
              <w:top w:val="nil"/>
              <w:left w:val="nil"/>
              <w:bottom w:val="nil"/>
              <w:right w:val="nil"/>
            </w:tcBorders>
            <w:shd w:val="clear" w:color="auto" w:fill="auto"/>
            <w:noWrap/>
            <w:vAlign w:val="bottom"/>
            <w:hideMark/>
          </w:tcPr>
          <w:p w14:paraId="5FE77EE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-3.11</w:t>
            </w:r>
          </w:p>
        </w:tc>
        <w:tc>
          <w:tcPr>
            <w:tcW w:w="1500" w:type="dxa"/>
            <w:tcBorders>
              <w:top w:val="nil"/>
              <w:left w:val="nil"/>
              <w:bottom w:val="nil"/>
              <w:right w:val="nil"/>
            </w:tcBorders>
            <w:shd w:val="clear" w:color="auto" w:fill="auto"/>
            <w:noWrap/>
            <w:vAlign w:val="bottom"/>
            <w:hideMark/>
          </w:tcPr>
          <w:p w14:paraId="4EFBD2D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[-2.65, -3.58]</w:t>
            </w:r>
          </w:p>
        </w:tc>
        <w:tc>
          <w:tcPr>
            <w:tcW w:w="261" w:type="dxa"/>
            <w:vAlign w:val="center"/>
            <w:hideMark/>
          </w:tcPr>
          <w:p w14:paraId="2DD425B3"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C3B6884" w14:textId="77777777" w:rsidTr="001D31AB">
        <w:trPr>
          <w:trHeight w:val="251"/>
        </w:trPr>
        <w:tc>
          <w:tcPr>
            <w:tcW w:w="1666" w:type="dxa"/>
            <w:tcBorders>
              <w:top w:val="nil"/>
              <w:left w:val="nil"/>
              <w:bottom w:val="nil"/>
              <w:right w:val="nil"/>
            </w:tcBorders>
            <w:shd w:val="clear" w:color="auto" w:fill="auto"/>
            <w:noWrap/>
            <w:vAlign w:val="bottom"/>
            <w:hideMark/>
          </w:tcPr>
          <w:p w14:paraId="0DDCEF0B"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Slovenia</w:t>
            </w:r>
          </w:p>
        </w:tc>
        <w:tc>
          <w:tcPr>
            <w:tcW w:w="748" w:type="dxa"/>
            <w:tcBorders>
              <w:top w:val="nil"/>
              <w:left w:val="nil"/>
              <w:bottom w:val="nil"/>
              <w:right w:val="nil"/>
            </w:tcBorders>
            <w:shd w:val="clear" w:color="auto" w:fill="auto"/>
            <w:noWrap/>
            <w:vAlign w:val="bottom"/>
            <w:hideMark/>
          </w:tcPr>
          <w:p w14:paraId="6FCB448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4.31</w:t>
            </w:r>
          </w:p>
        </w:tc>
        <w:tc>
          <w:tcPr>
            <w:tcW w:w="903" w:type="dxa"/>
            <w:tcBorders>
              <w:top w:val="nil"/>
              <w:left w:val="nil"/>
              <w:bottom w:val="nil"/>
              <w:right w:val="nil"/>
            </w:tcBorders>
            <w:shd w:val="clear" w:color="auto" w:fill="auto"/>
            <w:noWrap/>
            <w:vAlign w:val="bottom"/>
            <w:hideMark/>
          </w:tcPr>
          <w:p w14:paraId="6410A61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1.04</w:t>
            </w:r>
          </w:p>
        </w:tc>
        <w:tc>
          <w:tcPr>
            <w:tcW w:w="1524" w:type="dxa"/>
            <w:tcBorders>
              <w:top w:val="nil"/>
              <w:left w:val="nil"/>
              <w:bottom w:val="nil"/>
              <w:right w:val="nil"/>
            </w:tcBorders>
            <w:shd w:val="clear" w:color="auto" w:fill="auto"/>
            <w:noWrap/>
            <w:vAlign w:val="bottom"/>
            <w:hideMark/>
          </w:tcPr>
          <w:p w14:paraId="6DC193D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[0.98,    1.11]</w:t>
            </w:r>
          </w:p>
        </w:tc>
        <w:tc>
          <w:tcPr>
            <w:tcW w:w="1214" w:type="dxa"/>
            <w:tcBorders>
              <w:top w:val="nil"/>
              <w:left w:val="nil"/>
              <w:bottom w:val="nil"/>
              <w:right w:val="nil"/>
            </w:tcBorders>
            <w:shd w:val="clear" w:color="auto" w:fill="auto"/>
            <w:noWrap/>
            <w:vAlign w:val="bottom"/>
            <w:hideMark/>
          </w:tcPr>
          <w:p w14:paraId="365212E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1.37</w:t>
            </w:r>
          </w:p>
        </w:tc>
        <w:tc>
          <w:tcPr>
            <w:tcW w:w="1319" w:type="dxa"/>
            <w:tcBorders>
              <w:top w:val="nil"/>
              <w:left w:val="nil"/>
              <w:bottom w:val="nil"/>
              <w:right w:val="nil"/>
            </w:tcBorders>
            <w:shd w:val="clear" w:color="auto" w:fill="auto"/>
            <w:noWrap/>
            <w:vAlign w:val="bottom"/>
            <w:hideMark/>
          </w:tcPr>
          <w:p w14:paraId="05ACC3F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[1.12, 1.62]</w:t>
            </w:r>
          </w:p>
        </w:tc>
        <w:tc>
          <w:tcPr>
            <w:tcW w:w="1130" w:type="dxa"/>
            <w:tcBorders>
              <w:top w:val="nil"/>
              <w:left w:val="nil"/>
              <w:bottom w:val="nil"/>
              <w:right w:val="nil"/>
            </w:tcBorders>
            <w:shd w:val="clear" w:color="auto" w:fill="auto"/>
            <w:noWrap/>
            <w:vAlign w:val="bottom"/>
            <w:hideMark/>
          </w:tcPr>
          <w:p w14:paraId="4FE6F1E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-0.33</w:t>
            </w:r>
          </w:p>
        </w:tc>
        <w:tc>
          <w:tcPr>
            <w:tcW w:w="1500" w:type="dxa"/>
            <w:tcBorders>
              <w:top w:val="nil"/>
              <w:left w:val="nil"/>
              <w:bottom w:val="nil"/>
              <w:right w:val="nil"/>
            </w:tcBorders>
            <w:shd w:val="clear" w:color="auto" w:fill="auto"/>
            <w:noWrap/>
            <w:vAlign w:val="bottom"/>
            <w:hideMark/>
          </w:tcPr>
          <w:p w14:paraId="69DC4CC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[-0.14, -0.51]</w:t>
            </w:r>
          </w:p>
        </w:tc>
        <w:tc>
          <w:tcPr>
            <w:tcW w:w="261" w:type="dxa"/>
            <w:vAlign w:val="center"/>
            <w:hideMark/>
          </w:tcPr>
          <w:p w14:paraId="437AE1F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A91B38A" w14:textId="77777777" w:rsidTr="001D31AB">
        <w:trPr>
          <w:trHeight w:val="251"/>
        </w:trPr>
        <w:tc>
          <w:tcPr>
            <w:tcW w:w="1666" w:type="dxa"/>
            <w:tcBorders>
              <w:top w:val="nil"/>
              <w:left w:val="nil"/>
              <w:bottom w:val="nil"/>
              <w:right w:val="nil"/>
            </w:tcBorders>
            <w:shd w:val="clear" w:color="auto" w:fill="auto"/>
            <w:noWrap/>
            <w:vAlign w:val="bottom"/>
            <w:hideMark/>
          </w:tcPr>
          <w:p w14:paraId="6E257B19"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Spain</w:t>
            </w:r>
          </w:p>
        </w:tc>
        <w:tc>
          <w:tcPr>
            <w:tcW w:w="748" w:type="dxa"/>
            <w:tcBorders>
              <w:top w:val="nil"/>
              <w:left w:val="nil"/>
              <w:bottom w:val="nil"/>
              <w:right w:val="nil"/>
            </w:tcBorders>
            <w:shd w:val="clear" w:color="auto" w:fill="auto"/>
            <w:noWrap/>
            <w:vAlign w:val="bottom"/>
            <w:hideMark/>
          </w:tcPr>
          <w:p w14:paraId="2EF0648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4.37</w:t>
            </w:r>
          </w:p>
        </w:tc>
        <w:tc>
          <w:tcPr>
            <w:tcW w:w="903" w:type="dxa"/>
            <w:tcBorders>
              <w:top w:val="nil"/>
              <w:left w:val="nil"/>
              <w:bottom w:val="nil"/>
              <w:right w:val="nil"/>
            </w:tcBorders>
            <w:shd w:val="clear" w:color="auto" w:fill="auto"/>
            <w:noWrap/>
            <w:vAlign w:val="bottom"/>
            <w:hideMark/>
          </w:tcPr>
          <w:p w14:paraId="574E091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-1.50</w:t>
            </w:r>
          </w:p>
        </w:tc>
        <w:tc>
          <w:tcPr>
            <w:tcW w:w="1524" w:type="dxa"/>
            <w:tcBorders>
              <w:top w:val="nil"/>
              <w:left w:val="nil"/>
              <w:bottom w:val="nil"/>
              <w:right w:val="nil"/>
            </w:tcBorders>
            <w:shd w:val="clear" w:color="auto" w:fill="auto"/>
            <w:noWrap/>
            <w:vAlign w:val="bottom"/>
            <w:hideMark/>
          </w:tcPr>
          <w:p w14:paraId="67BF234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[-1.41, -1.58]</w:t>
            </w:r>
          </w:p>
        </w:tc>
        <w:tc>
          <w:tcPr>
            <w:tcW w:w="1214" w:type="dxa"/>
            <w:tcBorders>
              <w:top w:val="nil"/>
              <w:left w:val="nil"/>
              <w:bottom w:val="nil"/>
              <w:right w:val="nil"/>
            </w:tcBorders>
            <w:shd w:val="clear" w:color="auto" w:fill="auto"/>
            <w:noWrap/>
            <w:vAlign w:val="bottom"/>
            <w:hideMark/>
          </w:tcPr>
          <w:p w14:paraId="2AB91A8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0.59</w:t>
            </w:r>
          </w:p>
        </w:tc>
        <w:tc>
          <w:tcPr>
            <w:tcW w:w="1319" w:type="dxa"/>
            <w:tcBorders>
              <w:top w:val="nil"/>
              <w:left w:val="nil"/>
              <w:bottom w:val="nil"/>
              <w:right w:val="nil"/>
            </w:tcBorders>
            <w:shd w:val="clear" w:color="auto" w:fill="auto"/>
            <w:noWrap/>
            <w:vAlign w:val="bottom"/>
            <w:hideMark/>
          </w:tcPr>
          <w:p w14:paraId="1A3CA98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[0.41, 0.77]</w:t>
            </w:r>
          </w:p>
        </w:tc>
        <w:tc>
          <w:tcPr>
            <w:tcW w:w="1130" w:type="dxa"/>
            <w:tcBorders>
              <w:top w:val="nil"/>
              <w:left w:val="nil"/>
              <w:bottom w:val="nil"/>
              <w:right w:val="nil"/>
            </w:tcBorders>
            <w:shd w:val="clear" w:color="auto" w:fill="auto"/>
            <w:noWrap/>
            <w:vAlign w:val="bottom"/>
            <w:hideMark/>
          </w:tcPr>
          <w:p w14:paraId="2440881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-2.08</w:t>
            </w:r>
          </w:p>
        </w:tc>
        <w:tc>
          <w:tcPr>
            <w:tcW w:w="1500" w:type="dxa"/>
            <w:tcBorders>
              <w:top w:val="nil"/>
              <w:left w:val="nil"/>
              <w:bottom w:val="nil"/>
              <w:right w:val="nil"/>
            </w:tcBorders>
            <w:shd w:val="clear" w:color="auto" w:fill="auto"/>
            <w:noWrap/>
            <w:vAlign w:val="bottom"/>
            <w:hideMark/>
          </w:tcPr>
          <w:p w14:paraId="5AB2CC3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[-1.82, -2.35]</w:t>
            </w:r>
          </w:p>
        </w:tc>
        <w:tc>
          <w:tcPr>
            <w:tcW w:w="261" w:type="dxa"/>
            <w:vAlign w:val="center"/>
            <w:hideMark/>
          </w:tcPr>
          <w:p w14:paraId="1850B08C"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E820297" w14:textId="77777777" w:rsidTr="001D31AB">
        <w:trPr>
          <w:trHeight w:val="251"/>
        </w:trPr>
        <w:tc>
          <w:tcPr>
            <w:tcW w:w="1666" w:type="dxa"/>
            <w:tcBorders>
              <w:top w:val="nil"/>
              <w:left w:val="nil"/>
              <w:bottom w:val="nil"/>
              <w:right w:val="nil"/>
            </w:tcBorders>
            <w:shd w:val="clear" w:color="auto" w:fill="auto"/>
            <w:noWrap/>
            <w:vAlign w:val="bottom"/>
            <w:hideMark/>
          </w:tcPr>
          <w:p w14:paraId="72A1965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Sweden</w:t>
            </w:r>
          </w:p>
        </w:tc>
        <w:tc>
          <w:tcPr>
            <w:tcW w:w="748" w:type="dxa"/>
            <w:tcBorders>
              <w:top w:val="nil"/>
              <w:left w:val="nil"/>
              <w:bottom w:val="nil"/>
              <w:right w:val="nil"/>
            </w:tcBorders>
            <w:shd w:val="clear" w:color="auto" w:fill="auto"/>
            <w:noWrap/>
            <w:vAlign w:val="bottom"/>
            <w:hideMark/>
          </w:tcPr>
          <w:p w14:paraId="3C106B7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2.73</w:t>
            </w:r>
          </w:p>
        </w:tc>
        <w:tc>
          <w:tcPr>
            <w:tcW w:w="903" w:type="dxa"/>
            <w:tcBorders>
              <w:top w:val="nil"/>
              <w:left w:val="nil"/>
              <w:bottom w:val="nil"/>
              <w:right w:val="nil"/>
            </w:tcBorders>
            <w:shd w:val="clear" w:color="auto" w:fill="auto"/>
            <w:noWrap/>
            <w:vAlign w:val="bottom"/>
            <w:hideMark/>
          </w:tcPr>
          <w:p w14:paraId="5CF72CA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-0.09</w:t>
            </w:r>
          </w:p>
        </w:tc>
        <w:tc>
          <w:tcPr>
            <w:tcW w:w="1524" w:type="dxa"/>
            <w:tcBorders>
              <w:top w:val="nil"/>
              <w:left w:val="nil"/>
              <w:bottom w:val="nil"/>
              <w:right w:val="nil"/>
            </w:tcBorders>
            <w:shd w:val="clear" w:color="auto" w:fill="auto"/>
            <w:noWrap/>
            <w:vAlign w:val="bottom"/>
            <w:hideMark/>
          </w:tcPr>
          <w:p w14:paraId="1179425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[-0.09, -0.10]</w:t>
            </w:r>
          </w:p>
        </w:tc>
        <w:tc>
          <w:tcPr>
            <w:tcW w:w="1214" w:type="dxa"/>
            <w:tcBorders>
              <w:top w:val="nil"/>
              <w:left w:val="nil"/>
              <w:bottom w:val="nil"/>
              <w:right w:val="nil"/>
            </w:tcBorders>
            <w:shd w:val="clear" w:color="auto" w:fill="auto"/>
            <w:noWrap/>
            <w:vAlign w:val="bottom"/>
            <w:hideMark/>
          </w:tcPr>
          <w:p w14:paraId="73F2A92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0.73</w:t>
            </w:r>
          </w:p>
        </w:tc>
        <w:tc>
          <w:tcPr>
            <w:tcW w:w="1319" w:type="dxa"/>
            <w:tcBorders>
              <w:top w:val="nil"/>
              <w:left w:val="nil"/>
              <w:bottom w:val="nil"/>
              <w:right w:val="nil"/>
            </w:tcBorders>
            <w:shd w:val="clear" w:color="auto" w:fill="auto"/>
            <w:noWrap/>
            <w:vAlign w:val="bottom"/>
            <w:hideMark/>
          </w:tcPr>
          <w:p w14:paraId="3F4FCA5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[0.59, 0.87]</w:t>
            </w:r>
          </w:p>
        </w:tc>
        <w:tc>
          <w:tcPr>
            <w:tcW w:w="1130" w:type="dxa"/>
            <w:tcBorders>
              <w:top w:val="nil"/>
              <w:left w:val="nil"/>
              <w:bottom w:val="nil"/>
              <w:right w:val="nil"/>
            </w:tcBorders>
            <w:shd w:val="clear" w:color="auto" w:fill="auto"/>
            <w:noWrap/>
            <w:vAlign w:val="bottom"/>
            <w:hideMark/>
          </w:tcPr>
          <w:p w14:paraId="7312DDB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-0.82</w:t>
            </w:r>
          </w:p>
        </w:tc>
        <w:tc>
          <w:tcPr>
            <w:tcW w:w="1500" w:type="dxa"/>
            <w:tcBorders>
              <w:top w:val="nil"/>
              <w:left w:val="nil"/>
              <w:bottom w:val="nil"/>
              <w:right w:val="nil"/>
            </w:tcBorders>
            <w:shd w:val="clear" w:color="auto" w:fill="auto"/>
            <w:noWrap/>
            <w:vAlign w:val="bottom"/>
            <w:hideMark/>
          </w:tcPr>
          <w:p w14:paraId="35CFF14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[-0.67, -0.96]</w:t>
            </w:r>
          </w:p>
        </w:tc>
        <w:tc>
          <w:tcPr>
            <w:tcW w:w="261" w:type="dxa"/>
            <w:vAlign w:val="center"/>
            <w:hideMark/>
          </w:tcPr>
          <w:p w14:paraId="0568BF5D"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4FF5953C" w14:textId="77777777" w:rsidTr="001D31AB">
        <w:trPr>
          <w:trHeight w:val="251"/>
        </w:trPr>
        <w:tc>
          <w:tcPr>
            <w:tcW w:w="1666" w:type="dxa"/>
            <w:tcBorders>
              <w:top w:val="nil"/>
              <w:left w:val="nil"/>
              <w:bottom w:val="single" w:sz="4" w:space="0" w:color="auto"/>
              <w:right w:val="nil"/>
            </w:tcBorders>
            <w:shd w:val="clear" w:color="auto" w:fill="auto"/>
            <w:noWrap/>
            <w:vAlign w:val="bottom"/>
            <w:hideMark/>
          </w:tcPr>
          <w:p w14:paraId="7CAA3058"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Switzerland</w:t>
            </w:r>
          </w:p>
        </w:tc>
        <w:tc>
          <w:tcPr>
            <w:tcW w:w="748" w:type="dxa"/>
            <w:tcBorders>
              <w:top w:val="nil"/>
              <w:left w:val="nil"/>
              <w:bottom w:val="single" w:sz="4" w:space="0" w:color="auto"/>
              <w:right w:val="nil"/>
            </w:tcBorders>
            <w:shd w:val="clear" w:color="auto" w:fill="auto"/>
            <w:noWrap/>
            <w:vAlign w:val="bottom"/>
            <w:hideMark/>
          </w:tcPr>
          <w:p w14:paraId="280DA9D7"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3.26</w:t>
            </w:r>
          </w:p>
        </w:tc>
        <w:tc>
          <w:tcPr>
            <w:tcW w:w="903" w:type="dxa"/>
            <w:tcBorders>
              <w:top w:val="nil"/>
              <w:left w:val="nil"/>
              <w:bottom w:val="single" w:sz="4" w:space="0" w:color="auto"/>
              <w:right w:val="nil"/>
            </w:tcBorders>
            <w:shd w:val="clear" w:color="auto" w:fill="auto"/>
            <w:noWrap/>
            <w:vAlign w:val="bottom"/>
            <w:hideMark/>
          </w:tcPr>
          <w:p w14:paraId="2F3958F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-0.16</w:t>
            </w:r>
          </w:p>
        </w:tc>
        <w:tc>
          <w:tcPr>
            <w:tcW w:w="1524" w:type="dxa"/>
            <w:tcBorders>
              <w:top w:val="nil"/>
              <w:left w:val="nil"/>
              <w:bottom w:val="single" w:sz="4" w:space="0" w:color="auto"/>
              <w:right w:val="nil"/>
            </w:tcBorders>
            <w:shd w:val="clear" w:color="auto" w:fill="auto"/>
            <w:noWrap/>
            <w:vAlign w:val="bottom"/>
            <w:hideMark/>
          </w:tcPr>
          <w:p w14:paraId="4617275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43,  0.10</w:t>
            </w:r>
            <w:proofErr w:type="gramEnd"/>
            <w:r w:rsidRPr="00CA26BF">
              <w:rPr>
                <w:rFonts w:ascii="Arial" w:eastAsia="Times New Roman" w:hAnsi="Arial" w:cs="Arial"/>
                <w:color w:val="000000"/>
              </w:rPr>
              <w:t>]</w:t>
            </w:r>
          </w:p>
        </w:tc>
        <w:tc>
          <w:tcPr>
            <w:tcW w:w="1214" w:type="dxa"/>
            <w:tcBorders>
              <w:top w:val="nil"/>
              <w:left w:val="nil"/>
              <w:bottom w:val="single" w:sz="4" w:space="0" w:color="auto"/>
              <w:right w:val="nil"/>
            </w:tcBorders>
            <w:shd w:val="clear" w:color="auto" w:fill="auto"/>
            <w:noWrap/>
            <w:vAlign w:val="bottom"/>
            <w:hideMark/>
          </w:tcPr>
          <w:p w14:paraId="014C269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0.91</w:t>
            </w:r>
          </w:p>
        </w:tc>
        <w:tc>
          <w:tcPr>
            <w:tcW w:w="1319" w:type="dxa"/>
            <w:tcBorders>
              <w:top w:val="nil"/>
              <w:left w:val="nil"/>
              <w:bottom w:val="single" w:sz="4" w:space="0" w:color="auto"/>
              <w:right w:val="nil"/>
            </w:tcBorders>
            <w:shd w:val="clear" w:color="auto" w:fill="auto"/>
            <w:noWrap/>
            <w:vAlign w:val="bottom"/>
            <w:hideMark/>
          </w:tcPr>
          <w:p w14:paraId="61724D3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[0.71, 1.11]</w:t>
            </w:r>
          </w:p>
        </w:tc>
        <w:tc>
          <w:tcPr>
            <w:tcW w:w="1130" w:type="dxa"/>
            <w:tcBorders>
              <w:top w:val="nil"/>
              <w:left w:val="nil"/>
              <w:bottom w:val="single" w:sz="4" w:space="0" w:color="auto"/>
              <w:right w:val="nil"/>
            </w:tcBorders>
            <w:shd w:val="clear" w:color="auto" w:fill="auto"/>
            <w:noWrap/>
            <w:vAlign w:val="bottom"/>
            <w:hideMark/>
          </w:tcPr>
          <w:p w14:paraId="790944A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-1.07</w:t>
            </w:r>
          </w:p>
        </w:tc>
        <w:tc>
          <w:tcPr>
            <w:tcW w:w="1500" w:type="dxa"/>
            <w:tcBorders>
              <w:top w:val="nil"/>
              <w:left w:val="nil"/>
              <w:bottom w:val="single" w:sz="4" w:space="0" w:color="auto"/>
              <w:right w:val="nil"/>
            </w:tcBorders>
            <w:shd w:val="clear" w:color="auto" w:fill="auto"/>
            <w:noWrap/>
            <w:vAlign w:val="bottom"/>
            <w:hideMark/>
          </w:tcPr>
          <w:p w14:paraId="739C4BE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[-1.14, -1.01]</w:t>
            </w:r>
          </w:p>
        </w:tc>
        <w:tc>
          <w:tcPr>
            <w:tcW w:w="261" w:type="dxa"/>
            <w:vAlign w:val="center"/>
            <w:hideMark/>
          </w:tcPr>
          <w:p w14:paraId="4E19D462" w14:textId="77777777" w:rsidR="00CA26BF" w:rsidRPr="00CA26BF" w:rsidRDefault="00CA26BF" w:rsidP="00CA26BF">
            <w:pPr>
              <w:spacing w:after="0"/>
              <w:rPr>
                <w:rFonts w:ascii="Times New Roman" w:eastAsia="Times New Roman" w:hAnsi="Times New Roman" w:cs="Times New Roman"/>
                <w:sz w:val="20"/>
                <w:szCs w:val="20"/>
              </w:rPr>
            </w:pPr>
          </w:p>
        </w:tc>
      </w:tr>
    </w:tbl>
    <w:p w14:paraId="4848AAB6" w14:textId="2C908D63" w:rsidR="00CA26BF" w:rsidRDefault="00CA26BF">
      <w:pPr>
        <w:keepNext/>
        <w:spacing w:before="240" w:after="240" w:line="360" w:lineRule="auto"/>
        <w:jc w:val="both"/>
        <w:rPr>
          <w:rFonts w:ascii="Georgia" w:eastAsia="Georgia" w:hAnsi="Georgia" w:cs="Georgia"/>
          <w:sz w:val="24"/>
          <w:szCs w:val="24"/>
          <w:highlight w:val="white"/>
        </w:rPr>
      </w:pPr>
    </w:p>
    <w:p w14:paraId="408CC823" w14:textId="77777777" w:rsidR="00CA26BF" w:rsidRDefault="00CA26BF">
      <w:pPr>
        <w:keepNext/>
        <w:spacing w:before="240" w:after="240" w:line="360" w:lineRule="auto"/>
        <w:jc w:val="both"/>
        <w:rPr>
          <w:rFonts w:ascii="Georgia" w:eastAsia="Georgia" w:hAnsi="Georgia" w:cs="Georgia"/>
          <w:sz w:val="24"/>
          <w:szCs w:val="24"/>
          <w:highlight w:val="white"/>
        </w:rPr>
      </w:pPr>
    </w:p>
    <w:p w14:paraId="688B5C98" w14:textId="57BDB703" w:rsidR="00CA26BF" w:rsidRDefault="00CA26BF">
      <w:pPr>
        <w:keepNext/>
        <w:spacing w:before="240" w:after="240" w:line="360" w:lineRule="auto"/>
        <w:jc w:val="both"/>
        <w:rPr>
          <w:rFonts w:ascii="Georgia" w:eastAsia="Georgia" w:hAnsi="Georgia" w:cs="Georgia"/>
          <w:sz w:val="24"/>
          <w:szCs w:val="24"/>
          <w:highlight w:val="white"/>
        </w:rPr>
      </w:pPr>
    </w:p>
    <w:p w14:paraId="5DC2042C" w14:textId="230438FC" w:rsidR="00CA26BF" w:rsidRDefault="00CA26BF">
      <w:pPr>
        <w:keepNext/>
        <w:spacing w:before="240" w:after="240" w:line="360" w:lineRule="auto"/>
        <w:jc w:val="both"/>
        <w:rPr>
          <w:rFonts w:ascii="Georgia" w:eastAsia="Georgia" w:hAnsi="Georgia" w:cs="Georgia"/>
          <w:sz w:val="24"/>
          <w:szCs w:val="24"/>
          <w:highlight w:val="white"/>
        </w:rPr>
      </w:pPr>
    </w:p>
    <w:p w14:paraId="2A909E39" w14:textId="77777777" w:rsidR="00CA26BF" w:rsidRDefault="00CA26BF">
      <w:pPr>
        <w:keepNext/>
        <w:spacing w:before="240" w:after="240" w:line="360" w:lineRule="auto"/>
        <w:jc w:val="both"/>
        <w:rPr>
          <w:rFonts w:ascii="Georgia" w:eastAsia="Georgia" w:hAnsi="Georgia" w:cs="Georgia"/>
          <w:sz w:val="24"/>
          <w:szCs w:val="24"/>
          <w:highlight w:val="white"/>
        </w:rPr>
      </w:pPr>
    </w:p>
    <w:p w14:paraId="00000053"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54"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55"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56" w14:textId="77777777" w:rsidR="008B376E"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057" w14:textId="77777777" w:rsidR="008B376E" w:rsidRDefault="008B376E">
      <w:pPr>
        <w:pBdr>
          <w:top w:val="nil"/>
          <w:left w:val="nil"/>
          <w:bottom w:val="nil"/>
          <w:right w:val="nil"/>
          <w:between w:val="nil"/>
        </w:pBdr>
        <w:spacing w:after="0"/>
        <w:rPr>
          <w:rFonts w:ascii="Arial" w:eastAsia="Arial" w:hAnsi="Arial" w:cs="Arial"/>
          <w:color w:val="000000"/>
          <w:sz w:val="24"/>
          <w:szCs w:val="24"/>
        </w:rPr>
      </w:pPr>
    </w:p>
    <w:p w14:paraId="00000058"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highlight w:val="yellow"/>
        </w:rPr>
      </w:pPr>
      <w:r>
        <w:rPr>
          <w:rFonts w:ascii="Arial" w:eastAsia="Arial" w:hAnsi="Arial" w:cs="Arial"/>
          <w:color w:val="000000"/>
          <w:sz w:val="24"/>
          <w:szCs w:val="24"/>
        </w:rPr>
        <w:t>Reducing gender gaps in health expectancy may not necessarily mean that we are reducing inequality between women and men. Using the gap as a measure of inequality in gender differences in health and mortality is tempting and seems straightforward. Despite being a simple and overall useful measure, it is nonetheless important to take a cautionary approach when interpreting those gaps</w:t>
      </w:r>
      <w:r>
        <w:rPr>
          <w:rFonts w:ascii="Arial" w:eastAsia="Arial" w:hAnsi="Arial" w:cs="Arial"/>
          <w:sz w:val="24"/>
          <w:szCs w:val="24"/>
        </w:rPr>
        <w:t xml:space="preserve"> and especially when using them to guide policy. Recent work has shown that policies that aim to advance gender equality in health across different countries have surprisingly poor design and implementation flaws, which are mostly due to scarcity of relevant data and accurate indicators </w:t>
      </w:r>
      <w:sdt>
        <w:sdtPr>
          <w:tag w:val="goog_rdk_0"/>
          <w:id w:val="1971011701"/>
        </w:sdtPr>
        <w:sdtContent>
          <w:commentRangeStart w:id="2"/>
        </w:sdtContent>
      </w:sdt>
      <w:r>
        <w:rPr>
          <w:rFonts w:ascii="Arial" w:eastAsia="Arial" w:hAnsi="Arial" w:cs="Arial"/>
          <w:sz w:val="24"/>
          <w:szCs w:val="24"/>
        </w:rPr>
        <w:t>(</w:t>
      </w:r>
      <w:proofErr w:type="spellStart"/>
      <w:r>
        <w:rPr>
          <w:rFonts w:ascii="Arial" w:eastAsia="Arial" w:hAnsi="Arial" w:cs="Arial"/>
          <w:sz w:val="24"/>
          <w:szCs w:val="24"/>
        </w:rPr>
        <w:t>Crespi-Llorens</w:t>
      </w:r>
      <w:proofErr w:type="spellEnd"/>
      <w:r>
        <w:rPr>
          <w:rFonts w:ascii="Arial" w:eastAsia="Arial" w:hAnsi="Arial" w:cs="Arial"/>
          <w:sz w:val="24"/>
          <w:szCs w:val="24"/>
        </w:rPr>
        <w:t xml:space="preserve"> 2021). </w:t>
      </w:r>
      <w:commentRangeEnd w:id="2"/>
      <w:r>
        <w:commentReference w:id="2"/>
      </w:r>
    </w:p>
    <w:p w14:paraId="00000059"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5A" w14:textId="7B9B1E51"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Taking gender gaps as a standpoint for conducting studies on gender differences when they are </w:t>
      </w:r>
      <w:r w:rsidR="00D22448">
        <w:rPr>
          <w:rFonts w:ascii="Arial" w:eastAsia="Arial" w:hAnsi="Arial" w:cs="Arial"/>
          <w:color w:val="000000"/>
          <w:sz w:val="24"/>
          <w:szCs w:val="24"/>
        </w:rPr>
        <w:t xml:space="preserve">masking important </w:t>
      </w:r>
      <w:r w:rsidR="0014649F">
        <w:rPr>
          <w:rFonts w:ascii="Arial" w:eastAsia="Arial" w:hAnsi="Arial" w:cs="Arial"/>
          <w:color w:val="000000"/>
          <w:sz w:val="24"/>
          <w:szCs w:val="24"/>
        </w:rPr>
        <w:t xml:space="preserve">underlying </w:t>
      </w:r>
      <w:r w:rsidR="00D22448">
        <w:rPr>
          <w:rFonts w:ascii="Arial" w:eastAsia="Arial" w:hAnsi="Arial" w:cs="Arial"/>
          <w:color w:val="000000"/>
          <w:sz w:val="24"/>
          <w:szCs w:val="24"/>
        </w:rPr>
        <w:t>differences in health and mortality</w:t>
      </w:r>
      <w:r w:rsidR="0014649F">
        <w:rPr>
          <w:rFonts w:ascii="Arial" w:eastAsia="Arial" w:hAnsi="Arial" w:cs="Arial"/>
          <w:color w:val="000000"/>
          <w:sz w:val="24"/>
          <w:szCs w:val="24"/>
        </w:rPr>
        <w:t xml:space="preserve"> </w:t>
      </w:r>
      <w:r>
        <w:rPr>
          <w:rFonts w:ascii="Arial" w:eastAsia="Arial" w:hAnsi="Arial" w:cs="Arial"/>
          <w:color w:val="000000"/>
          <w:sz w:val="24"/>
          <w:szCs w:val="24"/>
        </w:rPr>
        <w:t xml:space="preserve">may also explain why some studies find conflicting results or no correlation between cross-national variation in gender gaps and societal-level gender </w:t>
      </w:r>
      <w:r>
        <w:rPr>
          <w:rFonts w:ascii="Arial" w:eastAsia="Arial" w:hAnsi="Arial" w:cs="Arial"/>
          <w:color w:val="000000"/>
          <w:sz w:val="24"/>
          <w:szCs w:val="24"/>
        </w:rPr>
        <w:lastRenderedPageBreak/>
        <w:t xml:space="preserve">inequality (30). </w:t>
      </w:r>
      <w:r w:rsidR="00710A23" w:rsidRPr="00710A23">
        <w:rPr>
          <w:rFonts w:ascii="Arial" w:eastAsia="Arial" w:hAnsi="Arial" w:cs="Arial"/>
          <w:sz w:val="24"/>
          <w:szCs w:val="24"/>
        </w:rPr>
        <w:t>Other studies point out that even summary indicators of health like health expectancy are linked to other indices of gender inequality, but not aggregate indices based on gender gaps (CITE).</w:t>
      </w:r>
      <w:r w:rsidR="001137EF">
        <w:rPr>
          <w:rFonts w:ascii="Arial" w:eastAsia="Arial" w:hAnsi="Arial" w:cs="Arial"/>
          <w:sz w:val="24"/>
          <w:szCs w:val="24"/>
        </w:rPr>
        <w:t xml:space="preserve"> </w:t>
      </w:r>
    </w:p>
    <w:p w14:paraId="0000005B" w14:textId="08E70D2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By focusing on the gap</w:t>
      </w:r>
      <w:r w:rsidR="001137EF">
        <w:rPr>
          <w:rFonts w:ascii="Arial" w:eastAsia="Arial" w:hAnsi="Arial" w:cs="Arial"/>
          <w:color w:val="000000"/>
          <w:sz w:val="24"/>
          <w:szCs w:val="24"/>
        </w:rPr>
        <w:t>,</w:t>
      </w:r>
      <w:r>
        <w:rPr>
          <w:rFonts w:ascii="Arial" w:eastAsia="Arial" w:hAnsi="Arial" w:cs="Arial"/>
          <w:color w:val="000000"/>
          <w:sz w:val="24"/>
          <w:szCs w:val="24"/>
        </w:rPr>
        <w:t xml:space="preserve"> these studies may be missing important changes in the patterns of health and mortality, which may not go together with societal level changes in health and gender inequality.</w:t>
      </w:r>
    </w:p>
    <w:p w14:paraId="0000005C" w14:textId="77777777" w:rsidR="008B376E" w:rsidRDefault="008B376E">
      <w:pPr>
        <w:pBdr>
          <w:top w:val="nil"/>
          <w:left w:val="nil"/>
          <w:bottom w:val="nil"/>
          <w:right w:val="nil"/>
          <w:between w:val="nil"/>
        </w:pBdr>
        <w:spacing w:after="0" w:line="360" w:lineRule="auto"/>
        <w:jc w:val="both"/>
        <w:rPr>
          <w:rFonts w:ascii="Arial" w:eastAsia="Arial" w:hAnsi="Arial" w:cs="Arial"/>
          <w:sz w:val="24"/>
          <w:szCs w:val="24"/>
        </w:rPr>
      </w:pPr>
    </w:p>
    <w:p w14:paraId="0000005D"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highlight w:val="yellow"/>
        </w:rPr>
      </w:pPr>
      <w:r>
        <w:rPr>
          <w:rFonts w:ascii="Arial" w:eastAsia="Arial" w:hAnsi="Arial" w:cs="Arial"/>
          <w:sz w:val="24"/>
          <w:szCs w:val="24"/>
          <w:highlight w:val="yellow"/>
        </w:rPr>
        <w:t>RELATE OUR RESULTS TO THE LITERATURE. DISCUSS MORE OUR OWN RESULTS AND HOW IT CONNECTS TO THE AVAILABLE EVIDENCE.</w:t>
      </w:r>
    </w:p>
    <w:p w14:paraId="0000005E" w14:textId="77777777" w:rsidR="008B376E" w:rsidRDefault="008B376E">
      <w:pPr>
        <w:pBdr>
          <w:top w:val="nil"/>
          <w:left w:val="nil"/>
          <w:bottom w:val="nil"/>
          <w:right w:val="nil"/>
          <w:between w:val="nil"/>
        </w:pBdr>
        <w:spacing w:after="0" w:line="360" w:lineRule="auto"/>
        <w:jc w:val="both"/>
        <w:rPr>
          <w:rFonts w:ascii="Arial" w:eastAsia="Arial" w:hAnsi="Arial" w:cs="Arial"/>
          <w:sz w:val="24"/>
          <w:szCs w:val="24"/>
          <w:highlight w:val="yellow"/>
        </w:rPr>
      </w:pPr>
    </w:p>
    <w:p w14:paraId="0000005F"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female-male gaps in the prevalence of chronic conditions, especially arthritis and depression and gender characteristics of the society. (</w:t>
      </w:r>
      <w:proofErr w:type="spellStart"/>
      <w:r>
        <w:rPr>
          <w:rFonts w:ascii="Arial" w:eastAsia="Arial" w:hAnsi="Arial" w:cs="Arial"/>
          <w:sz w:val="24"/>
          <w:szCs w:val="24"/>
        </w:rPr>
        <w:t>Boerma</w:t>
      </w:r>
      <w:proofErr w:type="spellEnd"/>
      <w:r>
        <w:rPr>
          <w:rFonts w:ascii="Arial" w:eastAsia="Arial" w:hAnsi="Arial" w:cs="Arial"/>
          <w:sz w:val="24"/>
          <w:szCs w:val="24"/>
        </w:rPr>
        <w:t xml:space="preserve">, Ties). Arthritis is consistent with the literature from different data sources and for a wide range of countries. </w:t>
      </w:r>
    </w:p>
    <w:p w14:paraId="00000060" w14:textId="77777777" w:rsidR="008B376E"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61" w14:textId="77777777" w:rsidR="008B376E"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Evidence using the same data source as our study showed substantial heterogeneity in disability and morbidity across countries, especially after controlling for population age composition. However, they found that overall women have higher life expectancy and lower levels of diabetes and heart disease than </w:t>
      </w:r>
      <w:proofErr w:type="gramStart"/>
      <w:r>
        <w:rPr>
          <w:rFonts w:ascii="Arial" w:eastAsia="Arial" w:hAnsi="Arial" w:cs="Arial"/>
          <w:sz w:val="24"/>
          <w:szCs w:val="24"/>
        </w:rPr>
        <w:t>men( Lee</w:t>
      </w:r>
      <w:proofErr w:type="gramEnd"/>
      <w:r>
        <w:rPr>
          <w:rFonts w:ascii="Arial" w:eastAsia="Arial" w:hAnsi="Arial" w:cs="Arial"/>
          <w:sz w:val="24"/>
          <w:szCs w:val="24"/>
        </w:rPr>
        <w:t xml:space="preserve">2018a). </w:t>
      </w:r>
    </w:p>
    <w:p w14:paraId="00000062"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3"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64"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5"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highlight w:val="yellow"/>
        </w:rPr>
        <w:t>ADD CONTRIBUTIONS</w:t>
      </w:r>
    </w:p>
    <w:p w14:paraId="00000066" w14:textId="77777777" w:rsidR="008B376E" w:rsidRDefault="00000000">
      <w:pPr>
        <w:keepNext/>
        <w:pBdr>
          <w:top w:val="nil"/>
          <w:left w:val="nil"/>
          <w:bottom w:val="nil"/>
          <w:right w:val="nil"/>
          <w:between w:val="nil"/>
        </w:pBdr>
        <w:spacing w:after="0" w:line="360" w:lineRule="auto"/>
        <w:jc w:val="both"/>
        <w:rPr>
          <w:rFonts w:ascii="Arial" w:eastAsia="Arial" w:hAnsi="Arial" w:cs="Arial"/>
          <w:sz w:val="24"/>
          <w:szCs w:val="24"/>
          <w:highlight w:val="yellow"/>
        </w:rPr>
      </w:pPr>
      <w:r>
        <w:rPr>
          <w:rFonts w:ascii="Arial" w:eastAsia="Arial" w:hAnsi="Arial" w:cs="Arial"/>
          <w:color w:val="000000"/>
          <w:sz w:val="24"/>
          <w:szCs w:val="24"/>
        </w:rPr>
        <w:t xml:space="preserve">Another contribution of this study is the extent of the comparative analysis. </w:t>
      </w:r>
      <w:r>
        <w:rPr>
          <w:rFonts w:ascii="Arial" w:eastAsia="Arial" w:hAnsi="Arial" w:cs="Arial"/>
          <w:sz w:val="24"/>
          <w:szCs w:val="24"/>
        </w:rPr>
        <w:t xml:space="preserve">Studies that have performed global comparisons use less detailed health indicators and often lack in harmonization across the indicators </w:t>
      </w:r>
      <w:proofErr w:type="gramStart"/>
      <w:r>
        <w:rPr>
          <w:rFonts w:ascii="Arial" w:eastAsia="Arial" w:hAnsi="Arial" w:cs="Arial"/>
          <w:sz w:val="24"/>
          <w:szCs w:val="24"/>
        </w:rPr>
        <w:t>health</w:t>
      </w:r>
      <w:r>
        <w:rPr>
          <w:rFonts w:ascii="Arial" w:eastAsia="Arial" w:hAnsi="Arial" w:cs="Arial"/>
          <w:sz w:val="24"/>
          <w:szCs w:val="24"/>
          <w:highlight w:val="yellow"/>
        </w:rPr>
        <w:t>.(</w:t>
      </w:r>
      <w:proofErr w:type="gramEnd"/>
      <w:r>
        <w:rPr>
          <w:rFonts w:ascii="Arial" w:eastAsia="Arial" w:hAnsi="Arial" w:cs="Arial"/>
          <w:sz w:val="24"/>
          <w:szCs w:val="24"/>
          <w:highlight w:val="yellow"/>
        </w:rPr>
        <w:t xml:space="preserve">CITE). </w:t>
      </w:r>
      <w:r>
        <w:rPr>
          <w:rFonts w:ascii="Arial" w:eastAsia="Arial" w:hAnsi="Arial" w:cs="Arial"/>
          <w:sz w:val="24"/>
          <w:szCs w:val="24"/>
        </w:rPr>
        <w:t xml:space="preserve">So far, most of the research has focused on western countries, with few studies including countries </w:t>
      </w:r>
      <w:r>
        <w:rPr>
          <w:rFonts w:ascii="Arial" w:eastAsia="Arial" w:hAnsi="Arial" w:cs="Arial"/>
          <w:sz w:val="24"/>
          <w:szCs w:val="24"/>
        </w:rPr>
        <w:lastRenderedPageBreak/>
        <w:t xml:space="preserve">like China, </w:t>
      </w:r>
      <w:proofErr w:type="gramStart"/>
      <w:r>
        <w:rPr>
          <w:rFonts w:ascii="Arial" w:eastAsia="Arial" w:hAnsi="Arial" w:cs="Arial"/>
          <w:sz w:val="24"/>
          <w:szCs w:val="24"/>
        </w:rPr>
        <w:t>India</w:t>
      </w:r>
      <w:proofErr w:type="gramEnd"/>
      <w:r>
        <w:rPr>
          <w:rFonts w:ascii="Arial" w:eastAsia="Arial" w:hAnsi="Arial" w:cs="Arial"/>
          <w:sz w:val="24"/>
          <w:szCs w:val="24"/>
        </w:rPr>
        <w:t xml:space="preserve"> and Korea and even fewer that include developing or Latin American countries like Mexico in the study.</w:t>
      </w:r>
    </w:p>
    <w:p w14:paraId="00000067"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Performing cross-country comparisons is crucial to identify common patterns and divergences that exist in health and mortality for different societal regimes (31, 32). It is particularly important when investigating those patterns by gender, as there is great variation in gender norms, welfare state systems, and socioeconomic development across countries that may directly or indirectly impact health and mortality indicators (33–37). However, comparative analysis </w:t>
      </w:r>
      <w:proofErr w:type="gramStart"/>
      <w:r>
        <w:rPr>
          <w:rFonts w:ascii="Arial" w:eastAsia="Arial" w:hAnsi="Arial" w:cs="Arial"/>
          <w:color w:val="000000"/>
          <w:sz w:val="24"/>
          <w:szCs w:val="24"/>
        </w:rPr>
        <w:t>are</w:t>
      </w:r>
      <w:proofErr w:type="gramEnd"/>
      <w:r>
        <w:rPr>
          <w:rFonts w:ascii="Arial" w:eastAsia="Arial" w:hAnsi="Arial" w:cs="Arial"/>
          <w:color w:val="000000"/>
          <w:sz w:val="24"/>
          <w:szCs w:val="24"/>
        </w:rPr>
        <w:t xml:space="preserve"> challenging, mainly because the quality, and validity of health indicators vary from country to country, which can lead to variations in results that are not accurately capturing health outcomes (38).  Some </w:t>
      </w:r>
      <w:r>
        <w:rPr>
          <w:rFonts w:ascii="Arial" w:eastAsia="Arial" w:hAnsi="Arial" w:cs="Arial"/>
          <w:sz w:val="24"/>
          <w:szCs w:val="24"/>
        </w:rPr>
        <w:t xml:space="preserve">studies using the Gateway of Global Ageing have </w:t>
      </w:r>
    </w:p>
    <w:p w14:paraId="00000068"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9"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ADD LIMITATIONS</w:t>
      </w:r>
    </w:p>
    <w:p w14:paraId="0000006A"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highlight w:val="yellow"/>
        </w:rPr>
        <w:t xml:space="preserve">study is cross-sectional - we do not </w:t>
      </w:r>
      <w:proofErr w:type="gramStart"/>
      <w:r>
        <w:rPr>
          <w:rFonts w:ascii="Arial" w:eastAsia="Arial" w:hAnsi="Arial" w:cs="Arial"/>
          <w:sz w:val="24"/>
          <w:szCs w:val="24"/>
          <w:highlight w:val="yellow"/>
        </w:rPr>
        <w:t>look into</w:t>
      </w:r>
      <w:proofErr w:type="gramEnd"/>
      <w:r>
        <w:rPr>
          <w:rFonts w:ascii="Arial" w:eastAsia="Arial" w:hAnsi="Arial" w:cs="Arial"/>
          <w:sz w:val="24"/>
          <w:szCs w:val="24"/>
          <w:highlight w:val="yellow"/>
        </w:rPr>
        <w:t xml:space="preserve"> trends nor use the longitudinal potential of the dataset. However, our aim was to have the most countries included in the comparison.  </w:t>
      </w:r>
    </w:p>
    <w:p w14:paraId="0000006B" w14:textId="77777777" w:rsidR="008B376E" w:rsidRDefault="008B376E">
      <w:pPr>
        <w:pBdr>
          <w:top w:val="nil"/>
          <w:left w:val="nil"/>
          <w:bottom w:val="nil"/>
          <w:right w:val="nil"/>
          <w:between w:val="nil"/>
        </w:pBdr>
        <w:spacing w:after="0"/>
        <w:rPr>
          <w:rFonts w:ascii="Arial" w:eastAsia="Arial" w:hAnsi="Arial" w:cs="Arial"/>
          <w:b/>
          <w:color w:val="000000"/>
          <w:sz w:val="24"/>
          <w:szCs w:val="24"/>
        </w:rPr>
      </w:pPr>
    </w:p>
    <w:p w14:paraId="0000006C"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0000006D" w14:textId="77777777" w:rsidR="008B376E" w:rsidRDefault="008B376E">
      <w:pPr>
        <w:pBdr>
          <w:top w:val="nil"/>
          <w:left w:val="nil"/>
          <w:bottom w:val="nil"/>
          <w:right w:val="nil"/>
          <w:between w:val="nil"/>
        </w:pBdr>
        <w:spacing w:after="0"/>
        <w:rPr>
          <w:rFonts w:ascii="Arial" w:eastAsia="Arial" w:hAnsi="Arial" w:cs="Arial"/>
          <w:b/>
          <w:color w:val="000000"/>
          <w:sz w:val="24"/>
          <w:szCs w:val="24"/>
        </w:rPr>
      </w:pPr>
    </w:p>
    <w:p w14:paraId="0000006E"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0000006F"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0" w14:textId="77777777" w:rsidR="008B376E" w:rsidRDefault="00000000">
      <w:pPr>
        <w:pBdr>
          <w:top w:val="nil"/>
          <w:left w:val="nil"/>
          <w:bottom w:val="nil"/>
          <w:right w:val="nil"/>
          <w:between w:val="nil"/>
        </w:pBdr>
        <w:spacing w:after="0"/>
        <w:rPr>
          <w:rFonts w:ascii="Arial" w:eastAsia="Arial" w:hAnsi="Arial" w:cs="Arial"/>
          <w:i/>
          <w:color w:val="000000"/>
          <w:sz w:val="24"/>
          <w:szCs w:val="24"/>
        </w:rPr>
      </w:pPr>
      <w:sdt>
        <w:sdtPr>
          <w:tag w:val="goog_rdk_1"/>
          <w:id w:val="1235584505"/>
        </w:sdtPr>
        <w:sdtContent>
          <w:commentRangeStart w:id="3"/>
        </w:sdtContent>
      </w:sdt>
      <w:r>
        <w:rPr>
          <w:rFonts w:ascii="Arial" w:eastAsia="Arial" w:hAnsi="Arial" w:cs="Arial"/>
          <w:i/>
          <w:color w:val="000000"/>
          <w:sz w:val="24"/>
          <w:szCs w:val="24"/>
        </w:rPr>
        <w:t>Health</w:t>
      </w:r>
      <w:commentRangeEnd w:id="3"/>
      <w:r>
        <w:commentReference w:id="3"/>
      </w:r>
      <w:r>
        <w:rPr>
          <w:rFonts w:ascii="Arial" w:eastAsia="Arial" w:hAnsi="Arial" w:cs="Arial"/>
          <w:i/>
          <w:color w:val="000000"/>
          <w:sz w:val="24"/>
          <w:szCs w:val="24"/>
        </w:rPr>
        <w:t xml:space="preserve"> </w:t>
      </w:r>
    </w:p>
    <w:p w14:paraId="00000071" w14:textId="77777777" w:rsidR="008B376E" w:rsidRDefault="008B376E">
      <w:pPr>
        <w:pBdr>
          <w:top w:val="nil"/>
          <w:left w:val="nil"/>
          <w:bottom w:val="nil"/>
          <w:right w:val="nil"/>
          <w:between w:val="nil"/>
        </w:pBdr>
        <w:spacing w:after="0"/>
        <w:rPr>
          <w:rFonts w:ascii="Arial" w:eastAsia="Arial" w:hAnsi="Arial" w:cs="Arial"/>
          <w:i/>
          <w:color w:val="000000"/>
          <w:sz w:val="24"/>
          <w:szCs w:val="24"/>
        </w:rPr>
      </w:pPr>
    </w:p>
    <w:p w14:paraId="00000072"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 available for HRS (United States),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LASI (India), MHAS (Mexico), and Europe (SHARE). In order to perform comparisons at points in time that were as close as possible across countries we used survey waves pertaining to year 2014-2015 (HRS: Wave 12; ELSA : Wave 7; SHARE: Wave 6;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Wave 5; CHARLS: Wave 2; and LASI Wave 1). The </w:t>
      </w:r>
      <w:r>
        <w:rPr>
          <w:rFonts w:ascii="Arial" w:eastAsia="Arial" w:hAnsi="Arial" w:cs="Arial"/>
          <w:color w:val="000000"/>
          <w:sz w:val="24"/>
          <w:szCs w:val="24"/>
        </w:rPr>
        <w:lastRenderedPageBreak/>
        <w:t>only exception is India, since the first wave of LASI was carried on between 2017-2019. We focus on this specific set of countries as our aim is to have the most diverse group of countries while retaining the highest possible level of concordance across the harmonized health variables. Hence, we choose these countries and years due to the following specific reasons: 1. these are the available countries for which the highest possible concordance among surveys is available for health information; 2. these countries have unique epidemiological and mortality trajectories that include countries with fast-paced mortality transitions, such as Korea and slow pioneering countries like Sweden; 3. Different welfare state models and gender roles, which enable us to investigate whether specific gender patterns in inequality in health and mortality emerge in those settings.</w:t>
      </w:r>
    </w:p>
    <w:p w14:paraId="00000073" w14:textId="77777777" w:rsidR="008B376E" w:rsidRDefault="008B376E">
      <w:pPr>
        <w:pBdr>
          <w:top w:val="nil"/>
          <w:left w:val="nil"/>
          <w:bottom w:val="nil"/>
          <w:right w:val="nil"/>
          <w:between w:val="nil"/>
        </w:pBdr>
        <w:spacing w:after="0" w:line="360" w:lineRule="auto"/>
        <w:rPr>
          <w:rFonts w:ascii="Arial" w:eastAsia="Arial" w:hAnsi="Arial" w:cs="Arial"/>
          <w:color w:val="000000"/>
          <w:sz w:val="24"/>
          <w:szCs w:val="24"/>
        </w:rPr>
      </w:pPr>
    </w:p>
    <w:p w14:paraId="00000074"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mortality we use life tables from the 2022 Revision of World Population Prospects (United Nations 2022) for all countries with the exceptions of England, where the life tables from the ONS estimates, as the ELSA study does not include Wales.</w:t>
      </w:r>
    </w:p>
    <w:p w14:paraId="00000075"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6" w14:textId="77777777" w:rsidR="008B376E"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Methods</w:t>
      </w:r>
    </w:p>
    <w:p w14:paraId="00000077"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8"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To examine gender disparities in health expectancy, we estimate the disability-free life expectancy (</w:t>
      </w:r>
      <w:r>
        <w:rPr>
          <w:rFonts w:ascii="Arial" w:eastAsia="Arial" w:hAnsi="Arial" w:cs="Arial"/>
          <w:i/>
          <w:sz w:val="24"/>
          <w:szCs w:val="24"/>
        </w:rPr>
        <w:t>DFLE</w:t>
      </w:r>
      <w:r>
        <w:rPr>
          <w:rFonts w:ascii="Arial" w:eastAsia="Arial" w:hAnsi="Arial" w:cs="Arial"/>
          <w:sz w:val="24"/>
          <w:szCs w:val="24"/>
        </w:rPr>
        <w:t>) and the chronic-free life expectancy (CFLE) using the Sullivan Method (24), a methodological approach that has been used before in similar analyses (26). For each age group, we estimate the prevalence of disability and at least one chronic doctor diagnosed condition from the survey data for each country and combine it with the total number of person-years lived obtained from the life tables. The number of person-years lived free of disability (</w:t>
      </w:r>
      <m:oMath>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i</m:t>
                </m:r>
              </m:sup>
            </m:sSubSup>
          </m:e>
          <m:sub>
            <m:r>
              <w:rPr>
                <w:rFonts w:ascii="Cambria Math" w:eastAsia="Cambria Math" w:hAnsi="Cambria Math" w:cs="Cambria Math"/>
                <w:sz w:val="24"/>
                <w:szCs w:val="24"/>
              </w:rPr>
              <m:t xml:space="preserve"> </m:t>
            </m:r>
          </m:sub>
        </m:sSub>
      </m:oMath>
      <w:r>
        <w:rPr>
          <w:rFonts w:ascii="Arial" w:eastAsia="Arial" w:hAnsi="Arial" w:cs="Arial"/>
          <w:sz w:val="24"/>
          <w:szCs w:val="24"/>
        </w:rPr>
        <w:t>) is calculated as,</w:t>
      </w:r>
    </w:p>
    <w:p w14:paraId="00000079" w14:textId="77777777" w:rsidR="008B376E" w:rsidRDefault="008B376E">
      <w:pPr>
        <w:spacing w:after="0"/>
        <w:rPr>
          <w:rFonts w:ascii="Arial" w:eastAsia="Arial" w:hAnsi="Arial" w:cs="Arial"/>
          <w:sz w:val="24"/>
          <w:szCs w:val="24"/>
        </w:rPr>
      </w:pPr>
    </w:p>
    <w:p w14:paraId="0000007A" w14:textId="77777777" w:rsidR="008B376E" w:rsidRDefault="00000000">
      <w:pPr>
        <w:jc w:val="center"/>
      </w:pPr>
      <m:oMath>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i</m:t>
                </m:r>
              </m:sup>
            </m:sSubSup>
          </m:e>
          <m:sub>
            <m:r>
              <w:rPr>
                <w:rFonts w:ascii="Cambria Math" w:eastAsia="Cambria Math" w:hAnsi="Cambria Math" w:cs="Cambria Math"/>
                <w:sz w:val="24"/>
                <w:szCs w:val="24"/>
              </w:rPr>
              <m:t xml:space="preserve"> </m:t>
            </m:r>
          </m:sub>
        </m:sSub>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e>
          <m:sub>
            <m:r>
              <w:rPr>
                <w:rFonts w:ascii="Cambria Math" w:eastAsia="Cambria Math" w:hAnsi="Cambria Math" w:cs="Cambria Math"/>
                <w:sz w:val="24"/>
                <w:szCs w:val="24"/>
              </w:rPr>
              <m:t xml:space="preserve"> </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1-n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π</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e>
              <m:sub>
                <m:r>
                  <w:rPr>
                    <w:rFonts w:ascii="Cambria Math" w:eastAsia="Cambria Math" w:hAnsi="Cambria Math" w:cs="Cambria Math"/>
                    <w:sz w:val="24"/>
                    <w:szCs w:val="24"/>
                  </w:rPr>
                  <m:t xml:space="preserve"> </m:t>
                </m:r>
              </m:sub>
            </m:sSub>
          </m:e>
        </m:d>
        <m:r>
          <w:rPr>
            <w:rFonts w:ascii="Cambria Math" w:eastAsia="Cambria Math" w:hAnsi="Cambria Math" w:cs="Cambria Math"/>
            <w:sz w:val="24"/>
            <w:szCs w:val="24"/>
          </w:rPr>
          <m:t xml:space="preserve">    (1)</m:t>
        </m:r>
        <m:r>
          <w:rPr>
            <w:rFonts w:ascii="Cambria Math" w:hAnsi="Cambria Math"/>
          </w:rPr>
          <m:t xml:space="preserve"> </m:t>
        </m:r>
      </m:oMath>
      <w:sdt>
        <w:sdtPr>
          <w:tag w:val="goog_rdk_2"/>
          <w:id w:val="866642500"/>
        </w:sdtPr>
        <w:sdtContent>
          <w:commentRangeStart w:id="4"/>
        </w:sdtContent>
      </w:sdt>
      <w:commentRangeEnd w:id="4"/>
      <w:r>
        <w:commentReference w:id="4"/>
      </w:r>
    </w:p>
    <w:p w14:paraId="0000007B" w14:textId="77777777" w:rsidR="008B376E" w:rsidRDefault="008B376E">
      <w:pPr>
        <w:spacing w:line="360" w:lineRule="auto"/>
        <w:rPr>
          <w:rFonts w:ascii="Arial" w:eastAsia="Arial" w:hAnsi="Arial" w:cs="Arial"/>
          <w:sz w:val="24"/>
          <w:szCs w:val="24"/>
        </w:rPr>
      </w:pPr>
    </w:p>
    <w:p w14:paraId="0000007C" w14:textId="77777777" w:rsidR="008B376E" w:rsidRDefault="008B376E">
      <w:pPr>
        <w:spacing w:after="0"/>
        <w:rPr>
          <w:rFonts w:ascii="Arial" w:eastAsia="Arial" w:hAnsi="Arial" w:cs="Arial"/>
          <w:sz w:val="24"/>
          <w:szCs w:val="24"/>
        </w:rPr>
      </w:pPr>
    </w:p>
    <w:p w14:paraId="0000007D" w14:textId="77777777" w:rsidR="008B376E" w:rsidRDefault="008B376E">
      <w:pPr>
        <w:spacing w:after="0"/>
        <w:jc w:val="center"/>
        <w:rPr>
          <w:rFonts w:ascii="Arial" w:eastAsia="Arial" w:hAnsi="Arial" w:cs="Arial"/>
          <w:sz w:val="24"/>
          <w:szCs w:val="24"/>
        </w:rPr>
      </w:pPr>
    </w:p>
    <w:p w14:paraId="0000007E"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where </w:t>
      </w:r>
      <w:proofErr w:type="spellStart"/>
      <w:r>
        <w:rPr>
          <w:rFonts w:ascii="Arial" w:eastAsia="Arial" w:hAnsi="Arial" w:cs="Arial"/>
          <w:i/>
          <w:sz w:val="24"/>
          <w:szCs w:val="24"/>
          <w:vertAlign w:val="subscript"/>
        </w:rPr>
        <w:t>n</w:t>
      </w:r>
      <w:r>
        <w:rPr>
          <w:rFonts w:ascii="Arial" w:eastAsia="Arial" w:hAnsi="Arial" w:cs="Arial"/>
          <w:i/>
          <w:sz w:val="24"/>
          <w:szCs w:val="24"/>
        </w:rPr>
        <w:t>L</w:t>
      </w:r>
      <w:r>
        <w:rPr>
          <w:rFonts w:ascii="Arial" w:eastAsia="Arial" w:hAnsi="Arial" w:cs="Arial"/>
          <w:i/>
          <w:sz w:val="24"/>
          <w:szCs w:val="24"/>
          <w:vertAlign w:val="subscript"/>
        </w:rPr>
        <w:t>x</w:t>
      </w:r>
      <w:r>
        <w:rPr>
          <w:rFonts w:ascii="Arial" w:eastAsia="Arial" w:hAnsi="Arial" w:cs="Arial"/>
          <w:i/>
          <w:sz w:val="24"/>
          <w:szCs w:val="24"/>
          <w:vertAlign w:val="superscript"/>
        </w:rPr>
        <w:t>i</w:t>
      </w:r>
      <w:proofErr w:type="spellEnd"/>
      <w:r>
        <w:rPr>
          <w:rFonts w:ascii="Arial" w:eastAsia="Arial" w:hAnsi="Arial" w:cs="Arial"/>
          <w:i/>
          <w:sz w:val="24"/>
          <w:szCs w:val="24"/>
        </w:rPr>
        <w:t xml:space="preserve"> </w:t>
      </w:r>
      <w:r>
        <w:rPr>
          <w:rFonts w:ascii="Arial" w:eastAsia="Arial" w:hAnsi="Arial" w:cs="Arial"/>
          <w:sz w:val="24"/>
          <w:szCs w:val="24"/>
        </w:rPr>
        <w:t xml:space="preserve"> is the number of person-years lived without disability between ages</w:t>
      </w:r>
      <w:r>
        <w:rPr>
          <w:rFonts w:ascii="Arial" w:eastAsia="Arial" w:hAnsi="Arial" w:cs="Arial"/>
          <w:i/>
          <w:sz w:val="24"/>
          <w:szCs w:val="24"/>
        </w:rPr>
        <w:t xml:space="preserve"> x</w:t>
      </w:r>
      <w:r>
        <w:rPr>
          <w:rFonts w:ascii="Arial" w:eastAsia="Arial" w:hAnsi="Arial" w:cs="Arial"/>
          <w:sz w:val="24"/>
          <w:szCs w:val="24"/>
        </w:rPr>
        <w:t xml:space="preserve"> and </w:t>
      </w:r>
      <w:proofErr w:type="spellStart"/>
      <w:r>
        <w:rPr>
          <w:rFonts w:ascii="Arial" w:eastAsia="Arial" w:hAnsi="Arial" w:cs="Arial"/>
          <w:i/>
          <w:sz w:val="24"/>
          <w:szCs w:val="24"/>
        </w:rPr>
        <w:t>x+n</w:t>
      </w:r>
      <w:proofErr w:type="spellEnd"/>
      <w:r>
        <w:rPr>
          <w:rFonts w:ascii="Arial" w:eastAsia="Arial" w:hAnsi="Arial" w:cs="Arial"/>
          <w:sz w:val="24"/>
          <w:szCs w:val="24"/>
        </w:rPr>
        <w:t xml:space="preserve">, </w:t>
      </w:r>
      <w:proofErr w:type="spellStart"/>
      <w:r>
        <w:rPr>
          <w:rFonts w:ascii="Arial" w:eastAsia="Arial" w:hAnsi="Arial" w:cs="Arial"/>
          <w:i/>
          <w:sz w:val="24"/>
          <w:szCs w:val="24"/>
          <w:vertAlign w:val="subscript"/>
        </w:rPr>
        <w:t>n</w:t>
      </w:r>
      <w:r>
        <w:rPr>
          <w:rFonts w:ascii="Arial" w:eastAsia="Arial" w:hAnsi="Arial" w:cs="Arial"/>
          <w:i/>
          <w:sz w:val="24"/>
          <w:szCs w:val="24"/>
        </w:rPr>
        <w:t>L</w:t>
      </w:r>
      <w:r>
        <w:rPr>
          <w:rFonts w:ascii="Arial" w:eastAsia="Arial" w:hAnsi="Arial" w:cs="Arial"/>
          <w:i/>
          <w:sz w:val="24"/>
          <w:szCs w:val="24"/>
          <w:vertAlign w:val="subscript"/>
        </w:rPr>
        <w:t>x</w:t>
      </w:r>
      <w:proofErr w:type="spellEnd"/>
      <w:r>
        <w:rPr>
          <w:rFonts w:ascii="Arial" w:eastAsia="Arial" w:hAnsi="Arial" w:cs="Arial"/>
          <w:sz w:val="24"/>
          <w:szCs w:val="24"/>
        </w:rPr>
        <w:t xml:space="preserve"> is the total number of person-years lived in the age group </w:t>
      </w:r>
      <w:r>
        <w:rPr>
          <w:rFonts w:ascii="Arial" w:eastAsia="Arial" w:hAnsi="Arial" w:cs="Arial"/>
          <w:i/>
          <w:sz w:val="24"/>
          <w:szCs w:val="24"/>
        </w:rPr>
        <w:t>x</w:t>
      </w:r>
      <w:r>
        <w:rPr>
          <w:rFonts w:ascii="Arial" w:eastAsia="Arial" w:hAnsi="Arial" w:cs="Arial"/>
          <w:sz w:val="24"/>
          <w:szCs w:val="24"/>
        </w:rPr>
        <w:t xml:space="preserve"> and </w:t>
      </w:r>
      <w:proofErr w:type="spellStart"/>
      <w:r>
        <w:rPr>
          <w:rFonts w:ascii="Arial" w:eastAsia="Arial" w:hAnsi="Arial" w:cs="Arial"/>
          <w:i/>
          <w:sz w:val="24"/>
          <w:szCs w:val="24"/>
        </w:rPr>
        <w:t>x+n</w:t>
      </w:r>
      <w:proofErr w:type="spellEnd"/>
      <w:r>
        <w:rPr>
          <w:rFonts w:ascii="Arial" w:eastAsia="Arial" w:hAnsi="Arial" w:cs="Arial"/>
          <w:sz w:val="24"/>
          <w:szCs w:val="24"/>
        </w:rPr>
        <w:t xml:space="preserve">, and </w:t>
      </w:r>
      <w:r>
        <w:rPr>
          <w:rFonts w:ascii="Arial" w:eastAsia="Arial" w:hAnsi="Arial" w:cs="Arial"/>
          <w:i/>
          <w:sz w:val="24"/>
          <w:szCs w:val="24"/>
          <w:vertAlign w:val="subscript"/>
        </w:rPr>
        <w:t>n</w:t>
      </w:r>
      <w:r>
        <w:rPr>
          <w:rFonts w:ascii="Arial" w:eastAsia="Arial" w:hAnsi="Arial" w:cs="Arial"/>
          <w:i/>
          <w:sz w:val="24"/>
          <w:szCs w:val="24"/>
        </w:rPr>
        <w:t>π</w:t>
      </w:r>
      <w:r>
        <w:rPr>
          <w:rFonts w:ascii="Arial" w:eastAsia="Arial" w:hAnsi="Arial" w:cs="Arial"/>
          <w:i/>
          <w:sz w:val="24"/>
          <w:szCs w:val="24"/>
          <w:vertAlign w:val="subscript"/>
        </w:rPr>
        <w:t>x</w:t>
      </w:r>
      <w:r>
        <w:rPr>
          <w:rFonts w:ascii="Arial" w:eastAsia="Arial" w:hAnsi="Arial" w:cs="Arial"/>
          <w:sz w:val="24"/>
          <w:szCs w:val="24"/>
        </w:rPr>
        <w:t xml:space="preserve"> is the proportion of disabled individuals in the age group </w:t>
      </w:r>
      <w:r>
        <w:rPr>
          <w:rFonts w:ascii="Arial" w:eastAsia="Arial" w:hAnsi="Arial" w:cs="Arial"/>
          <w:i/>
          <w:sz w:val="24"/>
          <w:szCs w:val="24"/>
        </w:rPr>
        <w:t xml:space="preserve">x </w:t>
      </w:r>
      <w:r>
        <w:rPr>
          <w:rFonts w:ascii="Arial" w:eastAsia="Arial" w:hAnsi="Arial" w:cs="Arial"/>
          <w:sz w:val="24"/>
          <w:szCs w:val="24"/>
        </w:rPr>
        <w:t xml:space="preserve">and </w:t>
      </w:r>
      <w:proofErr w:type="spellStart"/>
      <w:r>
        <w:rPr>
          <w:rFonts w:ascii="Arial" w:eastAsia="Arial" w:hAnsi="Arial" w:cs="Arial"/>
          <w:i/>
          <w:sz w:val="24"/>
          <w:szCs w:val="24"/>
        </w:rPr>
        <w:t>x+n</w:t>
      </w:r>
      <w:proofErr w:type="spellEnd"/>
      <w:r>
        <w:rPr>
          <w:rFonts w:ascii="Arial" w:eastAsia="Arial" w:hAnsi="Arial" w:cs="Arial"/>
          <w:sz w:val="24"/>
          <w:szCs w:val="24"/>
        </w:rPr>
        <w:t xml:space="preserve">. The same is for chronic-free person-years lived, however with the prevalence for at least one chronic condition instead of prevalence of ADLs, and we call the person-years derived by the same process as </w:t>
      </w:r>
      <m:oMath>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c</m:t>
            </m:r>
          </m:sup>
        </m:sSubSup>
      </m:oMath>
      <w:r>
        <w:rPr>
          <w:rFonts w:ascii="Arial" w:eastAsia="Arial" w:hAnsi="Arial" w:cs="Arial"/>
          <w:sz w:val="24"/>
          <w:szCs w:val="24"/>
        </w:rPr>
        <w:t>.</w:t>
      </w:r>
    </w:p>
    <w:p w14:paraId="0000007F"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Then, life expectancy free of disability (</w:t>
      </w:r>
      <w:r>
        <w:rPr>
          <w:rFonts w:ascii="Arial" w:eastAsia="Arial" w:hAnsi="Arial" w:cs="Arial"/>
          <w:i/>
          <w:sz w:val="24"/>
          <w:szCs w:val="24"/>
        </w:rPr>
        <w:t>DFLE</w:t>
      </w:r>
      <w:r>
        <w:rPr>
          <w:rFonts w:ascii="Arial" w:eastAsia="Arial" w:hAnsi="Arial" w:cs="Arial"/>
          <w:sz w:val="24"/>
          <w:szCs w:val="24"/>
        </w:rPr>
        <w:t>) is calculated as:</w:t>
      </w:r>
    </w:p>
    <w:p w14:paraId="00000080"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k=x</m:t>
                  </m:r>
                </m:sub>
                <m:sup>
                  <m:r>
                    <w:rPr>
                      <w:rFonts w:ascii="Cambria Math" w:eastAsia="Cambria Math" w:hAnsi="Cambria Math" w:cs="Cambria Math"/>
                      <w:sz w:val="24"/>
                      <w:szCs w:val="24"/>
                    </w:rPr>
                    <m:t>w</m:t>
                  </m:r>
                </m:sup>
                <m:e/>
              </m:nary>
              <m:d>
                <m:dPr>
                  <m:ctrlPr>
                    <w:rPr>
                      <w:rFonts w:ascii="Cambria Math" w:eastAsia="Cambria Math" w:hAnsi="Cambria Math" w:cs="Cambria Math"/>
                      <w:sz w:val="24"/>
                      <w:szCs w:val="24"/>
                    </w:rPr>
                  </m:ctrlPr>
                </m:dPr>
                <m:e>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i</m:t>
                      </m:r>
                    </m:sup>
                  </m:sSubSup>
                </m:e>
              </m:d>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Sub>
            </m:den>
          </m:f>
          <m:r>
            <w:rPr>
              <w:rFonts w:ascii="Cambria Math" w:eastAsia="Cambria Math" w:hAnsi="Cambria Math" w:cs="Cambria Math"/>
              <w:sz w:val="24"/>
              <w:szCs w:val="24"/>
            </w:rPr>
            <m:t xml:space="preserve">   (2)</m:t>
          </m:r>
          <m:r>
            <w:rPr>
              <w:rFonts w:ascii="Cambria Math" w:hAnsi="Cambria Math"/>
            </w:rPr>
            <m:t xml:space="preserve"> </m:t>
          </m:r>
        </m:oMath>
      </m:oMathPara>
    </w:p>
    <w:p w14:paraId="00000081"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With its equivalent life expectancy free of chronic disease (</w:t>
      </w:r>
      <w:r>
        <w:rPr>
          <w:rFonts w:ascii="Arial" w:eastAsia="Arial" w:hAnsi="Arial" w:cs="Arial"/>
          <w:i/>
          <w:sz w:val="24"/>
          <w:szCs w:val="24"/>
        </w:rPr>
        <w:t>CFLE</w:t>
      </w:r>
      <w:r>
        <w:rPr>
          <w:rFonts w:ascii="Arial" w:eastAsia="Arial" w:hAnsi="Arial" w:cs="Arial"/>
          <w:sz w:val="24"/>
          <w:szCs w:val="24"/>
        </w:rPr>
        <w:t>):</w:t>
      </w:r>
    </w:p>
    <w:p w14:paraId="00000082"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k=x</m:t>
                  </m:r>
                </m:sub>
                <m:sup>
                  <m:r>
                    <w:rPr>
                      <w:rFonts w:ascii="Cambria Math" w:eastAsia="Cambria Math" w:hAnsi="Cambria Math" w:cs="Cambria Math"/>
                      <w:sz w:val="24"/>
                      <w:szCs w:val="24"/>
                    </w:rPr>
                    <m:t>w</m:t>
                  </m:r>
                </m:sup>
                <m:e/>
              </m:nary>
              <m:d>
                <m:dPr>
                  <m:ctrlPr>
                    <w:rPr>
                      <w:rFonts w:ascii="Cambria Math" w:eastAsia="Cambria Math" w:hAnsi="Cambria Math" w:cs="Cambria Math"/>
                      <w:sz w:val="24"/>
                      <w:szCs w:val="24"/>
                    </w:rPr>
                  </m:ctrlPr>
                </m:dPr>
                <m:e>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c</m:t>
                      </m:r>
                    </m:sup>
                  </m:sSubSup>
                </m:e>
              </m:d>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Sub>
            </m:den>
          </m:f>
          <m:r>
            <w:rPr>
              <w:rFonts w:ascii="Cambria Math" w:eastAsia="Cambria Math" w:hAnsi="Cambria Math" w:cs="Cambria Math"/>
              <w:sz w:val="24"/>
              <w:szCs w:val="24"/>
            </w:rPr>
            <m:t xml:space="preserve"> (3)</m:t>
          </m:r>
          <m:r>
            <w:rPr>
              <w:rFonts w:ascii="Cambria Math" w:hAnsi="Cambria Math"/>
            </w:rPr>
            <m:t xml:space="preserve"> </m:t>
          </m:r>
        </m:oMath>
      </m:oMathPara>
    </w:p>
    <w:p w14:paraId="00000083" w14:textId="77777777" w:rsidR="008B376E" w:rsidRDefault="008B376E">
      <w:pPr>
        <w:spacing w:line="360" w:lineRule="auto"/>
        <w:rPr>
          <w:rFonts w:ascii="Arial" w:eastAsia="Arial" w:hAnsi="Arial" w:cs="Arial"/>
          <w:sz w:val="24"/>
          <w:szCs w:val="24"/>
        </w:rPr>
      </w:pPr>
    </w:p>
    <w:p w14:paraId="00000084"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where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oMath>
      <w:r>
        <w:rPr>
          <w:rFonts w:ascii="Arial" w:eastAsia="Arial" w:hAnsi="Arial" w:cs="Arial"/>
          <w:sz w:val="24"/>
          <w:szCs w:val="24"/>
        </w:rPr>
        <w:t xml:space="preserve"> is the number of years lived without disability at age </w:t>
      </w:r>
      <w:r>
        <w:rPr>
          <w:rFonts w:ascii="Arial" w:eastAsia="Arial" w:hAnsi="Arial" w:cs="Arial"/>
          <w:i/>
          <w:sz w:val="24"/>
          <w:szCs w:val="24"/>
        </w:rPr>
        <w:t>x</w:t>
      </w:r>
      <w:r>
        <w:rPr>
          <w:rFonts w:ascii="Arial" w:eastAsia="Arial" w:hAnsi="Arial" w:cs="Arial"/>
          <w:sz w:val="24"/>
          <w:szCs w:val="24"/>
        </w:rPr>
        <w:t xml:space="preserve">, </w:t>
      </w:r>
      <w:r>
        <w:rPr>
          <w:rFonts w:ascii="Arial" w:eastAsia="Arial" w:hAnsi="Arial" w:cs="Arial"/>
          <w:i/>
          <w:sz w:val="24"/>
          <w:szCs w:val="24"/>
        </w:rPr>
        <w:t>w</w:t>
      </w:r>
      <w:r>
        <w:rPr>
          <w:rFonts w:ascii="Arial" w:eastAsia="Arial" w:hAnsi="Arial" w:cs="Arial"/>
          <w:sz w:val="24"/>
          <w:szCs w:val="24"/>
        </w:rPr>
        <w:t xml:space="preserve"> is the starting age of the open age interval, and </w:t>
      </w:r>
      <w:r>
        <w:rPr>
          <w:rFonts w:ascii="Arial" w:eastAsia="Arial" w:hAnsi="Arial" w:cs="Arial"/>
          <w:i/>
          <w:sz w:val="24"/>
          <w:szCs w:val="24"/>
        </w:rPr>
        <w:t>l</w:t>
      </w:r>
      <w:r>
        <w:rPr>
          <w:rFonts w:ascii="Arial" w:eastAsia="Arial" w:hAnsi="Arial" w:cs="Arial"/>
          <w:sz w:val="24"/>
          <w:szCs w:val="24"/>
          <w:vertAlign w:val="subscript"/>
        </w:rPr>
        <w:t>x</w:t>
      </w:r>
      <w:r>
        <w:rPr>
          <w:rFonts w:ascii="Arial" w:eastAsia="Arial" w:hAnsi="Arial" w:cs="Arial"/>
          <w:sz w:val="24"/>
          <w:szCs w:val="24"/>
        </w:rPr>
        <w:t xml:space="preserve"> is the number of survivors at age </w:t>
      </w:r>
      <w:r>
        <w:rPr>
          <w:rFonts w:ascii="Arial" w:eastAsia="Arial" w:hAnsi="Arial" w:cs="Arial"/>
          <w:i/>
          <w:sz w:val="24"/>
          <w:szCs w:val="24"/>
        </w:rPr>
        <w:t>x</w:t>
      </w:r>
      <w:r>
        <w:rPr>
          <w:rFonts w:ascii="Arial" w:eastAsia="Arial" w:hAnsi="Arial" w:cs="Arial"/>
          <w:sz w:val="24"/>
          <w:szCs w:val="24"/>
        </w:rPr>
        <w:t xml:space="preserve">. Similarly,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oMath>
      <w:r>
        <w:rPr>
          <w:rFonts w:ascii="Arial" w:eastAsia="Arial" w:hAnsi="Arial" w:cs="Arial"/>
          <w:sz w:val="24"/>
          <w:szCs w:val="24"/>
        </w:rPr>
        <w:t xml:space="preserve"> is the number of years lived without chronic conditions at age </w:t>
      </w:r>
      <w:r>
        <w:rPr>
          <w:rFonts w:ascii="Arial" w:eastAsia="Arial" w:hAnsi="Arial" w:cs="Arial"/>
          <w:i/>
          <w:sz w:val="24"/>
          <w:szCs w:val="24"/>
        </w:rPr>
        <w:t>x</w:t>
      </w:r>
      <w:r>
        <w:rPr>
          <w:rFonts w:ascii="Arial" w:eastAsia="Arial" w:hAnsi="Arial" w:cs="Arial"/>
          <w:sz w:val="24"/>
          <w:szCs w:val="24"/>
        </w:rPr>
        <w:t xml:space="preserve">, </w:t>
      </w:r>
      <w:r>
        <w:rPr>
          <w:rFonts w:ascii="Arial" w:eastAsia="Arial" w:hAnsi="Arial" w:cs="Arial"/>
          <w:i/>
          <w:sz w:val="24"/>
          <w:szCs w:val="24"/>
        </w:rPr>
        <w:t>w</w:t>
      </w:r>
      <w:r>
        <w:rPr>
          <w:rFonts w:ascii="Arial" w:eastAsia="Arial" w:hAnsi="Arial" w:cs="Arial"/>
          <w:sz w:val="24"/>
          <w:szCs w:val="24"/>
        </w:rPr>
        <w:t xml:space="preserve"> is the starting age of the open age interval, and </w:t>
      </w:r>
      <w:r>
        <w:rPr>
          <w:rFonts w:ascii="Arial" w:eastAsia="Arial" w:hAnsi="Arial" w:cs="Arial"/>
          <w:i/>
          <w:sz w:val="24"/>
          <w:szCs w:val="24"/>
        </w:rPr>
        <w:t>l</w:t>
      </w:r>
      <w:r>
        <w:rPr>
          <w:rFonts w:ascii="Arial" w:eastAsia="Arial" w:hAnsi="Arial" w:cs="Arial"/>
          <w:sz w:val="24"/>
          <w:szCs w:val="24"/>
          <w:vertAlign w:val="subscript"/>
        </w:rPr>
        <w:t>x</w:t>
      </w:r>
      <w:r>
        <w:rPr>
          <w:rFonts w:ascii="Arial" w:eastAsia="Arial" w:hAnsi="Arial" w:cs="Arial"/>
          <w:sz w:val="24"/>
          <w:szCs w:val="24"/>
        </w:rPr>
        <w:t xml:space="preserve"> is the number of survivors at age </w:t>
      </w:r>
      <w:r>
        <w:rPr>
          <w:rFonts w:ascii="Arial" w:eastAsia="Arial" w:hAnsi="Arial" w:cs="Arial"/>
          <w:i/>
          <w:sz w:val="24"/>
          <w:szCs w:val="24"/>
        </w:rPr>
        <w:t>x</w:t>
      </w:r>
      <w:r>
        <w:rPr>
          <w:rFonts w:ascii="Arial" w:eastAsia="Arial" w:hAnsi="Arial" w:cs="Arial"/>
          <w:sz w:val="24"/>
          <w:szCs w:val="24"/>
        </w:rPr>
        <w:t>.</w:t>
      </w:r>
    </w:p>
    <w:p w14:paraId="00000085"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We then calculate gender gap in </w:t>
      </w:r>
      <w:r>
        <w:rPr>
          <w:rFonts w:ascii="Arial" w:eastAsia="Arial" w:hAnsi="Arial" w:cs="Arial"/>
          <w:i/>
          <w:sz w:val="24"/>
          <w:szCs w:val="24"/>
        </w:rPr>
        <w:t xml:space="preserve">DFLE </w:t>
      </w:r>
      <w:r>
        <w:rPr>
          <w:rFonts w:ascii="Arial" w:eastAsia="Arial" w:hAnsi="Arial" w:cs="Arial"/>
          <w:sz w:val="24"/>
          <w:szCs w:val="24"/>
        </w:rPr>
        <w:t>as:</w:t>
      </w:r>
    </w:p>
    <w:p w14:paraId="00000086"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xDFLE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Women</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Men</m:t>
              </m:r>
            </m:sup>
          </m:sSubSup>
          <m:r>
            <w:rPr>
              <w:rFonts w:ascii="Cambria Math" w:eastAsia="Cambria Math" w:hAnsi="Cambria Math" w:cs="Cambria Math"/>
              <w:sz w:val="24"/>
              <w:szCs w:val="24"/>
            </w:rPr>
            <m:t xml:space="preserve"> (4)</m:t>
          </m:r>
          <m:r>
            <w:rPr>
              <w:rFonts w:ascii="Cambria Math" w:hAnsi="Cambria Math"/>
            </w:rPr>
            <m:t xml:space="preserve"> </m:t>
          </m:r>
        </m:oMath>
      </m:oMathPara>
    </w:p>
    <w:p w14:paraId="00000087"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And the gender gap in </w:t>
      </w:r>
      <w:r>
        <w:rPr>
          <w:rFonts w:ascii="Arial" w:eastAsia="Arial" w:hAnsi="Arial" w:cs="Arial"/>
          <w:i/>
          <w:sz w:val="24"/>
          <w:szCs w:val="24"/>
        </w:rPr>
        <w:t xml:space="preserve">CFLE </w:t>
      </w:r>
      <w:r>
        <w:rPr>
          <w:rFonts w:ascii="Arial" w:eastAsia="Arial" w:hAnsi="Arial" w:cs="Arial"/>
          <w:sz w:val="24"/>
          <w:szCs w:val="24"/>
        </w:rPr>
        <w:t>as:</w:t>
      </w:r>
    </w:p>
    <w:p w14:paraId="00000088"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xCFLE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Women</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Men</m:t>
              </m:r>
            </m:sup>
          </m:sSubSup>
          <m:r>
            <w:rPr>
              <w:rFonts w:ascii="Cambria Math" w:eastAsia="Cambria Math" w:hAnsi="Cambria Math" w:cs="Cambria Math"/>
              <w:sz w:val="24"/>
              <w:szCs w:val="24"/>
            </w:rPr>
            <m:t xml:space="preserve"> (4)</m:t>
          </m:r>
          <m:r>
            <w:rPr>
              <w:rFonts w:ascii="Cambria Math" w:hAnsi="Cambria Math"/>
            </w:rPr>
            <m:t xml:space="preserve"> </m:t>
          </m:r>
        </m:oMath>
      </m:oMathPara>
    </w:p>
    <w:p w14:paraId="00000089" w14:textId="77777777" w:rsidR="008B376E" w:rsidRDefault="008B376E">
      <w:pPr>
        <w:spacing w:line="360" w:lineRule="auto"/>
        <w:jc w:val="both"/>
        <w:rPr>
          <w:rFonts w:ascii="Georgia" w:eastAsia="Georgia" w:hAnsi="Georgia" w:cs="Georgia"/>
          <w:sz w:val="24"/>
          <w:szCs w:val="24"/>
        </w:rPr>
      </w:pPr>
    </w:p>
    <w:p w14:paraId="0000008A" w14:textId="77777777" w:rsidR="008B376E" w:rsidRDefault="00000000">
      <w:pPr>
        <w:spacing w:line="360" w:lineRule="auto"/>
        <w:jc w:val="both"/>
        <w:rPr>
          <w:rFonts w:ascii="Arial" w:eastAsia="Arial" w:hAnsi="Arial" w:cs="Arial"/>
          <w:color w:val="000000"/>
          <w:sz w:val="24"/>
          <w:szCs w:val="24"/>
          <w:highlight w:val="white"/>
        </w:rPr>
      </w:pPr>
      <w:r>
        <w:rPr>
          <w:rFonts w:ascii="Arial" w:eastAsia="Arial" w:hAnsi="Arial" w:cs="Arial"/>
          <w:sz w:val="24"/>
          <w:szCs w:val="24"/>
        </w:rPr>
        <w:t xml:space="preserve">We later split the gender differences in </w:t>
      </w:r>
      <w:r>
        <w:rPr>
          <w:rFonts w:ascii="Arial" w:eastAsia="Arial" w:hAnsi="Arial" w:cs="Arial"/>
          <w:i/>
          <w:sz w:val="24"/>
          <w:szCs w:val="24"/>
        </w:rPr>
        <w:t>DFLE</w:t>
      </w:r>
      <w:r>
        <w:rPr>
          <w:rFonts w:ascii="Arial" w:eastAsia="Arial" w:hAnsi="Arial" w:cs="Arial"/>
          <w:sz w:val="24"/>
          <w:szCs w:val="24"/>
        </w:rPr>
        <w:t xml:space="preserve"> and </w:t>
      </w:r>
      <w:r>
        <w:rPr>
          <w:rFonts w:ascii="Arial" w:eastAsia="Arial" w:hAnsi="Arial" w:cs="Arial"/>
          <w:i/>
          <w:sz w:val="24"/>
          <w:szCs w:val="24"/>
        </w:rPr>
        <w:t>CFLE</w:t>
      </w:r>
      <w:r>
        <w:rPr>
          <w:rFonts w:ascii="Arial" w:eastAsia="Arial" w:hAnsi="Arial" w:cs="Arial"/>
          <w:sz w:val="24"/>
          <w:szCs w:val="24"/>
        </w:rPr>
        <w:t xml:space="preserve"> at age </w:t>
      </w:r>
      <w:r>
        <w:rPr>
          <w:rFonts w:ascii="Arial" w:eastAsia="Arial" w:hAnsi="Arial" w:cs="Arial"/>
          <w:i/>
          <w:sz w:val="24"/>
          <w:szCs w:val="24"/>
        </w:rPr>
        <w:t>x</w:t>
      </w:r>
      <w:r>
        <w:rPr>
          <w:rFonts w:ascii="Arial" w:eastAsia="Arial" w:hAnsi="Arial" w:cs="Arial"/>
          <w:sz w:val="24"/>
          <w:szCs w:val="24"/>
        </w:rPr>
        <w:t xml:space="preserve"> into mortality and disability/chronic effects by five-year age groups. To decompose the gap, we apply </w:t>
      </w:r>
      <w:r>
        <w:rPr>
          <w:rFonts w:ascii="Arial" w:eastAsia="Arial" w:hAnsi="Arial" w:cs="Arial"/>
          <w:sz w:val="24"/>
          <w:szCs w:val="24"/>
        </w:rPr>
        <w:lastRenderedPageBreak/>
        <w:t xml:space="preserve">the continuous change decomposition method that was developed by Horiuchi et al. (27) and implemented in R by Riffe (28). The continuous change decomposition method assumes that covariates (e.g., age-specific mortality rates and age-specific prevalence of disability) change continuously along an actual or hypothetical dimension, such as between two periods or between two populations, thereby modifying aggregate measures such as life expectancy and healthy life expectancy. Each of these tiny changes in the aggregate indices can be approximated by a linear combination of </w:t>
      </w:r>
      <w:r>
        <w:rPr>
          <w:rFonts w:ascii="Arial" w:eastAsia="Arial" w:hAnsi="Arial" w:cs="Arial"/>
          <w:i/>
          <w:sz w:val="24"/>
          <w:szCs w:val="24"/>
        </w:rPr>
        <w:t>n</w:t>
      </w:r>
      <w:r>
        <w:rPr>
          <w:rFonts w:ascii="Arial" w:eastAsia="Arial" w:hAnsi="Arial" w:cs="Arial"/>
          <w:sz w:val="24"/>
          <w:szCs w:val="24"/>
        </w:rPr>
        <w:t xml:space="preserve"> partial derivatives of the function with respect to the covariates (27). Then, numerical integration is used to obtain the total contribution of the covariates for the variation of the aggregate measure. </w:t>
      </w:r>
      <w:r>
        <w:rPr>
          <w:rFonts w:ascii="Arial" w:eastAsia="Arial" w:hAnsi="Arial" w:cs="Arial"/>
          <w:color w:val="000000"/>
          <w:sz w:val="24"/>
          <w:szCs w:val="24"/>
          <w:highlight w:val="white"/>
        </w:rPr>
        <w:t xml:space="preserve">This allows us to estimate the contribution of disability and chronic conditions to explaining gender inequality.  In addition, the </w:t>
      </w:r>
      <w:r>
        <w:rPr>
          <w:rFonts w:ascii="Arial" w:eastAsia="Arial" w:hAnsi="Arial" w:cs="Arial"/>
          <w:sz w:val="24"/>
          <w:szCs w:val="24"/>
        </w:rPr>
        <w:t>method is very flexible, and can be used for decomposing gaps in different aggregate measures, including healthy life expectancy, as presented by van Raalte and Nepomuceno (29). Previous research has employed the methodology to estimate gaps in disability for LAC countries (22).</w:t>
      </w:r>
    </w:p>
    <w:p w14:paraId="0000008B"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8C"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8D"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8E"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08F"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90"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w:t>
      </w:r>
      <w:r>
        <w:rPr>
          <w:rFonts w:ascii="Arial" w:eastAsia="Arial" w:hAnsi="Arial" w:cs="Arial"/>
          <w:sz w:val="24"/>
          <w:szCs w:val="24"/>
          <w:highlight w:val="white"/>
        </w:rPr>
        <w:lastRenderedPageBreak/>
        <w:t>P01_AG08291, P30_AG12815, R21_AG025169, Y1-AG-4553-01, IAG_BSR06-11, OGHA_04-064, HHSN271201300071C, RAG052527A) and from various national funding sources is gratefully acknowledged (see</w:t>
      </w:r>
      <w:hyperlink r:id="rId17">
        <w:r>
          <w:rPr>
            <w:rFonts w:ascii="Arial" w:eastAsia="Arial" w:hAnsi="Arial" w:cs="Arial"/>
            <w:sz w:val="24"/>
            <w:szCs w:val="24"/>
            <w:highlight w:val="white"/>
          </w:rPr>
          <w:t xml:space="preserve"> </w:t>
        </w:r>
      </w:hyperlink>
      <w:hyperlink r:id="rId18">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091"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9">
        <w:r>
          <w:rPr>
            <w:rFonts w:ascii="Arial" w:eastAsia="Arial" w:hAnsi="Arial" w:cs="Arial"/>
            <w:sz w:val="24"/>
            <w:szCs w:val="24"/>
            <w:highlight w:val="white"/>
          </w:rPr>
          <w:t xml:space="preserve"> </w:t>
        </w:r>
      </w:hyperlink>
      <w:hyperlink r:id="rId20">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092"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093" w14:textId="77777777" w:rsidR="008B376E" w:rsidRDefault="00000000">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(LETHE)</w:t>
      </w:r>
    </w:p>
    <w:p w14:paraId="00000094" w14:textId="77777777" w:rsidR="008B376E" w:rsidRDefault="008B376E">
      <w:pPr>
        <w:pBdr>
          <w:top w:val="nil"/>
          <w:left w:val="nil"/>
          <w:bottom w:val="nil"/>
          <w:right w:val="nil"/>
          <w:between w:val="nil"/>
        </w:pBdr>
        <w:spacing w:after="0"/>
        <w:rPr>
          <w:rFonts w:ascii="Arial" w:eastAsia="Arial" w:hAnsi="Arial" w:cs="Arial"/>
          <w:sz w:val="20"/>
          <w:szCs w:val="20"/>
        </w:rPr>
      </w:pPr>
    </w:p>
    <w:p w14:paraId="00000095"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96" w14:textId="77777777" w:rsidR="008B376E" w:rsidRDefault="008B376E">
      <w:pPr>
        <w:pBdr>
          <w:top w:val="nil"/>
          <w:left w:val="nil"/>
          <w:bottom w:val="nil"/>
          <w:right w:val="nil"/>
          <w:between w:val="nil"/>
        </w:pBdr>
        <w:spacing w:after="0"/>
        <w:rPr>
          <w:rFonts w:ascii="Arial" w:eastAsia="Arial" w:hAnsi="Arial" w:cs="Arial"/>
          <w:color w:val="000000"/>
          <w:sz w:val="24"/>
          <w:szCs w:val="24"/>
        </w:rPr>
      </w:pPr>
    </w:p>
    <w:p w14:paraId="00000097"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00000098"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9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World Economic Forum, “The Global Gender Gap Report 2021” (2021).</w:t>
      </w:r>
    </w:p>
    <w:p w14:paraId="0000009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sz w:val="20"/>
          <w:szCs w:val="20"/>
        </w:rPr>
        <w:tab/>
        <w:t>WHO (World Health Organization), “Understanding the drivers of health equity: the power of political participation” (2020).</w:t>
      </w:r>
    </w:p>
    <w:p w14:paraId="0000009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sz w:val="20"/>
          <w:szCs w:val="20"/>
        </w:rPr>
        <w:tab/>
        <w:t>European Institute for Gender Equality, “Gender Equality Index 2021: Health” (2021) https:/doi.org/10.2839/633501.</w:t>
      </w:r>
    </w:p>
    <w:p w14:paraId="0000009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4. </w:t>
      </w:r>
      <w:r>
        <w:rPr>
          <w:rFonts w:ascii="Arial" w:eastAsia="Arial" w:hAnsi="Arial" w:cs="Arial"/>
          <w:sz w:val="20"/>
          <w:szCs w:val="20"/>
        </w:rPr>
        <w:tab/>
        <w:t xml:space="preserve">A. Case, C. Paxson, Sex Differences in Morbidity and Mortality.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42</w:t>
      </w:r>
      <w:r>
        <w:rPr>
          <w:rFonts w:ascii="Arial" w:eastAsia="Arial" w:hAnsi="Arial" w:cs="Arial"/>
          <w:sz w:val="20"/>
          <w:szCs w:val="20"/>
        </w:rPr>
        <w:t>, 189–214 (2005).</w:t>
      </w:r>
    </w:p>
    <w:p w14:paraId="0000009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5. </w:t>
      </w:r>
      <w:r>
        <w:rPr>
          <w:rFonts w:ascii="Arial" w:eastAsia="Arial" w:hAnsi="Arial" w:cs="Arial"/>
          <w:sz w:val="20"/>
          <w:szCs w:val="20"/>
        </w:rPr>
        <w:tab/>
        <w:t>E. M. Crimmins, J. K. Kim, A. Solé-</w:t>
      </w:r>
      <w:proofErr w:type="spellStart"/>
      <w:r>
        <w:rPr>
          <w:rFonts w:ascii="Arial" w:eastAsia="Arial" w:hAnsi="Arial" w:cs="Arial"/>
          <w:sz w:val="20"/>
          <w:szCs w:val="20"/>
        </w:rPr>
        <w:t>Auró</w:t>
      </w:r>
      <w:proofErr w:type="spellEnd"/>
      <w:r>
        <w:rPr>
          <w:rFonts w:ascii="Arial" w:eastAsia="Arial" w:hAnsi="Arial" w:cs="Arial"/>
          <w:sz w:val="20"/>
          <w:szCs w:val="20"/>
        </w:rPr>
        <w:t xml:space="preserve">, Gender differences in health: results from SHARE, ELSA and HRS. </w:t>
      </w:r>
      <w:r>
        <w:rPr>
          <w:rFonts w:ascii="Arial" w:eastAsia="Arial" w:hAnsi="Arial" w:cs="Arial"/>
          <w:i/>
          <w:sz w:val="20"/>
          <w:szCs w:val="20"/>
        </w:rPr>
        <w:t>Eur. J. Public Health</w:t>
      </w:r>
      <w:r>
        <w:rPr>
          <w:rFonts w:ascii="Arial" w:eastAsia="Arial" w:hAnsi="Arial" w:cs="Arial"/>
          <w:sz w:val="20"/>
          <w:szCs w:val="20"/>
        </w:rPr>
        <w:t xml:space="preserve"> </w:t>
      </w:r>
      <w:r>
        <w:rPr>
          <w:rFonts w:ascii="Arial" w:eastAsia="Arial" w:hAnsi="Arial" w:cs="Arial"/>
          <w:b/>
          <w:sz w:val="20"/>
          <w:szCs w:val="20"/>
        </w:rPr>
        <w:t>21</w:t>
      </w:r>
      <w:r>
        <w:rPr>
          <w:rFonts w:ascii="Arial" w:eastAsia="Arial" w:hAnsi="Arial" w:cs="Arial"/>
          <w:sz w:val="20"/>
          <w:szCs w:val="20"/>
        </w:rPr>
        <w:t>, 81–91 (2011).</w:t>
      </w:r>
    </w:p>
    <w:p w14:paraId="0000009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sz w:val="20"/>
          <w:szCs w:val="20"/>
        </w:rPr>
        <w:tab/>
        <w:t xml:space="preserve">L. M. </w:t>
      </w:r>
      <w:proofErr w:type="spellStart"/>
      <w:r>
        <w:rPr>
          <w:rFonts w:ascii="Arial" w:eastAsia="Arial" w:hAnsi="Arial" w:cs="Arial"/>
          <w:sz w:val="20"/>
          <w:szCs w:val="20"/>
        </w:rPr>
        <w:t>Verbrugge</w:t>
      </w:r>
      <w:proofErr w:type="spellEnd"/>
      <w:r>
        <w:rPr>
          <w:rFonts w:ascii="Arial" w:eastAsia="Arial" w:hAnsi="Arial" w:cs="Arial"/>
          <w:sz w:val="20"/>
          <w:szCs w:val="20"/>
        </w:rPr>
        <w:t xml:space="preserve">, D. L. Wingard, Sex Differentials in Health and Mortality. </w:t>
      </w:r>
      <w:r>
        <w:rPr>
          <w:rFonts w:ascii="Arial" w:eastAsia="Arial" w:hAnsi="Arial" w:cs="Arial"/>
          <w:i/>
          <w:sz w:val="20"/>
          <w:szCs w:val="20"/>
        </w:rPr>
        <w:t>Women Health</w:t>
      </w:r>
      <w:r>
        <w:rPr>
          <w:rFonts w:ascii="Arial" w:eastAsia="Arial" w:hAnsi="Arial" w:cs="Arial"/>
          <w:sz w:val="20"/>
          <w:szCs w:val="20"/>
        </w:rPr>
        <w:t xml:space="preserve"> </w:t>
      </w:r>
      <w:r>
        <w:rPr>
          <w:rFonts w:ascii="Arial" w:eastAsia="Arial" w:hAnsi="Arial" w:cs="Arial"/>
          <w:b/>
          <w:sz w:val="20"/>
          <w:szCs w:val="20"/>
        </w:rPr>
        <w:t>12</w:t>
      </w:r>
      <w:r>
        <w:rPr>
          <w:rFonts w:ascii="Arial" w:eastAsia="Arial" w:hAnsi="Arial" w:cs="Arial"/>
          <w:sz w:val="20"/>
          <w:szCs w:val="20"/>
        </w:rPr>
        <w:t>, 103–145 (1987).</w:t>
      </w:r>
    </w:p>
    <w:p w14:paraId="0000009F"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7. </w:t>
      </w:r>
      <w:r>
        <w:rPr>
          <w:rFonts w:ascii="Arial" w:eastAsia="Arial" w:hAnsi="Arial" w:cs="Arial"/>
          <w:sz w:val="20"/>
          <w:szCs w:val="20"/>
        </w:rPr>
        <w:tab/>
        <w:t xml:space="preserve">G. </w:t>
      </w:r>
      <w:proofErr w:type="spellStart"/>
      <w:r>
        <w:rPr>
          <w:rFonts w:ascii="Arial" w:eastAsia="Arial" w:hAnsi="Arial" w:cs="Arial"/>
          <w:sz w:val="20"/>
          <w:szCs w:val="20"/>
        </w:rPr>
        <w:t>Doblhammer</w:t>
      </w:r>
      <w:proofErr w:type="spellEnd"/>
      <w:r>
        <w:rPr>
          <w:rFonts w:ascii="Arial" w:eastAsia="Arial" w:hAnsi="Arial" w:cs="Arial"/>
          <w:sz w:val="20"/>
          <w:szCs w:val="20"/>
        </w:rPr>
        <w:t xml:space="preserve">, J. </w:t>
      </w:r>
      <w:proofErr w:type="spellStart"/>
      <w:r>
        <w:rPr>
          <w:rFonts w:ascii="Arial" w:eastAsia="Arial" w:hAnsi="Arial" w:cs="Arial"/>
          <w:sz w:val="20"/>
          <w:szCs w:val="20"/>
        </w:rPr>
        <w:t>Gumà</w:t>
      </w:r>
      <w:proofErr w:type="spellEnd"/>
      <w:r>
        <w:rPr>
          <w:rFonts w:ascii="Arial" w:eastAsia="Arial" w:hAnsi="Arial" w:cs="Arial"/>
          <w:sz w:val="20"/>
          <w:szCs w:val="20"/>
        </w:rPr>
        <w:t xml:space="preserve">, </w:t>
      </w:r>
      <w:r>
        <w:rPr>
          <w:rFonts w:ascii="Arial" w:eastAsia="Arial" w:hAnsi="Arial" w:cs="Arial"/>
          <w:i/>
          <w:sz w:val="20"/>
          <w:szCs w:val="20"/>
        </w:rPr>
        <w:t>A Demographic Perspective on Gender, Family and Health in Europe</w:t>
      </w:r>
      <w:r>
        <w:rPr>
          <w:rFonts w:ascii="Arial" w:eastAsia="Arial" w:hAnsi="Arial" w:cs="Arial"/>
          <w:sz w:val="20"/>
          <w:szCs w:val="20"/>
        </w:rPr>
        <w:t xml:space="preserve">, G. </w:t>
      </w:r>
      <w:proofErr w:type="spellStart"/>
      <w:r>
        <w:rPr>
          <w:rFonts w:ascii="Arial" w:eastAsia="Arial" w:hAnsi="Arial" w:cs="Arial"/>
          <w:sz w:val="20"/>
          <w:szCs w:val="20"/>
        </w:rPr>
        <w:t>Doblhammer</w:t>
      </w:r>
      <w:proofErr w:type="spellEnd"/>
      <w:r>
        <w:rPr>
          <w:rFonts w:ascii="Arial" w:eastAsia="Arial" w:hAnsi="Arial" w:cs="Arial"/>
          <w:sz w:val="20"/>
          <w:szCs w:val="20"/>
        </w:rPr>
        <w:t xml:space="preserve">, J. </w:t>
      </w:r>
      <w:proofErr w:type="spellStart"/>
      <w:r>
        <w:rPr>
          <w:rFonts w:ascii="Arial" w:eastAsia="Arial" w:hAnsi="Arial" w:cs="Arial"/>
          <w:sz w:val="20"/>
          <w:szCs w:val="20"/>
        </w:rPr>
        <w:t>Gumà</w:t>
      </w:r>
      <w:proofErr w:type="spellEnd"/>
      <w:r>
        <w:rPr>
          <w:rFonts w:ascii="Arial" w:eastAsia="Arial" w:hAnsi="Arial" w:cs="Arial"/>
          <w:sz w:val="20"/>
          <w:szCs w:val="20"/>
        </w:rPr>
        <w:t>, Eds. (Springer International Publishing, 2018) https:/doi.org/10.1007/978-3-319-72356-3.</w:t>
      </w:r>
    </w:p>
    <w:p w14:paraId="000000A0"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8. </w:t>
      </w:r>
      <w:r>
        <w:rPr>
          <w:rFonts w:ascii="Arial" w:eastAsia="Arial" w:hAnsi="Arial" w:cs="Arial"/>
          <w:sz w:val="20"/>
          <w:szCs w:val="20"/>
        </w:rPr>
        <w:tab/>
        <w:t xml:space="preserve">V. </w:t>
      </w:r>
      <w:proofErr w:type="spellStart"/>
      <w:r>
        <w:rPr>
          <w:rFonts w:ascii="Arial" w:eastAsia="Arial" w:hAnsi="Arial" w:cs="Arial"/>
          <w:sz w:val="20"/>
          <w:szCs w:val="20"/>
        </w:rPr>
        <w:t>Zarulli</w:t>
      </w:r>
      <w:proofErr w:type="spellEnd"/>
      <w:r>
        <w:rPr>
          <w:rFonts w:ascii="Arial" w:eastAsia="Arial" w:hAnsi="Arial" w:cs="Arial"/>
          <w:sz w:val="20"/>
          <w:szCs w:val="20"/>
        </w:rPr>
        <w:t xml:space="preserve">, </w:t>
      </w:r>
      <w:r>
        <w:rPr>
          <w:rFonts w:ascii="Arial" w:eastAsia="Arial" w:hAnsi="Arial" w:cs="Arial"/>
          <w:i/>
          <w:sz w:val="20"/>
          <w:szCs w:val="20"/>
        </w:rPr>
        <w:t>et al.</w:t>
      </w:r>
      <w:r>
        <w:rPr>
          <w:rFonts w:ascii="Arial" w:eastAsia="Arial" w:hAnsi="Arial" w:cs="Arial"/>
          <w:sz w:val="20"/>
          <w:szCs w:val="20"/>
        </w:rPr>
        <w:t xml:space="preserve">, Women live longer than men even during severe famines and epidemics. </w:t>
      </w:r>
      <w:r>
        <w:rPr>
          <w:rFonts w:ascii="Arial" w:eastAsia="Arial" w:hAnsi="Arial" w:cs="Arial"/>
          <w:i/>
          <w:sz w:val="20"/>
          <w:szCs w:val="20"/>
        </w:rPr>
        <w:t>Proc. Natl. Acad. Sci.</w:t>
      </w:r>
      <w:r>
        <w:rPr>
          <w:rFonts w:ascii="Arial" w:eastAsia="Arial" w:hAnsi="Arial" w:cs="Arial"/>
          <w:sz w:val="20"/>
          <w:szCs w:val="20"/>
        </w:rPr>
        <w:t xml:space="preserve"> (2018) https:/doi.org/10.1073/pnas.1701535115.</w:t>
      </w:r>
    </w:p>
    <w:p w14:paraId="000000A1"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sz w:val="20"/>
          <w:szCs w:val="20"/>
        </w:rPr>
        <w:tab/>
        <w:t xml:space="preserve">F. C. </w:t>
      </w:r>
      <w:proofErr w:type="spellStart"/>
      <w:r>
        <w:rPr>
          <w:rFonts w:ascii="Arial" w:eastAsia="Arial" w:hAnsi="Arial" w:cs="Arial"/>
          <w:sz w:val="20"/>
          <w:szCs w:val="20"/>
        </w:rPr>
        <w:t>Drumond</w:t>
      </w:r>
      <w:proofErr w:type="spellEnd"/>
      <w:r>
        <w:rPr>
          <w:rFonts w:ascii="Arial" w:eastAsia="Arial" w:hAnsi="Arial" w:cs="Arial"/>
          <w:sz w:val="20"/>
          <w:szCs w:val="20"/>
        </w:rPr>
        <w:t xml:space="preserve"> Andrade, P. E. Guevara, M. L. </w:t>
      </w:r>
      <w:proofErr w:type="spellStart"/>
      <w:r>
        <w:rPr>
          <w:rFonts w:ascii="Arial" w:eastAsia="Arial" w:hAnsi="Arial" w:cs="Arial"/>
          <w:sz w:val="20"/>
          <w:szCs w:val="20"/>
        </w:rPr>
        <w:t>Lebrão</w:t>
      </w:r>
      <w:proofErr w:type="spellEnd"/>
      <w:r>
        <w:rPr>
          <w:rFonts w:ascii="Arial" w:eastAsia="Arial" w:hAnsi="Arial" w:cs="Arial"/>
          <w:sz w:val="20"/>
          <w:szCs w:val="20"/>
        </w:rPr>
        <w:t xml:space="preserve">, Y. A. de Oliveira Duarte, J. L. F. Santos, Gender Differences in Life Expectancy and Disability-Free Life Expectancy Among Older Adults in São Paulo, Brazil. </w:t>
      </w:r>
      <w:r>
        <w:rPr>
          <w:rFonts w:ascii="Arial" w:eastAsia="Arial" w:hAnsi="Arial" w:cs="Arial"/>
          <w:i/>
          <w:sz w:val="20"/>
          <w:szCs w:val="20"/>
        </w:rPr>
        <w:t>Women’s Heal. Issues</w:t>
      </w:r>
      <w:r>
        <w:rPr>
          <w:rFonts w:ascii="Arial" w:eastAsia="Arial" w:hAnsi="Arial" w:cs="Arial"/>
          <w:sz w:val="20"/>
          <w:szCs w:val="20"/>
        </w:rPr>
        <w:t xml:space="preserve"> </w:t>
      </w:r>
      <w:r>
        <w:rPr>
          <w:rFonts w:ascii="Arial" w:eastAsia="Arial" w:hAnsi="Arial" w:cs="Arial"/>
          <w:b/>
          <w:sz w:val="20"/>
          <w:szCs w:val="20"/>
        </w:rPr>
        <w:t>21</w:t>
      </w:r>
      <w:r>
        <w:rPr>
          <w:rFonts w:ascii="Arial" w:eastAsia="Arial" w:hAnsi="Arial" w:cs="Arial"/>
          <w:sz w:val="20"/>
          <w:szCs w:val="20"/>
        </w:rPr>
        <w:t>, 64–70 (2011).</w:t>
      </w:r>
    </w:p>
    <w:p w14:paraId="000000A2"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10. </w:t>
      </w:r>
      <w:r>
        <w:rPr>
          <w:rFonts w:ascii="Arial" w:eastAsia="Arial" w:hAnsi="Arial" w:cs="Arial"/>
          <w:sz w:val="20"/>
          <w:szCs w:val="20"/>
        </w:rPr>
        <w:tab/>
        <w:t>V. Di Lego, P. Di Giulio, M. Luy, “Gender Differences in Healthy and Unhealthy Life Expectancy” in (2020), pp. 151–172.</w:t>
      </w:r>
    </w:p>
    <w:p w14:paraId="000000A3"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sz w:val="20"/>
          <w:szCs w:val="20"/>
        </w:rPr>
        <w:tab/>
        <w:t xml:space="preserve">E. Grundy, “Gender and healthy aging” in </w:t>
      </w:r>
      <w:r>
        <w:rPr>
          <w:rFonts w:ascii="Arial" w:eastAsia="Arial" w:hAnsi="Arial" w:cs="Arial"/>
          <w:i/>
          <w:sz w:val="20"/>
          <w:szCs w:val="20"/>
        </w:rPr>
        <w:t>Longer Life and Healthy Aging</w:t>
      </w:r>
      <w:r>
        <w:rPr>
          <w:rFonts w:ascii="Arial" w:eastAsia="Arial" w:hAnsi="Arial" w:cs="Arial"/>
          <w:sz w:val="20"/>
          <w:szCs w:val="20"/>
        </w:rPr>
        <w:t>, (2006), pp. 173–199.</w:t>
      </w:r>
    </w:p>
    <w:p w14:paraId="000000A4"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12. </w:t>
      </w:r>
      <w:r>
        <w:rPr>
          <w:rFonts w:ascii="Arial" w:eastAsia="Arial" w:hAnsi="Arial" w:cs="Arial"/>
          <w:sz w:val="20"/>
          <w:szCs w:val="20"/>
        </w:rPr>
        <w:tab/>
        <w:t xml:space="preserve">C. D. Mathers, R. </w:t>
      </w:r>
      <w:proofErr w:type="spellStart"/>
      <w:r>
        <w:rPr>
          <w:rFonts w:ascii="Arial" w:eastAsia="Arial" w:hAnsi="Arial" w:cs="Arial"/>
          <w:sz w:val="20"/>
          <w:szCs w:val="20"/>
        </w:rPr>
        <w:t>Sadana</w:t>
      </w:r>
      <w:proofErr w:type="spellEnd"/>
      <w:r>
        <w:rPr>
          <w:rFonts w:ascii="Arial" w:eastAsia="Arial" w:hAnsi="Arial" w:cs="Arial"/>
          <w:sz w:val="20"/>
          <w:szCs w:val="20"/>
        </w:rPr>
        <w:t xml:space="preserve">, J. A. Salomon, C. J. L. Murray, A. D. Lopez, Healthy life expectancy in 191 countries, 1999. </w:t>
      </w:r>
      <w:r>
        <w:rPr>
          <w:rFonts w:ascii="Arial" w:eastAsia="Arial" w:hAnsi="Arial" w:cs="Arial"/>
          <w:i/>
          <w:sz w:val="20"/>
          <w:szCs w:val="20"/>
        </w:rPr>
        <w:t>Lancet</w:t>
      </w:r>
      <w:r>
        <w:rPr>
          <w:rFonts w:ascii="Arial" w:eastAsia="Arial" w:hAnsi="Arial" w:cs="Arial"/>
          <w:sz w:val="20"/>
          <w:szCs w:val="20"/>
        </w:rPr>
        <w:t xml:space="preserve"> </w:t>
      </w:r>
      <w:r>
        <w:rPr>
          <w:rFonts w:ascii="Arial" w:eastAsia="Arial" w:hAnsi="Arial" w:cs="Arial"/>
          <w:b/>
          <w:sz w:val="20"/>
          <w:szCs w:val="20"/>
        </w:rPr>
        <w:t>357</w:t>
      </w:r>
      <w:r>
        <w:rPr>
          <w:rFonts w:ascii="Arial" w:eastAsia="Arial" w:hAnsi="Arial" w:cs="Arial"/>
          <w:sz w:val="20"/>
          <w:szCs w:val="20"/>
        </w:rPr>
        <w:t>, 1685–1691 (2001).</w:t>
      </w:r>
    </w:p>
    <w:p w14:paraId="000000A5"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13. </w:t>
      </w:r>
      <w:r>
        <w:rPr>
          <w:rFonts w:ascii="Arial" w:eastAsia="Arial" w:hAnsi="Arial" w:cs="Arial"/>
          <w:sz w:val="20"/>
          <w:szCs w:val="20"/>
        </w:rPr>
        <w:tab/>
        <w:t xml:space="preserve">A. </w:t>
      </w:r>
      <w:proofErr w:type="spellStart"/>
      <w:r>
        <w:rPr>
          <w:rFonts w:ascii="Arial" w:eastAsia="Arial" w:hAnsi="Arial" w:cs="Arial"/>
          <w:sz w:val="20"/>
          <w:szCs w:val="20"/>
        </w:rPr>
        <w:t>Oksuzyan</w:t>
      </w:r>
      <w:proofErr w:type="spellEnd"/>
      <w:r>
        <w:rPr>
          <w:rFonts w:ascii="Arial" w:eastAsia="Arial" w:hAnsi="Arial" w:cs="Arial"/>
          <w:sz w:val="20"/>
          <w:szCs w:val="20"/>
        </w:rPr>
        <w:t xml:space="preserve">, M. </w:t>
      </w:r>
      <w:proofErr w:type="spellStart"/>
      <w:r>
        <w:rPr>
          <w:rFonts w:ascii="Arial" w:eastAsia="Arial" w:hAnsi="Arial" w:cs="Arial"/>
          <w:sz w:val="20"/>
          <w:szCs w:val="20"/>
        </w:rPr>
        <w:t>Shkolnikova</w:t>
      </w:r>
      <w:proofErr w:type="spellEnd"/>
      <w:r>
        <w:rPr>
          <w:rFonts w:ascii="Arial" w:eastAsia="Arial" w:hAnsi="Arial" w:cs="Arial"/>
          <w:sz w:val="20"/>
          <w:szCs w:val="20"/>
        </w:rPr>
        <w:t xml:space="preserve">, J. W. </w:t>
      </w:r>
      <w:proofErr w:type="spellStart"/>
      <w:r>
        <w:rPr>
          <w:rFonts w:ascii="Arial" w:eastAsia="Arial" w:hAnsi="Arial" w:cs="Arial"/>
          <w:sz w:val="20"/>
          <w:szCs w:val="20"/>
        </w:rPr>
        <w:t>Vaupel</w:t>
      </w:r>
      <w:proofErr w:type="spellEnd"/>
      <w:r>
        <w:rPr>
          <w:rFonts w:ascii="Arial" w:eastAsia="Arial" w:hAnsi="Arial" w:cs="Arial"/>
          <w:sz w:val="20"/>
          <w:szCs w:val="20"/>
        </w:rPr>
        <w:t xml:space="preserve">, K. Christensen, V. M. </w:t>
      </w:r>
      <w:proofErr w:type="spellStart"/>
      <w:r>
        <w:rPr>
          <w:rFonts w:ascii="Arial" w:eastAsia="Arial" w:hAnsi="Arial" w:cs="Arial"/>
          <w:sz w:val="20"/>
          <w:szCs w:val="20"/>
        </w:rPr>
        <w:t>Shkolnikov</w:t>
      </w:r>
      <w:proofErr w:type="spellEnd"/>
      <w:r>
        <w:rPr>
          <w:rFonts w:ascii="Arial" w:eastAsia="Arial" w:hAnsi="Arial" w:cs="Arial"/>
          <w:sz w:val="20"/>
          <w:szCs w:val="20"/>
        </w:rPr>
        <w:t xml:space="preserve">, Sex differences in health and mortality in Moscow and Denmark. </w:t>
      </w:r>
      <w:r>
        <w:rPr>
          <w:rFonts w:ascii="Arial" w:eastAsia="Arial" w:hAnsi="Arial" w:cs="Arial"/>
          <w:i/>
          <w:sz w:val="20"/>
          <w:szCs w:val="20"/>
        </w:rPr>
        <w:t>Eur. J. Epidemiol.</w:t>
      </w:r>
      <w:r>
        <w:rPr>
          <w:rFonts w:ascii="Arial" w:eastAsia="Arial" w:hAnsi="Arial" w:cs="Arial"/>
          <w:sz w:val="20"/>
          <w:szCs w:val="20"/>
        </w:rPr>
        <w:t xml:space="preserve"> </w:t>
      </w:r>
      <w:r>
        <w:rPr>
          <w:rFonts w:ascii="Arial" w:eastAsia="Arial" w:hAnsi="Arial" w:cs="Arial"/>
          <w:b/>
          <w:sz w:val="20"/>
          <w:szCs w:val="20"/>
        </w:rPr>
        <w:t>29</w:t>
      </w:r>
      <w:r>
        <w:rPr>
          <w:rFonts w:ascii="Arial" w:eastAsia="Arial" w:hAnsi="Arial" w:cs="Arial"/>
          <w:sz w:val="20"/>
          <w:szCs w:val="20"/>
        </w:rPr>
        <w:t>, 243–252 (2014).</w:t>
      </w:r>
    </w:p>
    <w:p w14:paraId="000000A6"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14. </w:t>
      </w:r>
      <w:r>
        <w:rPr>
          <w:rFonts w:ascii="Arial" w:eastAsia="Arial" w:hAnsi="Arial" w:cs="Arial"/>
          <w:sz w:val="20"/>
          <w:szCs w:val="20"/>
        </w:rPr>
        <w:tab/>
        <w:t xml:space="preserve">E. M. Crimmins, J. K. Kim, A. Hagedorn, Life </w:t>
      </w:r>
      <w:proofErr w:type="gramStart"/>
      <w:r>
        <w:rPr>
          <w:rFonts w:ascii="Arial" w:eastAsia="Arial" w:hAnsi="Arial" w:cs="Arial"/>
          <w:sz w:val="20"/>
          <w:szCs w:val="20"/>
        </w:rPr>
        <w:t>With</w:t>
      </w:r>
      <w:proofErr w:type="gramEnd"/>
      <w:r>
        <w:rPr>
          <w:rFonts w:ascii="Arial" w:eastAsia="Arial" w:hAnsi="Arial" w:cs="Arial"/>
          <w:sz w:val="20"/>
          <w:szCs w:val="20"/>
        </w:rPr>
        <w:t xml:space="preserve"> and Without Disease: Women Experience More of Both. </w:t>
      </w:r>
      <w:r>
        <w:rPr>
          <w:rFonts w:ascii="Arial" w:eastAsia="Arial" w:hAnsi="Arial" w:cs="Arial"/>
          <w:i/>
          <w:sz w:val="20"/>
          <w:szCs w:val="20"/>
        </w:rPr>
        <w:t>J. Women Aging</w:t>
      </w:r>
      <w:r>
        <w:rPr>
          <w:rFonts w:ascii="Arial" w:eastAsia="Arial" w:hAnsi="Arial" w:cs="Arial"/>
          <w:sz w:val="20"/>
          <w:szCs w:val="20"/>
        </w:rPr>
        <w:t xml:space="preserve"> </w:t>
      </w:r>
      <w:r>
        <w:rPr>
          <w:rFonts w:ascii="Arial" w:eastAsia="Arial" w:hAnsi="Arial" w:cs="Arial"/>
          <w:b/>
          <w:sz w:val="20"/>
          <w:szCs w:val="20"/>
        </w:rPr>
        <w:t>14</w:t>
      </w:r>
      <w:r>
        <w:rPr>
          <w:rFonts w:ascii="Arial" w:eastAsia="Arial" w:hAnsi="Arial" w:cs="Arial"/>
          <w:sz w:val="20"/>
          <w:szCs w:val="20"/>
        </w:rPr>
        <w:t>, 47–59 (2002).</w:t>
      </w:r>
    </w:p>
    <w:p w14:paraId="000000A7"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15. </w:t>
      </w:r>
      <w:r>
        <w:rPr>
          <w:rFonts w:ascii="Arial" w:eastAsia="Arial" w:hAnsi="Arial" w:cs="Arial"/>
          <w:sz w:val="20"/>
          <w:szCs w:val="20"/>
        </w:rPr>
        <w:tab/>
        <w:t xml:space="preserve">M. Luy, Y. Minagawa, Gender gaps--Life expectancy and proportion of life in poor health. </w:t>
      </w:r>
      <w:r>
        <w:rPr>
          <w:rFonts w:ascii="Arial" w:eastAsia="Arial" w:hAnsi="Arial" w:cs="Arial"/>
          <w:i/>
          <w:sz w:val="20"/>
          <w:szCs w:val="20"/>
        </w:rPr>
        <w:t>Heal. reports</w:t>
      </w:r>
      <w:r>
        <w:rPr>
          <w:rFonts w:ascii="Arial" w:eastAsia="Arial" w:hAnsi="Arial" w:cs="Arial"/>
          <w:sz w:val="20"/>
          <w:szCs w:val="20"/>
        </w:rPr>
        <w:t xml:space="preserve"> </w:t>
      </w:r>
      <w:r>
        <w:rPr>
          <w:rFonts w:ascii="Arial" w:eastAsia="Arial" w:hAnsi="Arial" w:cs="Arial"/>
          <w:b/>
          <w:sz w:val="20"/>
          <w:szCs w:val="20"/>
        </w:rPr>
        <w:t>25</w:t>
      </w:r>
      <w:r>
        <w:rPr>
          <w:rFonts w:ascii="Arial" w:eastAsia="Arial" w:hAnsi="Arial" w:cs="Arial"/>
          <w:sz w:val="20"/>
          <w:szCs w:val="20"/>
        </w:rPr>
        <w:t>, 12–9 (2014).</w:t>
      </w:r>
    </w:p>
    <w:p w14:paraId="000000A8"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16. </w:t>
      </w:r>
      <w:r>
        <w:rPr>
          <w:rFonts w:ascii="Arial" w:eastAsia="Arial" w:hAnsi="Arial" w:cs="Arial"/>
          <w:sz w:val="20"/>
          <w:szCs w:val="20"/>
        </w:rPr>
        <w:tab/>
        <w:t xml:space="preserve">J.-M. </w:t>
      </w:r>
      <w:proofErr w:type="spellStart"/>
      <w:r>
        <w:rPr>
          <w:rFonts w:ascii="Arial" w:eastAsia="Arial" w:hAnsi="Arial" w:cs="Arial"/>
          <w:sz w:val="20"/>
          <w:szCs w:val="20"/>
        </w:rPr>
        <w:t>Robine</w:t>
      </w:r>
      <w:proofErr w:type="spellEnd"/>
      <w:r>
        <w:rPr>
          <w:rFonts w:ascii="Arial" w:eastAsia="Arial" w:hAnsi="Arial" w:cs="Arial"/>
          <w:sz w:val="20"/>
          <w:szCs w:val="20"/>
        </w:rPr>
        <w:t xml:space="preserve">, C. Jagger, I. </w:t>
      </w:r>
      <w:proofErr w:type="spellStart"/>
      <w:r>
        <w:rPr>
          <w:rFonts w:ascii="Arial" w:eastAsia="Arial" w:hAnsi="Arial" w:cs="Arial"/>
          <w:sz w:val="20"/>
          <w:szCs w:val="20"/>
        </w:rPr>
        <w:t>Romieu</w:t>
      </w:r>
      <w:proofErr w:type="spellEnd"/>
      <w:r>
        <w:rPr>
          <w:rFonts w:ascii="Arial" w:eastAsia="Arial" w:hAnsi="Arial" w:cs="Arial"/>
          <w:sz w:val="20"/>
          <w:szCs w:val="20"/>
        </w:rPr>
        <w:t xml:space="preserve">, Disability-free life expectancies in the European Union countries: calculation and comparisons. </w:t>
      </w:r>
      <w:r>
        <w:rPr>
          <w:rFonts w:ascii="Arial" w:eastAsia="Arial" w:hAnsi="Arial" w:cs="Arial"/>
          <w:i/>
          <w:sz w:val="20"/>
          <w:szCs w:val="20"/>
        </w:rPr>
        <w:t>Genus</w:t>
      </w:r>
      <w:r>
        <w:rPr>
          <w:rFonts w:ascii="Arial" w:eastAsia="Arial" w:hAnsi="Arial" w:cs="Arial"/>
          <w:sz w:val="20"/>
          <w:szCs w:val="20"/>
        </w:rPr>
        <w:t xml:space="preserve"> </w:t>
      </w:r>
      <w:r>
        <w:rPr>
          <w:rFonts w:ascii="Arial" w:eastAsia="Arial" w:hAnsi="Arial" w:cs="Arial"/>
          <w:b/>
          <w:sz w:val="20"/>
          <w:szCs w:val="20"/>
        </w:rPr>
        <w:t>57</w:t>
      </w:r>
      <w:r>
        <w:rPr>
          <w:rFonts w:ascii="Arial" w:eastAsia="Arial" w:hAnsi="Arial" w:cs="Arial"/>
          <w:sz w:val="20"/>
          <w:szCs w:val="20"/>
        </w:rPr>
        <w:t>, 89–101 (2001).</w:t>
      </w:r>
    </w:p>
    <w:p w14:paraId="000000A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17. </w:t>
      </w:r>
      <w:r>
        <w:rPr>
          <w:rFonts w:ascii="Arial" w:eastAsia="Arial" w:hAnsi="Arial" w:cs="Arial"/>
          <w:sz w:val="20"/>
          <w:szCs w:val="20"/>
        </w:rPr>
        <w:tab/>
        <w:t xml:space="preserve">T. Riffe, A. A. van Raalte, M. J. </w:t>
      </w:r>
      <w:proofErr w:type="spellStart"/>
      <w:r>
        <w:rPr>
          <w:rFonts w:ascii="Arial" w:eastAsia="Arial" w:hAnsi="Arial" w:cs="Arial"/>
          <w:sz w:val="20"/>
          <w:szCs w:val="20"/>
        </w:rPr>
        <w:t>Bijlsma</w:t>
      </w:r>
      <w:proofErr w:type="spellEnd"/>
      <w:r>
        <w:rPr>
          <w:rFonts w:ascii="Arial" w:eastAsia="Arial" w:hAnsi="Arial" w:cs="Arial"/>
          <w:sz w:val="20"/>
          <w:szCs w:val="20"/>
        </w:rPr>
        <w:t>, “Healthy life expectancy, mortality, and age prevalence of morbidity” (2017) https:/doi.org/10.4054/MPIDR-WP-2017-015.</w:t>
      </w:r>
    </w:p>
    <w:p w14:paraId="000000A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lastRenderedPageBreak/>
        <w:t xml:space="preserve">18. </w:t>
      </w:r>
      <w:r>
        <w:rPr>
          <w:rFonts w:ascii="Arial" w:eastAsia="Arial" w:hAnsi="Arial" w:cs="Arial"/>
          <w:sz w:val="20"/>
          <w:szCs w:val="20"/>
        </w:rPr>
        <w:tab/>
        <w:t xml:space="preserve">I. </w:t>
      </w:r>
      <w:proofErr w:type="spellStart"/>
      <w:r>
        <w:rPr>
          <w:rFonts w:ascii="Arial" w:eastAsia="Arial" w:hAnsi="Arial" w:cs="Arial"/>
          <w:sz w:val="20"/>
          <w:szCs w:val="20"/>
        </w:rPr>
        <w:t>Mairey</w:t>
      </w:r>
      <w:proofErr w:type="spellEnd"/>
      <w:r>
        <w:rPr>
          <w:rFonts w:ascii="Arial" w:eastAsia="Arial" w:hAnsi="Arial" w:cs="Arial"/>
          <w:sz w:val="20"/>
          <w:szCs w:val="20"/>
        </w:rPr>
        <w:t xml:space="preserve">, P. </w:t>
      </w:r>
      <w:proofErr w:type="spellStart"/>
      <w:r>
        <w:rPr>
          <w:rFonts w:ascii="Arial" w:eastAsia="Arial" w:hAnsi="Arial" w:cs="Arial"/>
          <w:sz w:val="20"/>
          <w:szCs w:val="20"/>
        </w:rPr>
        <w:t>Bjerregaard</w:t>
      </w:r>
      <w:proofErr w:type="spellEnd"/>
      <w:r>
        <w:rPr>
          <w:rFonts w:ascii="Arial" w:eastAsia="Arial" w:hAnsi="Arial" w:cs="Arial"/>
          <w:sz w:val="20"/>
          <w:szCs w:val="20"/>
        </w:rPr>
        <w:t xml:space="preserve">, H. </w:t>
      </w:r>
      <w:proofErr w:type="spellStart"/>
      <w:r>
        <w:rPr>
          <w:rFonts w:ascii="Arial" w:eastAsia="Arial" w:hAnsi="Arial" w:cs="Arial"/>
          <w:sz w:val="20"/>
          <w:szCs w:val="20"/>
        </w:rPr>
        <w:t>Brønnum</w:t>
      </w:r>
      <w:proofErr w:type="spellEnd"/>
      <w:r>
        <w:rPr>
          <w:rFonts w:ascii="Arial" w:eastAsia="Arial" w:hAnsi="Arial" w:cs="Arial"/>
          <w:sz w:val="20"/>
          <w:szCs w:val="20"/>
        </w:rPr>
        <w:t xml:space="preserve"> Hansen, Gender difference in health expectancy trends in Greenland. </w:t>
      </w:r>
      <w:r>
        <w:rPr>
          <w:rFonts w:ascii="Arial" w:eastAsia="Arial" w:hAnsi="Arial" w:cs="Arial"/>
          <w:i/>
          <w:sz w:val="20"/>
          <w:szCs w:val="20"/>
        </w:rPr>
        <w:t>Scand. J. Public Health</w:t>
      </w:r>
      <w:r>
        <w:rPr>
          <w:rFonts w:ascii="Arial" w:eastAsia="Arial" w:hAnsi="Arial" w:cs="Arial"/>
          <w:sz w:val="20"/>
          <w:szCs w:val="20"/>
        </w:rPr>
        <w:t xml:space="preserve"> </w:t>
      </w:r>
      <w:r>
        <w:rPr>
          <w:rFonts w:ascii="Arial" w:eastAsia="Arial" w:hAnsi="Arial" w:cs="Arial"/>
          <w:b/>
          <w:sz w:val="20"/>
          <w:szCs w:val="20"/>
        </w:rPr>
        <w:t>42</w:t>
      </w:r>
      <w:r>
        <w:rPr>
          <w:rFonts w:ascii="Arial" w:eastAsia="Arial" w:hAnsi="Arial" w:cs="Arial"/>
          <w:sz w:val="20"/>
          <w:szCs w:val="20"/>
        </w:rPr>
        <w:t>, 751–758 (2014).</w:t>
      </w:r>
    </w:p>
    <w:p w14:paraId="000000A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19. </w:t>
      </w:r>
      <w:r>
        <w:rPr>
          <w:rFonts w:ascii="Arial" w:eastAsia="Arial" w:hAnsi="Arial" w:cs="Arial"/>
          <w:sz w:val="20"/>
          <w:szCs w:val="20"/>
        </w:rPr>
        <w:tab/>
        <w:t xml:space="preserve">W. J. </w:t>
      </w:r>
      <w:proofErr w:type="spellStart"/>
      <w:r>
        <w:rPr>
          <w:rFonts w:ascii="Arial" w:eastAsia="Arial" w:hAnsi="Arial" w:cs="Arial"/>
          <w:sz w:val="20"/>
          <w:szCs w:val="20"/>
        </w:rPr>
        <w:t>Nusselder</w:t>
      </w:r>
      <w:proofErr w:type="spellEnd"/>
      <w:r>
        <w:rPr>
          <w:rFonts w:ascii="Arial" w:eastAsia="Arial" w:hAnsi="Arial" w:cs="Arial"/>
          <w:sz w:val="20"/>
          <w:szCs w:val="20"/>
        </w:rPr>
        <w:t xml:space="preserve">, C. W. N. </w:t>
      </w:r>
      <w:proofErr w:type="spellStart"/>
      <w:r>
        <w:rPr>
          <w:rFonts w:ascii="Arial" w:eastAsia="Arial" w:hAnsi="Arial" w:cs="Arial"/>
          <w:sz w:val="20"/>
          <w:szCs w:val="20"/>
        </w:rPr>
        <w:t>Looman</w:t>
      </w:r>
      <w:proofErr w:type="spellEnd"/>
      <w:r>
        <w:rPr>
          <w:rFonts w:ascii="Arial" w:eastAsia="Arial" w:hAnsi="Arial" w:cs="Arial"/>
          <w:sz w:val="20"/>
          <w:szCs w:val="20"/>
        </w:rPr>
        <w:t xml:space="preserve">, H. van Oyen, J. M. </w:t>
      </w:r>
      <w:proofErr w:type="spellStart"/>
      <w:r>
        <w:rPr>
          <w:rFonts w:ascii="Arial" w:eastAsia="Arial" w:hAnsi="Arial" w:cs="Arial"/>
          <w:sz w:val="20"/>
          <w:szCs w:val="20"/>
        </w:rPr>
        <w:t>Robine</w:t>
      </w:r>
      <w:proofErr w:type="spellEnd"/>
      <w:r>
        <w:rPr>
          <w:rFonts w:ascii="Arial" w:eastAsia="Arial" w:hAnsi="Arial" w:cs="Arial"/>
          <w:sz w:val="20"/>
          <w:szCs w:val="20"/>
        </w:rPr>
        <w:t xml:space="preserve">, C. Jagger, Gender differences in health of EU10 and EU15 populations: the double burden of EU10 men. </w:t>
      </w:r>
      <w:r>
        <w:rPr>
          <w:rFonts w:ascii="Arial" w:eastAsia="Arial" w:hAnsi="Arial" w:cs="Arial"/>
          <w:i/>
          <w:sz w:val="20"/>
          <w:szCs w:val="20"/>
        </w:rPr>
        <w:t>Eur. J. Ageing</w:t>
      </w:r>
      <w:r>
        <w:rPr>
          <w:rFonts w:ascii="Arial" w:eastAsia="Arial" w:hAnsi="Arial" w:cs="Arial"/>
          <w:sz w:val="20"/>
          <w:szCs w:val="20"/>
        </w:rPr>
        <w:t xml:space="preserve"> </w:t>
      </w:r>
      <w:r>
        <w:rPr>
          <w:rFonts w:ascii="Arial" w:eastAsia="Arial" w:hAnsi="Arial" w:cs="Arial"/>
          <w:b/>
          <w:sz w:val="20"/>
          <w:szCs w:val="20"/>
        </w:rPr>
        <w:t>7</w:t>
      </w:r>
      <w:r>
        <w:rPr>
          <w:rFonts w:ascii="Arial" w:eastAsia="Arial" w:hAnsi="Arial" w:cs="Arial"/>
          <w:sz w:val="20"/>
          <w:szCs w:val="20"/>
        </w:rPr>
        <w:t>, 219–227 (2010).</w:t>
      </w:r>
    </w:p>
    <w:p w14:paraId="000000A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20. </w:t>
      </w:r>
      <w:r>
        <w:rPr>
          <w:rFonts w:ascii="Arial" w:eastAsia="Arial" w:hAnsi="Arial" w:cs="Arial"/>
          <w:sz w:val="20"/>
          <w:szCs w:val="20"/>
        </w:rPr>
        <w:tab/>
        <w:t xml:space="preserve">W. J. </w:t>
      </w:r>
      <w:proofErr w:type="spellStart"/>
      <w:r>
        <w:rPr>
          <w:rFonts w:ascii="Arial" w:eastAsia="Arial" w:hAnsi="Arial" w:cs="Arial"/>
          <w:sz w:val="20"/>
          <w:szCs w:val="20"/>
        </w:rPr>
        <w:t>Nusselder</w:t>
      </w:r>
      <w:proofErr w:type="spellEnd"/>
      <w:r>
        <w:rPr>
          <w:rFonts w:ascii="Arial" w:eastAsia="Arial" w:hAnsi="Arial" w:cs="Arial"/>
          <w:sz w:val="20"/>
          <w:szCs w:val="20"/>
        </w:rPr>
        <w:t xml:space="preserve">, C. W. </w:t>
      </w:r>
      <w:proofErr w:type="spellStart"/>
      <w:r>
        <w:rPr>
          <w:rFonts w:ascii="Arial" w:eastAsia="Arial" w:hAnsi="Arial" w:cs="Arial"/>
          <w:sz w:val="20"/>
          <w:szCs w:val="20"/>
        </w:rPr>
        <w:t>Looman</w:t>
      </w:r>
      <w:proofErr w:type="spellEnd"/>
      <w:r>
        <w:rPr>
          <w:rFonts w:ascii="Arial" w:eastAsia="Arial" w:hAnsi="Arial" w:cs="Arial"/>
          <w:sz w:val="20"/>
          <w:szCs w:val="20"/>
        </w:rPr>
        <w:t xml:space="preserve">, Decomposition of differences in health expectancy by cause.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41</w:t>
      </w:r>
      <w:r>
        <w:rPr>
          <w:rFonts w:ascii="Arial" w:eastAsia="Arial" w:hAnsi="Arial" w:cs="Arial"/>
          <w:sz w:val="20"/>
          <w:szCs w:val="20"/>
        </w:rPr>
        <w:t>, 315–34 (2004).</w:t>
      </w:r>
    </w:p>
    <w:p w14:paraId="000000A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21. </w:t>
      </w:r>
      <w:r>
        <w:rPr>
          <w:rFonts w:ascii="Arial" w:eastAsia="Arial" w:hAnsi="Arial" w:cs="Arial"/>
          <w:sz w:val="20"/>
          <w:szCs w:val="20"/>
        </w:rPr>
        <w:tab/>
        <w:t xml:space="preserve">H. Van Oyen, </w:t>
      </w:r>
      <w:r>
        <w:rPr>
          <w:rFonts w:ascii="Arial" w:eastAsia="Arial" w:hAnsi="Arial" w:cs="Arial"/>
          <w:i/>
          <w:sz w:val="20"/>
          <w:szCs w:val="20"/>
        </w:rPr>
        <w:t>et al.</w:t>
      </w:r>
      <w:r>
        <w:rPr>
          <w:rFonts w:ascii="Arial" w:eastAsia="Arial" w:hAnsi="Arial" w:cs="Arial"/>
          <w:sz w:val="20"/>
          <w:szCs w:val="20"/>
        </w:rPr>
        <w:t xml:space="preserve">, Gender differences in healthy life years within the EU: an exploration of the “health–survival” paradox. </w:t>
      </w:r>
      <w:r>
        <w:rPr>
          <w:rFonts w:ascii="Arial" w:eastAsia="Arial" w:hAnsi="Arial" w:cs="Arial"/>
          <w:i/>
          <w:sz w:val="20"/>
          <w:szCs w:val="20"/>
        </w:rPr>
        <w:t>Int. J. Public Health</w:t>
      </w:r>
      <w:r>
        <w:rPr>
          <w:rFonts w:ascii="Arial" w:eastAsia="Arial" w:hAnsi="Arial" w:cs="Arial"/>
          <w:sz w:val="20"/>
          <w:szCs w:val="20"/>
        </w:rPr>
        <w:t xml:space="preserve"> </w:t>
      </w:r>
      <w:r>
        <w:rPr>
          <w:rFonts w:ascii="Arial" w:eastAsia="Arial" w:hAnsi="Arial" w:cs="Arial"/>
          <w:b/>
          <w:sz w:val="20"/>
          <w:szCs w:val="20"/>
        </w:rPr>
        <w:t>58</w:t>
      </w:r>
      <w:r>
        <w:rPr>
          <w:rFonts w:ascii="Arial" w:eastAsia="Arial" w:hAnsi="Arial" w:cs="Arial"/>
          <w:sz w:val="20"/>
          <w:szCs w:val="20"/>
        </w:rPr>
        <w:t>, 143–155 (2013).</w:t>
      </w:r>
    </w:p>
    <w:p w14:paraId="000000A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22. </w:t>
      </w:r>
      <w:r>
        <w:rPr>
          <w:rFonts w:ascii="Arial" w:eastAsia="Arial" w:hAnsi="Arial" w:cs="Arial"/>
          <w:sz w:val="20"/>
          <w:szCs w:val="20"/>
        </w:rPr>
        <w:tab/>
        <w:t xml:space="preserve">M. R. Nepomuceno, V. di Lego, C. M. </w:t>
      </w:r>
      <w:proofErr w:type="spellStart"/>
      <w:r>
        <w:rPr>
          <w:rFonts w:ascii="Arial" w:eastAsia="Arial" w:hAnsi="Arial" w:cs="Arial"/>
          <w:sz w:val="20"/>
          <w:szCs w:val="20"/>
        </w:rPr>
        <w:t>Turra</w:t>
      </w:r>
      <w:proofErr w:type="spellEnd"/>
      <w:r>
        <w:rPr>
          <w:rFonts w:ascii="Arial" w:eastAsia="Arial" w:hAnsi="Arial" w:cs="Arial"/>
          <w:sz w:val="20"/>
          <w:szCs w:val="20"/>
        </w:rPr>
        <w:t xml:space="preserve">, Gender disparities in health at older ages and their consequences for well-being in Latin America and the Caribbean. </w:t>
      </w:r>
      <w:r>
        <w:rPr>
          <w:rFonts w:ascii="Arial" w:eastAsia="Arial" w:hAnsi="Arial" w:cs="Arial"/>
          <w:i/>
          <w:sz w:val="20"/>
          <w:szCs w:val="20"/>
        </w:rPr>
        <w:t xml:space="preserve">Vienna </w:t>
      </w:r>
      <w:proofErr w:type="spellStart"/>
      <w:r>
        <w:rPr>
          <w:rFonts w:ascii="Arial" w:eastAsia="Arial" w:hAnsi="Arial" w:cs="Arial"/>
          <w:i/>
          <w:sz w:val="20"/>
          <w:szCs w:val="20"/>
        </w:rPr>
        <w:t>Yearb</w:t>
      </w:r>
      <w:proofErr w:type="spellEnd"/>
      <w:r>
        <w:rPr>
          <w:rFonts w:ascii="Arial" w:eastAsia="Arial" w:hAnsi="Arial" w:cs="Arial"/>
          <w:i/>
          <w:sz w:val="20"/>
          <w:szCs w:val="20"/>
        </w:rPr>
        <w:t xml:space="preserve">. </w:t>
      </w:r>
      <w:proofErr w:type="spellStart"/>
      <w:r>
        <w:rPr>
          <w:rFonts w:ascii="Arial" w:eastAsia="Arial" w:hAnsi="Arial" w:cs="Arial"/>
          <w:i/>
          <w:sz w:val="20"/>
          <w:szCs w:val="20"/>
        </w:rPr>
        <w:t>Popul</w:t>
      </w:r>
      <w:proofErr w:type="spellEnd"/>
      <w:r>
        <w:rPr>
          <w:rFonts w:ascii="Arial" w:eastAsia="Arial" w:hAnsi="Arial" w:cs="Arial"/>
          <w:i/>
          <w:sz w:val="20"/>
          <w:szCs w:val="20"/>
        </w:rPr>
        <w:t>. Res.</w:t>
      </w:r>
      <w:r>
        <w:rPr>
          <w:rFonts w:ascii="Arial" w:eastAsia="Arial" w:hAnsi="Arial" w:cs="Arial"/>
          <w:sz w:val="20"/>
          <w:szCs w:val="20"/>
        </w:rPr>
        <w:t xml:space="preserve"> </w:t>
      </w:r>
      <w:r>
        <w:rPr>
          <w:rFonts w:ascii="Arial" w:eastAsia="Arial" w:hAnsi="Arial" w:cs="Arial"/>
          <w:b/>
          <w:sz w:val="20"/>
          <w:szCs w:val="20"/>
        </w:rPr>
        <w:t>19</w:t>
      </w:r>
      <w:r>
        <w:rPr>
          <w:rFonts w:ascii="Arial" w:eastAsia="Arial" w:hAnsi="Arial" w:cs="Arial"/>
          <w:sz w:val="20"/>
          <w:szCs w:val="20"/>
        </w:rPr>
        <w:t xml:space="preserve"> (2021).</w:t>
      </w:r>
    </w:p>
    <w:p w14:paraId="000000AF"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23. </w:t>
      </w:r>
      <w:r>
        <w:rPr>
          <w:rFonts w:ascii="Arial" w:eastAsia="Arial" w:hAnsi="Arial" w:cs="Arial"/>
          <w:sz w:val="20"/>
          <w:szCs w:val="20"/>
        </w:rPr>
        <w:tab/>
        <w:t xml:space="preserve">J. Lee, D. Phillips, J. Wilkens, Gateway to Global Aging Data: Resources for Cross-National Comparisons of Family, Social Environment, and Healthy Aging. </w:t>
      </w:r>
      <w:r>
        <w:rPr>
          <w:rFonts w:ascii="Arial" w:eastAsia="Arial" w:hAnsi="Arial" w:cs="Arial"/>
          <w:i/>
          <w:sz w:val="20"/>
          <w:szCs w:val="20"/>
        </w:rPr>
        <w:t xml:space="preserve">Journals </w:t>
      </w:r>
      <w:proofErr w:type="spellStart"/>
      <w:r>
        <w:rPr>
          <w:rFonts w:ascii="Arial" w:eastAsia="Arial" w:hAnsi="Arial" w:cs="Arial"/>
          <w:i/>
          <w:sz w:val="20"/>
          <w:szCs w:val="20"/>
        </w:rPr>
        <w:t>Gerontol</w:t>
      </w:r>
      <w:proofErr w:type="spellEnd"/>
      <w:r>
        <w:rPr>
          <w:rFonts w:ascii="Arial" w:eastAsia="Arial" w:hAnsi="Arial" w:cs="Arial"/>
          <w:i/>
          <w:sz w:val="20"/>
          <w:szCs w:val="20"/>
        </w:rPr>
        <w:t>. Ser. B Psychol. Sci. Soc. Sci.</w:t>
      </w:r>
      <w:r>
        <w:rPr>
          <w:rFonts w:ascii="Arial" w:eastAsia="Arial" w:hAnsi="Arial" w:cs="Arial"/>
          <w:sz w:val="20"/>
          <w:szCs w:val="20"/>
        </w:rPr>
        <w:t xml:space="preserve"> </w:t>
      </w:r>
      <w:r>
        <w:rPr>
          <w:rFonts w:ascii="Arial" w:eastAsia="Arial" w:hAnsi="Arial" w:cs="Arial"/>
          <w:b/>
          <w:sz w:val="20"/>
          <w:szCs w:val="20"/>
        </w:rPr>
        <w:t>76</w:t>
      </w:r>
      <w:r>
        <w:rPr>
          <w:rFonts w:ascii="Arial" w:eastAsia="Arial" w:hAnsi="Arial" w:cs="Arial"/>
          <w:sz w:val="20"/>
          <w:szCs w:val="20"/>
        </w:rPr>
        <w:t>, S5 (2021).</w:t>
      </w:r>
    </w:p>
    <w:p w14:paraId="000000B0"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24. </w:t>
      </w:r>
      <w:r>
        <w:rPr>
          <w:rFonts w:ascii="Arial" w:eastAsia="Arial" w:hAnsi="Arial" w:cs="Arial"/>
          <w:sz w:val="20"/>
          <w:szCs w:val="20"/>
        </w:rPr>
        <w:tab/>
      </w:r>
      <w:proofErr w:type="gramStart"/>
      <w:r>
        <w:rPr>
          <w:rFonts w:ascii="Arial" w:eastAsia="Arial" w:hAnsi="Arial" w:cs="Arial"/>
          <w:sz w:val="20"/>
          <w:szCs w:val="20"/>
        </w:rPr>
        <w:t>D. .</w:t>
      </w:r>
      <w:proofErr w:type="gramEnd"/>
      <w:r>
        <w:rPr>
          <w:rFonts w:ascii="Arial" w:eastAsia="Arial" w:hAnsi="Arial" w:cs="Arial"/>
          <w:sz w:val="20"/>
          <w:szCs w:val="20"/>
        </w:rPr>
        <w:t xml:space="preserve"> Sullivan, A single index of mortality and morbidity. </w:t>
      </w:r>
      <w:r>
        <w:rPr>
          <w:rFonts w:ascii="Arial" w:eastAsia="Arial" w:hAnsi="Arial" w:cs="Arial"/>
          <w:i/>
          <w:sz w:val="20"/>
          <w:szCs w:val="20"/>
        </w:rPr>
        <w:t>HSMHA Health Rep.</w:t>
      </w:r>
      <w:r>
        <w:rPr>
          <w:rFonts w:ascii="Arial" w:eastAsia="Arial" w:hAnsi="Arial" w:cs="Arial"/>
          <w:sz w:val="20"/>
          <w:szCs w:val="20"/>
        </w:rPr>
        <w:t xml:space="preserve"> </w:t>
      </w:r>
      <w:r>
        <w:rPr>
          <w:rFonts w:ascii="Arial" w:eastAsia="Arial" w:hAnsi="Arial" w:cs="Arial"/>
          <w:b/>
          <w:sz w:val="20"/>
          <w:szCs w:val="20"/>
        </w:rPr>
        <w:t>86</w:t>
      </w:r>
      <w:r>
        <w:rPr>
          <w:rFonts w:ascii="Arial" w:eastAsia="Arial" w:hAnsi="Arial" w:cs="Arial"/>
          <w:sz w:val="20"/>
          <w:szCs w:val="20"/>
        </w:rPr>
        <w:t>, 347–54 (1971).</w:t>
      </w:r>
    </w:p>
    <w:p w14:paraId="000000B1"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25. </w:t>
      </w:r>
      <w:r>
        <w:rPr>
          <w:rFonts w:ascii="Arial" w:eastAsia="Arial" w:hAnsi="Arial" w:cs="Arial"/>
          <w:sz w:val="20"/>
          <w:szCs w:val="20"/>
        </w:rPr>
        <w:tab/>
        <w:t xml:space="preserve">Y. Saito, J. M. </w:t>
      </w:r>
      <w:proofErr w:type="spellStart"/>
      <w:r>
        <w:rPr>
          <w:rFonts w:ascii="Arial" w:eastAsia="Arial" w:hAnsi="Arial" w:cs="Arial"/>
          <w:sz w:val="20"/>
          <w:szCs w:val="20"/>
        </w:rPr>
        <w:t>Robine</w:t>
      </w:r>
      <w:proofErr w:type="spellEnd"/>
      <w:r>
        <w:rPr>
          <w:rFonts w:ascii="Arial" w:eastAsia="Arial" w:hAnsi="Arial" w:cs="Arial"/>
          <w:sz w:val="20"/>
          <w:szCs w:val="20"/>
        </w:rPr>
        <w:t xml:space="preserve">, E. M. Crimmins, The methods and materials of health expectancy. </w:t>
      </w:r>
      <w:r>
        <w:rPr>
          <w:rFonts w:ascii="Arial" w:eastAsia="Arial" w:hAnsi="Arial" w:cs="Arial"/>
          <w:i/>
          <w:sz w:val="20"/>
          <w:szCs w:val="20"/>
        </w:rPr>
        <w:t>Stat. J. IAOS</w:t>
      </w:r>
      <w:r>
        <w:rPr>
          <w:rFonts w:ascii="Arial" w:eastAsia="Arial" w:hAnsi="Arial" w:cs="Arial"/>
          <w:sz w:val="20"/>
          <w:szCs w:val="20"/>
        </w:rPr>
        <w:t xml:space="preserve"> </w:t>
      </w:r>
      <w:r>
        <w:rPr>
          <w:rFonts w:ascii="Arial" w:eastAsia="Arial" w:hAnsi="Arial" w:cs="Arial"/>
          <w:b/>
          <w:sz w:val="20"/>
          <w:szCs w:val="20"/>
        </w:rPr>
        <w:t>30</w:t>
      </w:r>
      <w:r>
        <w:rPr>
          <w:rFonts w:ascii="Arial" w:eastAsia="Arial" w:hAnsi="Arial" w:cs="Arial"/>
          <w:sz w:val="20"/>
          <w:szCs w:val="20"/>
        </w:rPr>
        <w:t>, 209–223 (2014).</w:t>
      </w:r>
    </w:p>
    <w:p w14:paraId="000000B2"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26. </w:t>
      </w:r>
      <w:r>
        <w:rPr>
          <w:rFonts w:ascii="Arial" w:eastAsia="Arial" w:hAnsi="Arial" w:cs="Arial"/>
          <w:sz w:val="20"/>
          <w:szCs w:val="20"/>
        </w:rPr>
        <w:tab/>
        <w:t xml:space="preserve">E. M. Crimmins, Y. Zhang, Y. Saito, Trends Over 4 Decades in Disability-Free Life Expectancy in the United States. </w:t>
      </w:r>
      <w:r>
        <w:rPr>
          <w:rFonts w:ascii="Arial" w:eastAsia="Arial" w:hAnsi="Arial" w:cs="Arial"/>
          <w:b/>
          <w:sz w:val="20"/>
          <w:szCs w:val="20"/>
        </w:rPr>
        <w:t>106</w:t>
      </w:r>
      <w:r>
        <w:rPr>
          <w:rFonts w:ascii="Arial" w:eastAsia="Arial" w:hAnsi="Arial" w:cs="Arial"/>
          <w:sz w:val="20"/>
          <w:szCs w:val="20"/>
        </w:rPr>
        <w:t>, 1287–1293 (2016).</w:t>
      </w:r>
    </w:p>
    <w:p w14:paraId="000000B3"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27. </w:t>
      </w:r>
      <w:r>
        <w:rPr>
          <w:rFonts w:ascii="Arial" w:eastAsia="Arial" w:hAnsi="Arial" w:cs="Arial"/>
          <w:sz w:val="20"/>
          <w:szCs w:val="20"/>
        </w:rPr>
        <w:tab/>
        <w:t xml:space="preserve">S. Horiuchi, J. R. Wilmoth, S. D. Pletcher, A decomposition method based on a model of continuous change.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45</w:t>
      </w:r>
      <w:r>
        <w:rPr>
          <w:rFonts w:ascii="Arial" w:eastAsia="Arial" w:hAnsi="Arial" w:cs="Arial"/>
          <w:sz w:val="20"/>
          <w:szCs w:val="20"/>
        </w:rPr>
        <w:t>, 785–801 (2008).</w:t>
      </w:r>
    </w:p>
    <w:p w14:paraId="000000B4"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28. </w:t>
      </w:r>
      <w:r>
        <w:rPr>
          <w:rFonts w:ascii="Arial" w:eastAsia="Arial" w:hAnsi="Arial" w:cs="Arial"/>
          <w:sz w:val="20"/>
          <w:szCs w:val="20"/>
        </w:rPr>
        <w:tab/>
        <w:t>T. Riffe, Package “</w:t>
      </w:r>
      <w:proofErr w:type="spellStart"/>
      <w:r>
        <w:rPr>
          <w:rFonts w:ascii="Arial" w:eastAsia="Arial" w:hAnsi="Arial" w:cs="Arial"/>
          <w:sz w:val="20"/>
          <w:szCs w:val="20"/>
        </w:rPr>
        <w:t>DemoDecomp</w:t>
      </w:r>
      <w:proofErr w:type="spellEnd"/>
      <w:r>
        <w:rPr>
          <w:rFonts w:ascii="Arial" w:eastAsia="Arial" w:hAnsi="Arial" w:cs="Arial"/>
          <w:sz w:val="20"/>
          <w:szCs w:val="20"/>
        </w:rPr>
        <w:t>” Type Package Title Decompose Demographic Functions (2018) https:/doi.org/10.1353/dem.0.0033 (October 15, 2019).</w:t>
      </w:r>
    </w:p>
    <w:p w14:paraId="000000B5"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29. </w:t>
      </w:r>
      <w:r>
        <w:rPr>
          <w:rFonts w:ascii="Arial" w:eastAsia="Arial" w:hAnsi="Arial" w:cs="Arial"/>
          <w:sz w:val="20"/>
          <w:szCs w:val="20"/>
        </w:rPr>
        <w:tab/>
        <w:t>A. A. van Raalte, M. R. Nepomuceno, “Decomposing Gaps in Healthy Life Expectancy” in (2020), pp. 107–122.</w:t>
      </w:r>
    </w:p>
    <w:p w14:paraId="000000B6"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30. </w:t>
      </w:r>
      <w:r>
        <w:rPr>
          <w:rFonts w:ascii="Arial" w:eastAsia="Arial" w:hAnsi="Arial" w:cs="Arial"/>
          <w:sz w:val="20"/>
          <w:szCs w:val="20"/>
        </w:rPr>
        <w:tab/>
        <w:t xml:space="preserve">J. Dahlin, J. </w:t>
      </w:r>
      <w:proofErr w:type="spellStart"/>
      <w:r>
        <w:rPr>
          <w:rFonts w:ascii="Arial" w:eastAsia="Arial" w:hAnsi="Arial" w:cs="Arial"/>
          <w:sz w:val="20"/>
          <w:szCs w:val="20"/>
        </w:rPr>
        <w:t>Härkönen</w:t>
      </w:r>
      <w:proofErr w:type="spellEnd"/>
      <w:r>
        <w:rPr>
          <w:rFonts w:ascii="Arial" w:eastAsia="Arial" w:hAnsi="Arial" w:cs="Arial"/>
          <w:sz w:val="20"/>
          <w:szCs w:val="20"/>
        </w:rPr>
        <w:t xml:space="preserve">, Cross-national differences in the gender gap in subjective health in Europe: Does country-level gender equality matter? </w:t>
      </w:r>
      <w:r>
        <w:rPr>
          <w:rFonts w:ascii="Arial" w:eastAsia="Arial" w:hAnsi="Arial" w:cs="Arial"/>
          <w:i/>
          <w:sz w:val="20"/>
          <w:szCs w:val="20"/>
        </w:rPr>
        <w:t>Soc. Sci. Med.</w:t>
      </w:r>
      <w:r>
        <w:rPr>
          <w:rFonts w:ascii="Arial" w:eastAsia="Arial" w:hAnsi="Arial" w:cs="Arial"/>
          <w:sz w:val="20"/>
          <w:szCs w:val="20"/>
        </w:rPr>
        <w:t xml:space="preserve"> </w:t>
      </w:r>
      <w:r>
        <w:rPr>
          <w:rFonts w:ascii="Arial" w:eastAsia="Arial" w:hAnsi="Arial" w:cs="Arial"/>
          <w:b/>
          <w:sz w:val="20"/>
          <w:szCs w:val="20"/>
        </w:rPr>
        <w:t>98</w:t>
      </w:r>
      <w:r>
        <w:rPr>
          <w:rFonts w:ascii="Arial" w:eastAsia="Arial" w:hAnsi="Arial" w:cs="Arial"/>
          <w:sz w:val="20"/>
          <w:szCs w:val="20"/>
        </w:rPr>
        <w:t>, 24–28 (2013).</w:t>
      </w:r>
    </w:p>
    <w:p w14:paraId="000000B7"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31. </w:t>
      </w:r>
      <w:r>
        <w:rPr>
          <w:rFonts w:ascii="Arial" w:eastAsia="Arial" w:hAnsi="Arial" w:cs="Arial"/>
          <w:sz w:val="20"/>
          <w:szCs w:val="20"/>
        </w:rPr>
        <w:tab/>
        <w:t xml:space="preserve">J. </w:t>
      </w:r>
      <w:proofErr w:type="spellStart"/>
      <w:r>
        <w:rPr>
          <w:rFonts w:ascii="Arial" w:eastAsia="Arial" w:hAnsi="Arial" w:cs="Arial"/>
          <w:sz w:val="20"/>
          <w:szCs w:val="20"/>
        </w:rPr>
        <w:t>Ailshire</w:t>
      </w:r>
      <w:proofErr w:type="spellEnd"/>
      <w:r>
        <w:rPr>
          <w:rFonts w:ascii="Arial" w:eastAsia="Arial" w:hAnsi="Arial" w:cs="Arial"/>
          <w:sz w:val="20"/>
          <w:szCs w:val="20"/>
        </w:rPr>
        <w:t xml:space="preserve">, D. </w:t>
      </w:r>
      <w:proofErr w:type="spellStart"/>
      <w:r>
        <w:rPr>
          <w:rFonts w:ascii="Arial" w:eastAsia="Arial" w:hAnsi="Arial" w:cs="Arial"/>
          <w:sz w:val="20"/>
          <w:szCs w:val="20"/>
        </w:rPr>
        <w:t>Carr</w:t>
      </w:r>
      <w:proofErr w:type="spellEnd"/>
      <w:r>
        <w:rPr>
          <w:rFonts w:ascii="Arial" w:eastAsia="Arial" w:hAnsi="Arial" w:cs="Arial"/>
          <w:sz w:val="20"/>
          <w:szCs w:val="20"/>
        </w:rPr>
        <w:t xml:space="preserve">, Cross-National Comparisons of Social and Economic Contexts of Aging. </w:t>
      </w:r>
      <w:r>
        <w:rPr>
          <w:rFonts w:ascii="Arial" w:eastAsia="Arial" w:hAnsi="Arial" w:cs="Arial"/>
          <w:i/>
          <w:sz w:val="20"/>
          <w:szCs w:val="20"/>
        </w:rPr>
        <w:t xml:space="preserve">Journals </w:t>
      </w:r>
      <w:proofErr w:type="spellStart"/>
      <w:r>
        <w:rPr>
          <w:rFonts w:ascii="Arial" w:eastAsia="Arial" w:hAnsi="Arial" w:cs="Arial"/>
          <w:i/>
          <w:sz w:val="20"/>
          <w:szCs w:val="20"/>
        </w:rPr>
        <w:t>Gerontol</w:t>
      </w:r>
      <w:proofErr w:type="spellEnd"/>
      <w:r>
        <w:rPr>
          <w:rFonts w:ascii="Arial" w:eastAsia="Arial" w:hAnsi="Arial" w:cs="Arial"/>
          <w:i/>
          <w:sz w:val="20"/>
          <w:szCs w:val="20"/>
        </w:rPr>
        <w:t>. Ser. B</w:t>
      </w:r>
      <w:r>
        <w:rPr>
          <w:rFonts w:ascii="Arial" w:eastAsia="Arial" w:hAnsi="Arial" w:cs="Arial"/>
          <w:sz w:val="20"/>
          <w:szCs w:val="20"/>
        </w:rPr>
        <w:t xml:space="preserve"> </w:t>
      </w:r>
      <w:r>
        <w:rPr>
          <w:rFonts w:ascii="Arial" w:eastAsia="Arial" w:hAnsi="Arial" w:cs="Arial"/>
          <w:b/>
          <w:sz w:val="20"/>
          <w:szCs w:val="20"/>
        </w:rPr>
        <w:t>76</w:t>
      </w:r>
      <w:r>
        <w:rPr>
          <w:rFonts w:ascii="Arial" w:eastAsia="Arial" w:hAnsi="Arial" w:cs="Arial"/>
          <w:sz w:val="20"/>
          <w:szCs w:val="20"/>
        </w:rPr>
        <w:t>, S1–S4 (2021).</w:t>
      </w:r>
    </w:p>
    <w:p w14:paraId="000000B8"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32. </w:t>
      </w:r>
      <w:r>
        <w:rPr>
          <w:rFonts w:ascii="Arial" w:eastAsia="Arial" w:hAnsi="Arial" w:cs="Arial"/>
          <w:sz w:val="20"/>
          <w:szCs w:val="20"/>
        </w:rPr>
        <w:tab/>
        <w:t xml:space="preserve">P. Gardner, K. </w:t>
      </w:r>
      <w:proofErr w:type="spellStart"/>
      <w:r>
        <w:rPr>
          <w:rFonts w:ascii="Arial" w:eastAsia="Arial" w:hAnsi="Arial" w:cs="Arial"/>
          <w:sz w:val="20"/>
          <w:szCs w:val="20"/>
        </w:rPr>
        <w:t>Katagiri</w:t>
      </w:r>
      <w:proofErr w:type="spellEnd"/>
      <w:r>
        <w:rPr>
          <w:rFonts w:ascii="Arial" w:eastAsia="Arial" w:hAnsi="Arial" w:cs="Arial"/>
          <w:sz w:val="20"/>
          <w:szCs w:val="20"/>
        </w:rPr>
        <w:t xml:space="preserve">, J. Parsons, J. Lee, R. </w:t>
      </w:r>
      <w:proofErr w:type="spellStart"/>
      <w:r>
        <w:rPr>
          <w:rFonts w:ascii="Arial" w:eastAsia="Arial" w:hAnsi="Arial" w:cs="Arial"/>
          <w:sz w:val="20"/>
          <w:szCs w:val="20"/>
        </w:rPr>
        <w:t>Thevannoor</w:t>
      </w:r>
      <w:proofErr w:type="spellEnd"/>
      <w:r>
        <w:rPr>
          <w:rFonts w:ascii="Arial" w:eastAsia="Arial" w:hAnsi="Arial" w:cs="Arial"/>
          <w:sz w:val="20"/>
          <w:szCs w:val="20"/>
        </w:rPr>
        <w:t xml:space="preserve">, “Not for the fainthearted”: Engaging in cross-national comparative research. </w:t>
      </w:r>
      <w:r>
        <w:rPr>
          <w:rFonts w:ascii="Arial" w:eastAsia="Arial" w:hAnsi="Arial" w:cs="Arial"/>
          <w:i/>
          <w:sz w:val="20"/>
          <w:szCs w:val="20"/>
        </w:rPr>
        <w:t>J. Aging Stud.</w:t>
      </w:r>
      <w:r>
        <w:rPr>
          <w:rFonts w:ascii="Arial" w:eastAsia="Arial" w:hAnsi="Arial" w:cs="Arial"/>
          <w:sz w:val="20"/>
          <w:szCs w:val="20"/>
        </w:rPr>
        <w:t xml:space="preserve"> </w:t>
      </w:r>
      <w:r>
        <w:rPr>
          <w:rFonts w:ascii="Arial" w:eastAsia="Arial" w:hAnsi="Arial" w:cs="Arial"/>
          <w:b/>
          <w:sz w:val="20"/>
          <w:szCs w:val="20"/>
        </w:rPr>
        <w:t>26</w:t>
      </w:r>
      <w:r>
        <w:rPr>
          <w:rFonts w:ascii="Arial" w:eastAsia="Arial" w:hAnsi="Arial" w:cs="Arial"/>
          <w:sz w:val="20"/>
          <w:szCs w:val="20"/>
        </w:rPr>
        <w:t>, 253–261 (2012).</w:t>
      </w:r>
    </w:p>
    <w:p w14:paraId="000000B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33. </w:t>
      </w:r>
      <w:r>
        <w:rPr>
          <w:rFonts w:ascii="Arial" w:eastAsia="Arial" w:hAnsi="Arial" w:cs="Arial"/>
          <w:sz w:val="20"/>
          <w:szCs w:val="20"/>
        </w:rPr>
        <w:tab/>
        <w:t xml:space="preserve">J. L. Angel, W. Vega, M. López-Ortega, R. </w:t>
      </w:r>
      <w:proofErr w:type="spellStart"/>
      <w:r>
        <w:rPr>
          <w:rFonts w:ascii="Arial" w:eastAsia="Arial" w:hAnsi="Arial" w:cs="Arial"/>
          <w:sz w:val="20"/>
          <w:szCs w:val="20"/>
        </w:rPr>
        <w:t>Pruchno</w:t>
      </w:r>
      <w:proofErr w:type="spellEnd"/>
      <w:r>
        <w:rPr>
          <w:rFonts w:ascii="Arial" w:eastAsia="Arial" w:hAnsi="Arial" w:cs="Arial"/>
          <w:sz w:val="20"/>
          <w:szCs w:val="20"/>
        </w:rPr>
        <w:t xml:space="preserve">, Aging in Mexico: Population trends and emerging issues. </w:t>
      </w:r>
      <w:r>
        <w:rPr>
          <w:rFonts w:ascii="Arial" w:eastAsia="Arial" w:hAnsi="Arial" w:cs="Arial"/>
          <w:i/>
          <w:sz w:val="20"/>
          <w:szCs w:val="20"/>
        </w:rPr>
        <w:t>Gerontologist</w:t>
      </w:r>
      <w:r>
        <w:rPr>
          <w:rFonts w:ascii="Arial" w:eastAsia="Arial" w:hAnsi="Arial" w:cs="Arial"/>
          <w:sz w:val="20"/>
          <w:szCs w:val="20"/>
        </w:rPr>
        <w:t xml:space="preserve"> </w:t>
      </w:r>
      <w:r>
        <w:rPr>
          <w:rFonts w:ascii="Arial" w:eastAsia="Arial" w:hAnsi="Arial" w:cs="Arial"/>
          <w:b/>
          <w:sz w:val="20"/>
          <w:szCs w:val="20"/>
        </w:rPr>
        <w:t>57</w:t>
      </w:r>
      <w:r>
        <w:rPr>
          <w:rFonts w:ascii="Arial" w:eastAsia="Arial" w:hAnsi="Arial" w:cs="Arial"/>
          <w:sz w:val="20"/>
          <w:szCs w:val="20"/>
        </w:rPr>
        <w:t>, 153–162 (2017).</w:t>
      </w:r>
    </w:p>
    <w:p w14:paraId="000000B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34. </w:t>
      </w:r>
      <w:r>
        <w:rPr>
          <w:rFonts w:ascii="Arial" w:eastAsia="Arial" w:hAnsi="Arial" w:cs="Arial"/>
          <w:sz w:val="20"/>
          <w:szCs w:val="20"/>
        </w:rPr>
        <w:tab/>
        <w:t xml:space="preserve">R. Pelletier, </w:t>
      </w:r>
      <w:r>
        <w:rPr>
          <w:rFonts w:ascii="Arial" w:eastAsia="Arial" w:hAnsi="Arial" w:cs="Arial"/>
          <w:i/>
          <w:sz w:val="20"/>
          <w:szCs w:val="20"/>
        </w:rPr>
        <w:t>et al.</w:t>
      </w:r>
      <w:r>
        <w:rPr>
          <w:rFonts w:ascii="Arial" w:eastAsia="Arial" w:hAnsi="Arial" w:cs="Arial"/>
          <w:sz w:val="20"/>
          <w:szCs w:val="20"/>
        </w:rPr>
        <w:t xml:space="preserve">, Sex Versus Gender-Related Characteristics Which Predicts Outcome after Acute Coronary Syndrome in the Young? </w:t>
      </w:r>
      <w:r>
        <w:rPr>
          <w:rFonts w:ascii="Arial" w:eastAsia="Arial" w:hAnsi="Arial" w:cs="Arial"/>
          <w:i/>
          <w:sz w:val="20"/>
          <w:szCs w:val="20"/>
        </w:rPr>
        <w:t xml:space="preserve">J. Am. Coll. </w:t>
      </w:r>
      <w:proofErr w:type="spellStart"/>
      <w:r>
        <w:rPr>
          <w:rFonts w:ascii="Arial" w:eastAsia="Arial" w:hAnsi="Arial" w:cs="Arial"/>
          <w:i/>
          <w:sz w:val="20"/>
          <w:szCs w:val="20"/>
        </w:rPr>
        <w:t>Cardiol</w:t>
      </w:r>
      <w:proofErr w:type="spellEnd"/>
      <w:r>
        <w:rPr>
          <w:rFonts w:ascii="Arial" w:eastAsia="Arial" w:hAnsi="Arial" w:cs="Arial"/>
          <w:i/>
          <w:sz w:val="20"/>
          <w:szCs w:val="20"/>
        </w:rPr>
        <w:t>.</w:t>
      </w:r>
      <w:r>
        <w:rPr>
          <w:rFonts w:ascii="Arial" w:eastAsia="Arial" w:hAnsi="Arial" w:cs="Arial"/>
          <w:sz w:val="20"/>
          <w:szCs w:val="20"/>
        </w:rPr>
        <w:t xml:space="preserve"> </w:t>
      </w:r>
      <w:r>
        <w:rPr>
          <w:rFonts w:ascii="Arial" w:eastAsia="Arial" w:hAnsi="Arial" w:cs="Arial"/>
          <w:b/>
          <w:sz w:val="20"/>
          <w:szCs w:val="20"/>
        </w:rPr>
        <w:t>67</w:t>
      </w:r>
      <w:r>
        <w:rPr>
          <w:rFonts w:ascii="Arial" w:eastAsia="Arial" w:hAnsi="Arial" w:cs="Arial"/>
          <w:sz w:val="20"/>
          <w:szCs w:val="20"/>
        </w:rPr>
        <w:t>, 127–135 (2016).</w:t>
      </w:r>
    </w:p>
    <w:p w14:paraId="000000B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35. </w:t>
      </w:r>
      <w:r>
        <w:rPr>
          <w:rFonts w:ascii="Arial" w:eastAsia="Arial" w:hAnsi="Arial" w:cs="Arial"/>
          <w:sz w:val="20"/>
          <w:szCs w:val="20"/>
        </w:rPr>
        <w:tab/>
        <w:t xml:space="preserve">R. D. Edwards, S. </w:t>
      </w:r>
      <w:proofErr w:type="spellStart"/>
      <w:r>
        <w:rPr>
          <w:rFonts w:ascii="Arial" w:eastAsia="Arial" w:hAnsi="Arial" w:cs="Arial"/>
          <w:sz w:val="20"/>
          <w:szCs w:val="20"/>
        </w:rPr>
        <w:t>Tuljapurkar</w:t>
      </w:r>
      <w:proofErr w:type="spellEnd"/>
      <w:r>
        <w:rPr>
          <w:rFonts w:ascii="Arial" w:eastAsia="Arial" w:hAnsi="Arial" w:cs="Arial"/>
          <w:sz w:val="20"/>
          <w:szCs w:val="20"/>
        </w:rPr>
        <w:t xml:space="preserve">, Inequality in Life Spans and Mortality Convergence Across Industrialized Countries. </w:t>
      </w:r>
      <w:proofErr w:type="spellStart"/>
      <w:r>
        <w:rPr>
          <w:rFonts w:ascii="Arial" w:eastAsia="Arial" w:hAnsi="Arial" w:cs="Arial"/>
          <w:i/>
          <w:sz w:val="20"/>
          <w:szCs w:val="20"/>
        </w:rPr>
        <w:t>Popul</w:t>
      </w:r>
      <w:proofErr w:type="spellEnd"/>
      <w:r>
        <w:rPr>
          <w:rFonts w:ascii="Arial" w:eastAsia="Arial" w:hAnsi="Arial" w:cs="Arial"/>
          <w:i/>
          <w:sz w:val="20"/>
          <w:szCs w:val="20"/>
        </w:rPr>
        <w:t>. Dev. Rev.</w:t>
      </w:r>
      <w:r>
        <w:rPr>
          <w:rFonts w:ascii="Arial" w:eastAsia="Arial" w:hAnsi="Arial" w:cs="Arial"/>
          <w:sz w:val="20"/>
          <w:szCs w:val="20"/>
        </w:rPr>
        <w:t xml:space="preserve"> </w:t>
      </w:r>
      <w:r>
        <w:rPr>
          <w:rFonts w:ascii="Arial" w:eastAsia="Arial" w:hAnsi="Arial" w:cs="Arial"/>
          <w:b/>
          <w:sz w:val="20"/>
          <w:szCs w:val="20"/>
        </w:rPr>
        <w:t>31</w:t>
      </w:r>
      <w:r>
        <w:rPr>
          <w:rFonts w:ascii="Arial" w:eastAsia="Arial" w:hAnsi="Arial" w:cs="Arial"/>
          <w:sz w:val="20"/>
          <w:szCs w:val="20"/>
        </w:rPr>
        <w:t>, 1–36 (2005).</w:t>
      </w:r>
    </w:p>
    <w:p w14:paraId="000000B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lastRenderedPageBreak/>
        <w:t xml:space="preserve">36. </w:t>
      </w:r>
      <w:r>
        <w:rPr>
          <w:rFonts w:ascii="Arial" w:eastAsia="Arial" w:hAnsi="Arial" w:cs="Arial"/>
          <w:sz w:val="20"/>
          <w:szCs w:val="20"/>
        </w:rPr>
        <w:tab/>
        <w:t xml:space="preserve">I. </w:t>
      </w:r>
      <w:proofErr w:type="spellStart"/>
      <w:r>
        <w:rPr>
          <w:rFonts w:ascii="Arial" w:eastAsia="Arial" w:hAnsi="Arial" w:cs="Arial"/>
          <w:sz w:val="20"/>
          <w:szCs w:val="20"/>
        </w:rPr>
        <w:t>Permanyer</w:t>
      </w:r>
      <w:proofErr w:type="spellEnd"/>
      <w:r>
        <w:rPr>
          <w:rFonts w:ascii="Arial" w:eastAsia="Arial" w:hAnsi="Arial" w:cs="Arial"/>
          <w:sz w:val="20"/>
          <w:szCs w:val="20"/>
        </w:rPr>
        <w:t xml:space="preserve">, J. </w:t>
      </w:r>
      <w:proofErr w:type="spellStart"/>
      <w:r>
        <w:rPr>
          <w:rFonts w:ascii="Arial" w:eastAsia="Arial" w:hAnsi="Arial" w:cs="Arial"/>
          <w:sz w:val="20"/>
          <w:szCs w:val="20"/>
        </w:rPr>
        <w:t>Spijker</w:t>
      </w:r>
      <w:proofErr w:type="spellEnd"/>
      <w:r>
        <w:rPr>
          <w:rFonts w:ascii="Arial" w:eastAsia="Arial" w:hAnsi="Arial" w:cs="Arial"/>
          <w:sz w:val="20"/>
          <w:szCs w:val="20"/>
        </w:rPr>
        <w:t xml:space="preserve">, A. Blanes, E. Renteria, Longevity and Lifespan Variation by Educational Attainment in Spain: 1960–2015. </w:t>
      </w:r>
      <w:r>
        <w:rPr>
          <w:rFonts w:ascii="Arial" w:eastAsia="Arial" w:hAnsi="Arial" w:cs="Arial"/>
          <w:i/>
          <w:sz w:val="20"/>
          <w:szCs w:val="20"/>
        </w:rPr>
        <w:t>Demography</w:t>
      </w:r>
      <w:r>
        <w:rPr>
          <w:rFonts w:ascii="Arial" w:eastAsia="Arial" w:hAnsi="Arial" w:cs="Arial"/>
          <w:sz w:val="20"/>
          <w:szCs w:val="20"/>
        </w:rPr>
        <w:t xml:space="preserve"> (2018) https:/doi.org/10.1007/s13524-018-0718-z.</w:t>
      </w:r>
    </w:p>
    <w:p w14:paraId="000000B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37. </w:t>
      </w:r>
      <w:r>
        <w:rPr>
          <w:rFonts w:ascii="Arial" w:eastAsia="Arial" w:hAnsi="Arial" w:cs="Arial"/>
          <w:sz w:val="20"/>
          <w:szCs w:val="20"/>
        </w:rPr>
        <w:tab/>
        <w:t xml:space="preserve">C. E. Ross, R. K. Masters, R. A. Hummer, Education and the Gender Gaps in Health and Mortality.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49</w:t>
      </w:r>
      <w:r>
        <w:rPr>
          <w:rFonts w:ascii="Arial" w:eastAsia="Arial" w:hAnsi="Arial" w:cs="Arial"/>
          <w:sz w:val="20"/>
          <w:szCs w:val="20"/>
        </w:rPr>
        <w:t>, 1157–1183 (2012).</w:t>
      </w:r>
    </w:p>
    <w:p w14:paraId="000000B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38. </w:t>
      </w:r>
      <w:r>
        <w:rPr>
          <w:rFonts w:ascii="Arial" w:eastAsia="Arial" w:hAnsi="Arial" w:cs="Arial"/>
          <w:sz w:val="20"/>
          <w:szCs w:val="20"/>
        </w:rPr>
        <w:tab/>
        <w:t xml:space="preserve">H. </w:t>
      </w:r>
      <w:proofErr w:type="spellStart"/>
      <w:r>
        <w:rPr>
          <w:rFonts w:ascii="Arial" w:eastAsia="Arial" w:hAnsi="Arial" w:cs="Arial"/>
          <w:sz w:val="20"/>
          <w:szCs w:val="20"/>
        </w:rPr>
        <w:t>Tolonen</w:t>
      </w:r>
      <w:proofErr w:type="spellEnd"/>
      <w:r>
        <w:rPr>
          <w:rFonts w:ascii="Arial" w:eastAsia="Arial" w:hAnsi="Arial" w:cs="Arial"/>
          <w:sz w:val="20"/>
          <w:szCs w:val="20"/>
        </w:rPr>
        <w:t xml:space="preserve">, </w:t>
      </w:r>
      <w:r>
        <w:rPr>
          <w:rFonts w:ascii="Arial" w:eastAsia="Arial" w:hAnsi="Arial" w:cs="Arial"/>
          <w:i/>
          <w:sz w:val="20"/>
          <w:szCs w:val="20"/>
        </w:rPr>
        <w:t>et al.</w:t>
      </w:r>
      <w:r>
        <w:rPr>
          <w:rFonts w:ascii="Arial" w:eastAsia="Arial" w:hAnsi="Arial" w:cs="Arial"/>
          <w:sz w:val="20"/>
          <w:szCs w:val="20"/>
        </w:rPr>
        <w:t xml:space="preserve">, Cross-national comparisons of health indicators require standardized definitions and common data sources. </w:t>
      </w:r>
      <w:r>
        <w:rPr>
          <w:rFonts w:ascii="Arial" w:eastAsia="Arial" w:hAnsi="Arial" w:cs="Arial"/>
          <w:i/>
          <w:sz w:val="20"/>
          <w:szCs w:val="20"/>
        </w:rPr>
        <w:t>Arch. Public Heal. 2021 791</w:t>
      </w:r>
      <w:r>
        <w:rPr>
          <w:rFonts w:ascii="Arial" w:eastAsia="Arial" w:hAnsi="Arial" w:cs="Arial"/>
          <w:sz w:val="20"/>
          <w:szCs w:val="20"/>
        </w:rPr>
        <w:t xml:space="preserve"> </w:t>
      </w:r>
      <w:r>
        <w:rPr>
          <w:rFonts w:ascii="Arial" w:eastAsia="Arial" w:hAnsi="Arial" w:cs="Arial"/>
          <w:b/>
          <w:sz w:val="20"/>
          <w:szCs w:val="20"/>
        </w:rPr>
        <w:t>79</w:t>
      </w:r>
      <w:r>
        <w:rPr>
          <w:rFonts w:ascii="Arial" w:eastAsia="Arial" w:hAnsi="Arial" w:cs="Arial"/>
          <w:sz w:val="20"/>
          <w:szCs w:val="20"/>
        </w:rPr>
        <w:t>, 1–14 (2021).</w:t>
      </w:r>
    </w:p>
    <w:p w14:paraId="000000BF" w14:textId="77777777" w:rsidR="008B376E" w:rsidRDefault="008B376E">
      <w:pPr>
        <w:pBdr>
          <w:top w:val="nil"/>
          <w:left w:val="nil"/>
          <w:bottom w:val="nil"/>
          <w:right w:val="nil"/>
          <w:between w:val="nil"/>
        </w:pBdr>
        <w:rPr>
          <w:rFonts w:ascii="Arial" w:eastAsia="Arial" w:hAnsi="Arial" w:cs="Arial"/>
          <w:color w:val="000000"/>
          <w:sz w:val="20"/>
          <w:szCs w:val="20"/>
        </w:rPr>
      </w:pPr>
    </w:p>
    <w:p w14:paraId="000000C0"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1" w14:textId="77777777" w:rsidR="008B376E" w:rsidRDefault="008B376E">
      <w:pPr>
        <w:keepNext/>
        <w:pBdr>
          <w:top w:val="nil"/>
          <w:left w:val="nil"/>
          <w:bottom w:val="nil"/>
          <w:right w:val="nil"/>
          <w:between w:val="nil"/>
        </w:pBdr>
        <w:spacing w:before="240" w:after="0"/>
        <w:jc w:val="both"/>
        <w:rPr>
          <w:rFonts w:ascii="Arial" w:eastAsia="Arial" w:hAnsi="Arial" w:cs="Arial"/>
          <w:color w:val="000000"/>
          <w:sz w:val="20"/>
          <w:szCs w:val="20"/>
        </w:rPr>
      </w:pPr>
    </w:p>
    <w:p w14:paraId="000000C2" w14:textId="77777777" w:rsidR="008B376E" w:rsidRDefault="008B376E">
      <w:pPr>
        <w:keepNext/>
        <w:pBdr>
          <w:top w:val="nil"/>
          <w:left w:val="nil"/>
          <w:bottom w:val="nil"/>
          <w:right w:val="nil"/>
          <w:between w:val="nil"/>
        </w:pBdr>
        <w:spacing w:after="0"/>
        <w:jc w:val="both"/>
        <w:rPr>
          <w:rFonts w:ascii="Arial" w:eastAsia="Arial" w:hAnsi="Arial" w:cs="Arial"/>
          <w:color w:val="000000"/>
          <w:sz w:val="20"/>
          <w:szCs w:val="20"/>
        </w:rPr>
      </w:pPr>
    </w:p>
    <w:p w14:paraId="000000C3" w14:textId="77777777" w:rsidR="008B376E" w:rsidRDefault="00000000">
      <w:pPr>
        <w:keepNext/>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Figures and Tables</w:t>
      </w:r>
    </w:p>
    <w:p w14:paraId="000000C4" w14:textId="77777777" w:rsidR="008B376E" w:rsidRDefault="008B376E">
      <w:pPr>
        <w:keepNext/>
        <w:pBdr>
          <w:top w:val="nil"/>
          <w:left w:val="nil"/>
          <w:bottom w:val="nil"/>
          <w:right w:val="nil"/>
          <w:between w:val="nil"/>
        </w:pBdr>
        <w:spacing w:after="0"/>
        <w:rPr>
          <w:rFonts w:ascii="Arial" w:eastAsia="Arial" w:hAnsi="Arial" w:cs="Arial"/>
          <w:b/>
          <w:color w:val="000000"/>
          <w:sz w:val="20"/>
          <w:szCs w:val="20"/>
        </w:rPr>
      </w:pPr>
    </w:p>
    <w:p w14:paraId="000000C5" w14:textId="77777777" w:rsidR="008B376E" w:rsidRDefault="00000000">
      <w:pPr>
        <w:keepNext/>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Figure 1. </w:t>
      </w:r>
      <w:r>
        <w:rPr>
          <w:rFonts w:ascii="Arial" w:eastAsia="Arial" w:hAnsi="Arial" w:cs="Arial"/>
          <w:color w:val="000000"/>
          <w:sz w:val="20"/>
          <w:szCs w:val="20"/>
        </w:rPr>
        <w:t>Type or paste legend here.  Paste figure above the legend.</w:t>
      </w:r>
    </w:p>
    <w:p w14:paraId="000000C6"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7"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C8"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9"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A"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Figure 2. </w:t>
      </w:r>
      <w:r>
        <w:rPr>
          <w:rFonts w:ascii="Arial" w:eastAsia="Arial" w:hAnsi="Arial" w:cs="Arial"/>
          <w:color w:val="000000"/>
          <w:sz w:val="20"/>
          <w:szCs w:val="20"/>
        </w:rPr>
        <w:t>Type or paste legend here.  Paste figure above the legend.</w:t>
      </w:r>
    </w:p>
    <w:p w14:paraId="000000CB"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C"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CD"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E"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F"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Table 1. </w:t>
      </w:r>
      <w:r>
        <w:rPr>
          <w:rFonts w:ascii="Arial" w:eastAsia="Arial" w:hAnsi="Arial" w:cs="Arial"/>
          <w:color w:val="000000"/>
          <w:sz w:val="20"/>
          <w:szCs w:val="20"/>
        </w:rPr>
        <w:t>Type or paste table title here. Paste table below the title.</w:t>
      </w:r>
    </w:p>
    <w:p w14:paraId="000000D0"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1"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D2"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3"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4"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Table 2.</w:t>
      </w:r>
      <w:r>
        <w:rPr>
          <w:rFonts w:ascii="Arial" w:eastAsia="Arial" w:hAnsi="Arial" w:cs="Arial"/>
          <w:color w:val="000000"/>
          <w:sz w:val="20"/>
          <w:szCs w:val="20"/>
        </w:rPr>
        <w:t xml:space="preserve"> Type or paste table title here. Paste table below the title. </w:t>
      </w:r>
    </w:p>
    <w:p w14:paraId="000000D5" w14:textId="77777777" w:rsidR="008B376E" w:rsidRDefault="008B376E">
      <w:pPr>
        <w:keepNext/>
        <w:pBdr>
          <w:top w:val="nil"/>
          <w:left w:val="nil"/>
          <w:bottom w:val="nil"/>
          <w:right w:val="nil"/>
          <w:between w:val="nil"/>
        </w:pBdr>
        <w:spacing w:after="0"/>
        <w:rPr>
          <w:rFonts w:ascii="Arial" w:eastAsia="Arial" w:hAnsi="Arial" w:cs="Arial"/>
          <w:color w:val="000000"/>
          <w:sz w:val="20"/>
          <w:szCs w:val="20"/>
        </w:rPr>
      </w:pPr>
    </w:p>
    <w:p w14:paraId="000000D6" w14:textId="77777777" w:rsidR="008B376E" w:rsidRDefault="008B376E">
      <w:pPr>
        <w:rPr>
          <w:rFonts w:ascii="Arial" w:eastAsia="Arial" w:hAnsi="Arial" w:cs="Arial"/>
          <w:sz w:val="20"/>
          <w:szCs w:val="20"/>
        </w:rPr>
      </w:pPr>
    </w:p>
    <w:sectPr w:rsidR="008B376E">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anessa Gabrielle di Lego" w:date="2023-03-25T10:34:00Z" w:initials="">
    <w:p w14:paraId="000000DD" w14:textId="77777777" w:rsidR="008B376E" w:rsidRDefault="0000000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note to myself: add reference later</w:t>
      </w:r>
    </w:p>
  </w:comment>
  <w:comment w:id="3" w:author="Vanessa Gabrielle di Lego" w:date="2023-03-25T11:23:00Z" w:initials="">
    <w:p w14:paraId="000000DC" w14:textId="77777777" w:rsidR="008B376E" w:rsidRDefault="0000000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NOTE TO MY SELF: add here the refs and details on def. of chronic disease and disability. add table with sample size characteristics and survey description in the appendix.</w:t>
      </w:r>
    </w:p>
  </w:comment>
  <w:comment w:id="4" w:author="Vanessa Gabrielle di Lego" w:date="2023-03-25T11:21:00Z" w:initials="">
    <w:p w14:paraId="000000DB" w14:textId="77777777" w:rsidR="008B376E" w:rsidRPr="00467C07" w:rsidRDefault="00000000">
      <w:pPr>
        <w:widowControl w:val="0"/>
        <w:pBdr>
          <w:top w:val="nil"/>
          <w:left w:val="nil"/>
          <w:bottom w:val="nil"/>
          <w:right w:val="nil"/>
          <w:between w:val="nil"/>
        </w:pBdr>
        <w:spacing w:after="0"/>
        <w:rPr>
          <w:rFonts w:ascii="Arial" w:eastAsia="Arial" w:hAnsi="Arial" w:cs="Arial"/>
          <w:color w:val="000000"/>
          <w:lang w:val="pt-BR"/>
        </w:rPr>
      </w:pPr>
      <w:r w:rsidRPr="00467C07">
        <w:rPr>
          <w:rFonts w:ascii="Arial" w:eastAsia="Arial" w:hAnsi="Arial" w:cs="Arial"/>
          <w:color w:val="000000"/>
          <w:lang w:val="pt-BR"/>
        </w:rPr>
        <w:t>a formatação da equação fica desconfigurada no drive. Quando a gente concluir o artigo eu ajusto tudo na versão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D" w15:done="0"/>
  <w15:commentEx w15:paraId="000000DC" w15:done="0"/>
  <w15:commentEx w15:paraId="00000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D" w16cid:durableId="27C96B3B"/>
  <w16cid:commentId w16cid:paraId="000000DC" w16cid:durableId="27C96B3A"/>
  <w16cid:commentId w16cid:paraId="000000DB" w16cid:durableId="27C96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150D" w14:textId="77777777" w:rsidR="007849AC" w:rsidRDefault="007849AC">
      <w:pPr>
        <w:spacing w:after="0"/>
      </w:pPr>
      <w:r>
        <w:separator/>
      </w:r>
    </w:p>
  </w:endnote>
  <w:endnote w:type="continuationSeparator" w:id="0">
    <w:p w14:paraId="6F60D050" w14:textId="77777777" w:rsidR="007849AC" w:rsidRDefault="007849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782289A4" w:rsidR="008B376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67C07">
      <w:rPr>
        <w:noProof/>
        <w:color w:val="000000"/>
      </w:rPr>
      <w:t>1</w:t>
    </w:r>
    <w:r>
      <w:rPr>
        <w:color w:val="000000"/>
      </w:rPr>
      <w:fldChar w:fldCharType="end"/>
    </w:r>
  </w:p>
  <w:p w14:paraId="000000DA" w14:textId="77777777" w:rsidR="008B376E" w:rsidRDefault="008B376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145D1" w14:textId="77777777" w:rsidR="007849AC" w:rsidRDefault="007849AC">
      <w:pPr>
        <w:spacing w:after="0"/>
      </w:pPr>
      <w:r>
        <w:separator/>
      </w:r>
    </w:p>
  </w:footnote>
  <w:footnote w:type="continuationSeparator" w:id="0">
    <w:p w14:paraId="337F73F8" w14:textId="77777777" w:rsidR="007849AC" w:rsidRDefault="007849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77777777" w:rsidR="008B376E" w:rsidRDefault="008B376E">
    <w:pPr>
      <w:jc w:val="right"/>
      <w:rPr>
        <w:sz w:val="20"/>
        <w:szCs w:val="20"/>
      </w:rPr>
    </w:pPr>
  </w:p>
  <w:p w14:paraId="000000D8" w14:textId="77777777" w:rsidR="008B376E" w:rsidRDefault="008B37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6E"/>
    <w:rsid w:val="001137EF"/>
    <w:rsid w:val="0014649F"/>
    <w:rsid w:val="001C716D"/>
    <w:rsid w:val="001D31AB"/>
    <w:rsid w:val="002D5090"/>
    <w:rsid w:val="00467C07"/>
    <w:rsid w:val="00521538"/>
    <w:rsid w:val="00622DA5"/>
    <w:rsid w:val="006370A3"/>
    <w:rsid w:val="006E427C"/>
    <w:rsid w:val="006F6644"/>
    <w:rsid w:val="007027B1"/>
    <w:rsid w:val="00710A23"/>
    <w:rsid w:val="007709DB"/>
    <w:rsid w:val="00784980"/>
    <w:rsid w:val="007849AC"/>
    <w:rsid w:val="00834175"/>
    <w:rsid w:val="008B376E"/>
    <w:rsid w:val="008F6CB2"/>
    <w:rsid w:val="00961F0F"/>
    <w:rsid w:val="00993092"/>
    <w:rsid w:val="009C0BCA"/>
    <w:rsid w:val="00A12D7B"/>
    <w:rsid w:val="00B403A5"/>
    <w:rsid w:val="00BE5389"/>
    <w:rsid w:val="00C8263D"/>
    <w:rsid w:val="00C902C3"/>
    <w:rsid w:val="00C93A2F"/>
    <w:rsid w:val="00CA26BF"/>
    <w:rsid w:val="00D03731"/>
    <w:rsid w:val="00D22448"/>
    <w:rsid w:val="00EA6535"/>
    <w:rsid w:val="00F674D9"/>
    <w:rsid w:val="00F839D1"/>
    <w:rsid w:val="00FE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793"/>
  <w15:docId w15:val="{84E42B34-431F-4EBF-862E-55E9F3C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69264">
      <w:bodyDiv w:val="1"/>
      <w:marLeft w:val="0"/>
      <w:marRight w:val="0"/>
      <w:marTop w:val="0"/>
      <w:marBottom w:val="0"/>
      <w:divBdr>
        <w:top w:val="none" w:sz="0" w:space="0" w:color="auto"/>
        <w:left w:val="none" w:sz="0" w:space="0" w:color="auto"/>
        <w:bottom w:val="none" w:sz="0" w:space="0" w:color="auto"/>
        <w:right w:val="none" w:sz="0" w:space="0" w:color="auto"/>
      </w:divBdr>
    </w:div>
    <w:div w:id="1066562831">
      <w:bodyDiv w:val="1"/>
      <w:marLeft w:val="0"/>
      <w:marRight w:val="0"/>
      <w:marTop w:val="0"/>
      <w:marBottom w:val="0"/>
      <w:divBdr>
        <w:top w:val="none" w:sz="0" w:space="0" w:color="auto"/>
        <w:left w:val="none" w:sz="0" w:space="0" w:color="auto"/>
        <w:bottom w:val="none" w:sz="0" w:space="0" w:color="auto"/>
        <w:right w:val="none" w:sz="0" w:space="0" w:color="auto"/>
      </w:divBdr>
    </w:div>
    <w:div w:id="1306591758">
      <w:bodyDiv w:val="1"/>
      <w:marLeft w:val="0"/>
      <w:marRight w:val="0"/>
      <w:marTop w:val="0"/>
      <w:marBottom w:val="0"/>
      <w:divBdr>
        <w:top w:val="none" w:sz="0" w:space="0" w:color="auto"/>
        <w:left w:val="none" w:sz="0" w:space="0" w:color="auto"/>
        <w:bottom w:val="none" w:sz="0" w:space="0" w:color="auto"/>
        <w:right w:val="none" w:sz="0" w:space="0" w:color="auto"/>
      </w:divBdr>
    </w:div>
    <w:div w:id="1373112268">
      <w:bodyDiv w:val="1"/>
      <w:marLeft w:val="0"/>
      <w:marRight w:val="0"/>
      <w:marTop w:val="0"/>
      <w:marBottom w:val="0"/>
      <w:divBdr>
        <w:top w:val="none" w:sz="0" w:space="0" w:color="auto"/>
        <w:left w:val="none" w:sz="0" w:space="0" w:color="auto"/>
        <w:bottom w:val="none" w:sz="0" w:space="0" w:color="auto"/>
        <w:right w:val="none" w:sz="0" w:space="0" w:color="auto"/>
      </w:divBdr>
    </w:div>
    <w:div w:id="1390303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share-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share-project.org/"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g2aging.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mailto:Vanessa.DiLego@oeaw.ac.at" TargetMode="External"/><Relationship Id="rId19" Type="http://schemas.openxmlformats.org/officeDocument/2006/relationships/hyperlink" Target="https://g2aging.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yF7/A9my9+GjVX7A8pUuoVOiUg==">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Shuler, Megan</dc:creator>
  <cp:lastModifiedBy>Author</cp:lastModifiedBy>
  <cp:revision>2</cp:revision>
  <dcterms:created xsi:type="dcterms:W3CDTF">2023-03-29T07:04:00Z</dcterms:created>
  <dcterms:modified xsi:type="dcterms:W3CDTF">2023-03-29T07:04:00Z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http://www.zotero.org/styles/demographic-research</vt:lpwstr>
  </property>
  <property fmtid="{D5CDD505-2E9C-101B-9397-08002B2CF9AE}" pid="7" name="Mendeley Recent Style Name 2_1">
    <vt:lpwstr>Demographic Research</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