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1A03" w14:textId="6AD02B44" w:rsidR="0030706E" w:rsidRPr="00CF7BC0" w:rsidRDefault="006F1B66" w:rsidP="00FA7A0D">
      <w:pPr>
        <w:pStyle w:val="xmsonormal"/>
        <w:shd w:val="clear" w:color="auto" w:fill="FFFFFF"/>
        <w:spacing w:before="0" w:beforeAutospacing="0" w:after="0" w:afterAutospacing="0"/>
        <w:jc w:val="center"/>
        <w:rPr>
          <w:rFonts w:ascii="Arial" w:hAnsi="Arial" w:cs="Arial"/>
          <w:bCs/>
          <w:color w:val="212121"/>
        </w:rPr>
      </w:pPr>
      <w:r w:rsidRPr="006F1B66">
        <w:rPr>
          <w:rFonts w:ascii="Arial" w:hAnsi="Arial" w:cs="Arial"/>
          <w:bCs/>
          <w:color w:val="212121"/>
        </w:rPr>
        <w:t>Gender Disparities in Healthy Life Expectancy at Older Ages: A Cross-National Comparison</w:t>
      </w:r>
    </w:p>
    <w:p w14:paraId="63206E18" w14:textId="77777777" w:rsidR="00BD61A3" w:rsidRPr="00CF7BC0" w:rsidRDefault="00BD61A3" w:rsidP="0030706E">
      <w:pPr>
        <w:rPr>
          <w:rFonts w:ascii="Arial" w:hAnsi="Arial" w:cs="Arial"/>
          <w:sz w:val="24"/>
          <w:szCs w:val="24"/>
        </w:rPr>
      </w:pPr>
    </w:p>
    <w:p w14:paraId="7F658687" w14:textId="59455CB4" w:rsidR="0030706E" w:rsidRPr="0030706E" w:rsidRDefault="0030706E" w:rsidP="0030706E">
      <w:pPr>
        <w:rPr>
          <w:rFonts w:ascii="Arial" w:hAnsi="Arial" w:cs="Arial"/>
          <w:sz w:val="24"/>
          <w:szCs w:val="24"/>
          <w:lang w:val="pt-BR"/>
        </w:rPr>
      </w:pPr>
      <w:r w:rsidRPr="0030706E">
        <w:rPr>
          <w:rFonts w:ascii="Arial" w:hAnsi="Arial" w:cs="Arial"/>
          <w:sz w:val="24"/>
          <w:szCs w:val="24"/>
          <w:lang w:val="pt-BR"/>
        </w:rPr>
        <w:t>Vanessa di Lego</w:t>
      </w:r>
      <w:r w:rsidRPr="0030706E">
        <w:rPr>
          <w:rFonts w:ascii="Arial" w:hAnsi="Arial" w:cs="Arial"/>
          <w:sz w:val="24"/>
          <w:szCs w:val="24"/>
          <w:vertAlign w:val="superscript"/>
          <w:lang w:val="pt-BR"/>
        </w:rPr>
        <w:t>1*</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 xml:space="preserve">Marília </w:t>
      </w:r>
      <w:r w:rsidR="00E15992">
        <w:rPr>
          <w:rFonts w:ascii="Arial" w:hAnsi="Arial" w:cs="Arial"/>
          <w:bCs/>
          <w:color w:val="212121"/>
          <w:sz w:val="24"/>
          <w:szCs w:val="24"/>
          <w:lang w:val="pt-BR"/>
        </w:rPr>
        <w:t xml:space="preserve">R. </w:t>
      </w:r>
      <w:r w:rsidR="00455CC3" w:rsidRPr="0030706E">
        <w:rPr>
          <w:rFonts w:ascii="Arial" w:hAnsi="Arial" w:cs="Arial"/>
          <w:bCs/>
          <w:color w:val="212121"/>
          <w:sz w:val="24"/>
          <w:szCs w:val="24"/>
          <w:lang w:val="pt-BR"/>
        </w:rPr>
        <w:t>Nepomuceno</w:t>
      </w:r>
      <w:r w:rsidRPr="0030706E">
        <w:rPr>
          <w:rFonts w:ascii="Arial" w:hAnsi="Arial" w:cs="Arial"/>
          <w:sz w:val="24"/>
          <w:szCs w:val="24"/>
          <w:vertAlign w:val="superscript"/>
          <w:lang w:val="pt-BR"/>
        </w:rPr>
        <w:t>2</w:t>
      </w:r>
      <w:r w:rsidRPr="0030706E">
        <w:rPr>
          <w:rFonts w:ascii="Arial" w:hAnsi="Arial" w:cs="Arial"/>
          <w:sz w:val="24"/>
          <w:szCs w:val="24"/>
          <w:lang w:val="pt-BR"/>
        </w:rPr>
        <w:t xml:space="preserve">, </w:t>
      </w:r>
      <w:r w:rsidR="00455CC3" w:rsidRPr="0030706E">
        <w:rPr>
          <w:rFonts w:ascii="Arial" w:hAnsi="Arial" w:cs="Arial"/>
          <w:bCs/>
          <w:color w:val="212121"/>
          <w:sz w:val="24"/>
          <w:szCs w:val="24"/>
          <w:lang w:val="pt-BR"/>
        </w:rPr>
        <w:t>Cássio M. Turra</w:t>
      </w:r>
      <w:r w:rsidR="00455CC3" w:rsidRPr="0030706E">
        <w:rPr>
          <w:rFonts w:ascii="Arial" w:hAnsi="Arial" w:cs="Arial"/>
          <w:sz w:val="24"/>
          <w:szCs w:val="24"/>
          <w:vertAlign w:val="superscript"/>
          <w:lang w:val="pt-BR"/>
        </w:rPr>
        <w:t xml:space="preserve"> </w:t>
      </w:r>
      <w:r w:rsidRPr="0030706E">
        <w:rPr>
          <w:rFonts w:ascii="Arial" w:hAnsi="Arial" w:cs="Arial"/>
          <w:sz w:val="24"/>
          <w:szCs w:val="24"/>
          <w:vertAlign w:val="superscript"/>
          <w:lang w:val="pt-BR"/>
        </w:rPr>
        <w:t>3</w:t>
      </w:r>
    </w:p>
    <w:p w14:paraId="57A35DAC" w14:textId="4416919C" w:rsidR="0030706E" w:rsidRPr="0030706E" w:rsidRDefault="0030706E" w:rsidP="0030706E">
      <w:pPr>
        <w:rPr>
          <w:rFonts w:ascii="Arial" w:hAnsi="Arial" w:cs="Arial"/>
          <w:sz w:val="24"/>
          <w:szCs w:val="24"/>
        </w:rPr>
      </w:pPr>
      <w:r w:rsidRPr="0030706E">
        <w:rPr>
          <w:rFonts w:ascii="Arial" w:hAnsi="Arial" w:cs="Arial"/>
          <w:sz w:val="24"/>
          <w:szCs w:val="24"/>
          <w:vertAlign w:val="superscript"/>
        </w:rPr>
        <w:t xml:space="preserve">1 </w:t>
      </w:r>
      <w:r w:rsidRPr="0030706E">
        <w:rPr>
          <w:rFonts w:ascii="Arial" w:hAnsi="Arial" w:cs="Arial"/>
          <w:sz w:val="24"/>
          <w:szCs w:val="24"/>
        </w:rPr>
        <w:t xml:space="preserve">Wittgenstein Centre for Demography and Global Human Capital (IIASA, </w:t>
      </w:r>
      <w:r w:rsidR="00C533D0">
        <w:rPr>
          <w:rFonts w:ascii="Arial" w:hAnsi="Arial" w:cs="Arial"/>
          <w:sz w:val="24"/>
          <w:szCs w:val="24"/>
        </w:rPr>
        <w:t>Oe</w:t>
      </w:r>
      <w:r w:rsidRPr="0030706E">
        <w:rPr>
          <w:rFonts w:ascii="Arial" w:hAnsi="Arial" w:cs="Arial"/>
          <w:sz w:val="24"/>
          <w:szCs w:val="24"/>
        </w:rPr>
        <w:t>AW</w:t>
      </w:r>
      <w:r w:rsidR="00C533D0">
        <w:rPr>
          <w:rFonts w:ascii="Arial" w:hAnsi="Arial" w:cs="Arial"/>
          <w:sz w:val="24"/>
          <w:szCs w:val="24"/>
        </w:rPr>
        <w:t xml:space="preserve">, </w:t>
      </w:r>
      <w:r w:rsidR="00C533D0" w:rsidRPr="0030706E">
        <w:rPr>
          <w:rFonts w:ascii="Arial" w:hAnsi="Arial" w:cs="Arial"/>
          <w:sz w:val="24"/>
          <w:szCs w:val="24"/>
        </w:rPr>
        <w:t>Univ. Vienna</w:t>
      </w:r>
      <w:r w:rsidRPr="0030706E">
        <w:rPr>
          <w:rFonts w:ascii="Arial" w:hAnsi="Arial" w:cs="Arial"/>
          <w:sz w:val="24"/>
          <w:szCs w:val="24"/>
        </w:rPr>
        <w:t>), Vienna Institute of Demography</w:t>
      </w:r>
      <w:r w:rsidR="00455CC3">
        <w:rPr>
          <w:rFonts w:ascii="Arial" w:hAnsi="Arial" w:cs="Arial"/>
          <w:sz w:val="24"/>
          <w:szCs w:val="24"/>
        </w:rPr>
        <w:t xml:space="preserve"> at the </w:t>
      </w:r>
      <w:r w:rsidRPr="0030706E">
        <w:rPr>
          <w:rFonts w:ascii="Arial" w:hAnsi="Arial" w:cs="Arial"/>
          <w:sz w:val="24"/>
          <w:szCs w:val="24"/>
        </w:rPr>
        <w:t>Austrian Academy of Sciences</w:t>
      </w:r>
    </w:p>
    <w:p w14:paraId="314D771D" w14:textId="7B4B5B04" w:rsidR="0030706E" w:rsidRPr="0030706E" w:rsidRDefault="0030706E" w:rsidP="0030706E">
      <w:pPr>
        <w:rPr>
          <w:rFonts w:ascii="Arial" w:hAnsi="Arial" w:cs="Arial"/>
          <w:sz w:val="24"/>
          <w:szCs w:val="24"/>
        </w:rPr>
      </w:pPr>
      <w:r w:rsidRPr="0030706E">
        <w:rPr>
          <w:rFonts w:ascii="Arial" w:hAnsi="Arial" w:cs="Arial"/>
          <w:sz w:val="24"/>
          <w:szCs w:val="24"/>
          <w:vertAlign w:val="superscript"/>
        </w:rPr>
        <w:t>2</w:t>
      </w:r>
      <w:r w:rsidR="00C533D0">
        <w:rPr>
          <w:rFonts w:ascii="Arial" w:hAnsi="Arial" w:cs="Arial"/>
          <w:sz w:val="24"/>
          <w:szCs w:val="24"/>
        </w:rPr>
        <w:t>Max Planck Institute for Demographic Research</w:t>
      </w:r>
      <w:r w:rsidRPr="0030706E">
        <w:rPr>
          <w:rFonts w:ascii="Arial" w:hAnsi="Arial" w:cs="Arial"/>
          <w:sz w:val="24"/>
          <w:szCs w:val="24"/>
        </w:rPr>
        <w:t xml:space="preserve">, </w:t>
      </w:r>
      <w:r w:rsidR="00C533D0">
        <w:rPr>
          <w:rFonts w:ascii="Arial" w:hAnsi="Arial" w:cs="Arial"/>
          <w:sz w:val="24"/>
          <w:szCs w:val="24"/>
        </w:rPr>
        <w:t>Rostock</w:t>
      </w:r>
      <w:r w:rsidRPr="0030706E">
        <w:rPr>
          <w:rFonts w:ascii="Arial" w:hAnsi="Arial" w:cs="Arial"/>
          <w:sz w:val="24"/>
          <w:szCs w:val="24"/>
        </w:rPr>
        <w:t xml:space="preserve">, </w:t>
      </w:r>
      <w:r w:rsidR="00C533D0">
        <w:rPr>
          <w:rFonts w:ascii="Arial" w:hAnsi="Arial" w:cs="Arial"/>
          <w:sz w:val="24"/>
          <w:szCs w:val="24"/>
        </w:rPr>
        <w:t>Germany</w:t>
      </w:r>
      <w:r w:rsidRPr="0030706E">
        <w:rPr>
          <w:rFonts w:ascii="Arial" w:hAnsi="Arial" w:cs="Arial"/>
          <w:sz w:val="24"/>
          <w:szCs w:val="24"/>
        </w:rPr>
        <w:t>.</w:t>
      </w:r>
    </w:p>
    <w:p w14:paraId="03DF4F08" w14:textId="77777777" w:rsidR="0030706E" w:rsidRPr="0030706E" w:rsidRDefault="0030706E" w:rsidP="0030706E">
      <w:pPr>
        <w:rPr>
          <w:rFonts w:ascii="Arial" w:hAnsi="Arial" w:cs="Arial"/>
          <w:sz w:val="24"/>
          <w:szCs w:val="24"/>
          <w:lang w:val="pt-BR"/>
        </w:rPr>
      </w:pPr>
      <w:r w:rsidRPr="0030706E">
        <w:rPr>
          <w:rFonts w:ascii="Arial" w:hAnsi="Arial" w:cs="Arial"/>
          <w:sz w:val="24"/>
          <w:szCs w:val="24"/>
          <w:vertAlign w:val="superscript"/>
          <w:lang w:val="pt-BR"/>
        </w:rPr>
        <w:t>3</w:t>
      </w:r>
      <w:r w:rsidRPr="0030706E">
        <w:rPr>
          <w:rFonts w:ascii="Arial" w:hAnsi="Arial" w:cs="Arial"/>
          <w:sz w:val="24"/>
          <w:szCs w:val="24"/>
          <w:lang w:val="pt-BR"/>
        </w:rPr>
        <w:t>Universidade Federal de Minas Gerais, Cedeplar, Brazil.</w:t>
      </w:r>
    </w:p>
    <w:p w14:paraId="28E7A1ED" w14:textId="77777777" w:rsidR="0030706E" w:rsidRPr="0030706E" w:rsidRDefault="0030706E" w:rsidP="0030706E">
      <w:pPr>
        <w:rPr>
          <w:rFonts w:ascii="Arial" w:hAnsi="Arial" w:cs="Arial"/>
          <w:sz w:val="24"/>
          <w:szCs w:val="24"/>
        </w:rPr>
      </w:pPr>
      <w:r w:rsidRPr="0030706E">
        <w:rPr>
          <w:rFonts w:ascii="Arial" w:hAnsi="Arial" w:cs="Arial"/>
          <w:sz w:val="24"/>
          <w:szCs w:val="24"/>
          <w:vertAlign w:val="superscript"/>
        </w:rPr>
        <w:t>*</w:t>
      </w:r>
      <w:r w:rsidRPr="0030706E">
        <w:rPr>
          <w:rFonts w:ascii="Arial" w:hAnsi="Arial" w:cs="Arial"/>
          <w:sz w:val="24"/>
          <w:szCs w:val="24"/>
        </w:rPr>
        <w:t xml:space="preserve">Corresponding author </w:t>
      </w:r>
    </w:p>
    <w:p w14:paraId="0911E266" w14:textId="6E2C6FAC" w:rsidR="0030706E" w:rsidRPr="00BD61A3" w:rsidRDefault="0030706E" w:rsidP="00BD61A3">
      <w:pPr>
        <w:rPr>
          <w:rFonts w:ascii="Arial" w:hAnsi="Arial" w:cs="Arial"/>
          <w:color w:val="0563C1" w:themeColor="hyperlink"/>
          <w:sz w:val="24"/>
          <w:szCs w:val="24"/>
          <w:u w:val="single"/>
        </w:rPr>
      </w:pPr>
      <w:r w:rsidRPr="0030706E">
        <w:rPr>
          <w:rFonts w:ascii="Arial" w:hAnsi="Arial" w:cs="Arial"/>
          <w:b/>
          <w:sz w:val="24"/>
          <w:szCs w:val="24"/>
          <w:vertAlign w:val="superscript"/>
        </w:rPr>
        <w:t>*</w:t>
      </w:r>
      <w:r w:rsidRPr="0030706E">
        <w:rPr>
          <w:rFonts w:ascii="Arial" w:hAnsi="Arial" w:cs="Arial"/>
          <w:b/>
          <w:sz w:val="24"/>
          <w:szCs w:val="24"/>
        </w:rPr>
        <w:t xml:space="preserve">Email: </w:t>
      </w:r>
      <w:r w:rsidRPr="0030706E">
        <w:rPr>
          <w:rFonts w:ascii="Arial" w:hAnsi="Arial" w:cs="Arial"/>
          <w:sz w:val="24"/>
          <w:szCs w:val="24"/>
        </w:rPr>
        <w:t xml:space="preserve"> </w:t>
      </w:r>
      <w:hyperlink r:id="rId8" w:history="1">
        <w:r w:rsidRPr="0030706E">
          <w:rPr>
            <w:rStyle w:val="Hyperlink"/>
            <w:rFonts w:ascii="Arial" w:hAnsi="Arial" w:cs="Arial"/>
            <w:sz w:val="24"/>
            <w:szCs w:val="24"/>
          </w:rPr>
          <w:t>Vanessa.DiLego@oeaw.ac.at</w:t>
        </w:r>
      </w:hyperlink>
    </w:p>
    <w:p w14:paraId="112E98C6" w14:textId="43A79E39" w:rsidR="00B10295" w:rsidRPr="00BD06D3" w:rsidRDefault="00B10295" w:rsidP="00761211">
      <w:pPr>
        <w:pStyle w:val="xmsonormal"/>
        <w:shd w:val="clear" w:color="auto" w:fill="FFFFFF"/>
        <w:spacing w:before="0" w:beforeAutospacing="0" w:after="0" w:afterAutospacing="0"/>
        <w:jc w:val="both"/>
        <w:rPr>
          <w:rFonts w:ascii="Arial" w:hAnsi="Arial" w:cs="Arial"/>
          <w:bCs/>
          <w:color w:val="212121"/>
        </w:rPr>
      </w:pPr>
    </w:p>
    <w:p w14:paraId="7242DD50" w14:textId="77777777" w:rsidR="00FE1829" w:rsidRDefault="00FE1829" w:rsidP="00761211">
      <w:pPr>
        <w:pStyle w:val="xmsonormal"/>
        <w:shd w:val="clear" w:color="auto" w:fill="FFFFFF"/>
        <w:spacing w:before="0" w:beforeAutospacing="0" w:after="0" w:afterAutospacing="0"/>
        <w:jc w:val="both"/>
        <w:rPr>
          <w:rFonts w:ascii="Arial" w:hAnsi="Arial" w:cs="Arial"/>
          <w:b/>
          <w:color w:val="212121"/>
        </w:rPr>
      </w:pPr>
    </w:p>
    <w:p w14:paraId="3F42141B" w14:textId="77777777" w:rsidR="00C80778" w:rsidRDefault="00C80778" w:rsidP="00C80778">
      <w:pPr>
        <w:pStyle w:val="xmsonormal"/>
        <w:shd w:val="clear" w:color="auto" w:fill="FFFFFF"/>
        <w:spacing w:before="0" w:beforeAutospacing="0" w:after="0" w:afterAutospacing="0"/>
        <w:jc w:val="both"/>
        <w:rPr>
          <w:rFonts w:ascii="Arial" w:hAnsi="Arial" w:cs="Arial"/>
          <w:b/>
          <w:color w:val="212121"/>
        </w:rPr>
      </w:pPr>
      <w:r w:rsidRPr="0009572B">
        <w:rPr>
          <w:rFonts w:ascii="Arial" w:hAnsi="Arial" w:cs="Arial"/>
          <w:b/>
          <w:color w:val="212121"/>
        </w:rPr>
        <w:t>Introduction</w:t>
      </w:r>
    </w:p>
    <w:p w14:paraId="650A18A3" w14:textId="1AB86307" w:rsidR="00C80778" w:rsidRDefault="00C80778" w:rsidP="00C80778">
      <w:pPr>
        <w:pStyle w:val="xmsonormal"/>
        <w:shd w:val="clear" w:color="auto" w:fill="FFFFFF"/>
        <w:spacing w:after="0" w:afterAutospacing="0" w:line="360" w:lineRule="auto"/>
        <w:jc w:val="both"/>
        <w:rPr>
          <w:rFonts w:ascii="Arial" w:hAnsi="Arial" w:cs="Arial"/>
          <w:bCs/>
          <w:color w:val="212121"/>
        </w:rPr>
      </w:pPr>
      <w:r>
        <w:rPr>
          <w:rFonts w:ascii="Arial" w:hAnsi="Arial" w:cs="Arial"/>
          <w:bCs/>
          <w:color w:val="212121"/>
        </w:rPr>
        <w:t>Population a</w:t>
      </w:r>
      <w:r w:rsidRPr="00205BF8">
        <w:rPr>
          <w:rFonts w:ascii="Arial" w:hAnsi="Arial" w:cs="Arial"/>
          <w:bCs/>
          <w:color w:val="212121"/>
        </w:rPr>
        <w:t xml:space="preserve">ging is a key challenge </w:t>
      </w:r>
      <w:r>
        <w:rPr>
          <w:rFonts w:ascii="Arial" w:hAnsi="Arial" w:cs="Arial"/>
          <w:bCs/>
          <w:color w:val="212121"/>
        </w:rPr>
        <w:t xml:space="preserve">of </w:t>
      </w:r>
      <w:r w:rsidRPr="00205BF8">
        <w:rPr>
          <w:rFonts w:ascii="Arial" w:hAnsi="Arial" w:cs="Arial"/>
          <w:bCs/>
          <w:color w:val="212121"/>
        </w:rPr>
        <w:t>the 21</w:t>
      </w:r>
      <w:r w:rsidRPr="00205BF8">
        <w:rPr>
          <w:rFonts w:ascii="Arial" w:hAnsi="Arial" w:cs="Arial"/>
          <w:bCs/>
          <w:color w:val="212121"/>
          <w:vertAlign w:val="superscript"/>
        </w:rPr>
        <w:t>st</w:t>
      </w:r>
      <w:r w:rsidRPr="00205BF8">
        <w:rPr>
          <w:rFonts w:ascii="Arial" w:hAnsi="Arial" w:cs="Arial"/>
          <w:bCs/>
          <w:color w:val="212121"/>
        </w:rPr>
        <w:t xml:space="preserve"> </w:t>
      </w:r>
      <w:r>
        <w:rPr>
          <w:rFonts w:ascii="Arial" w:hAnsi="Arial" w:cs="Arial"/>
          <w:bCs/>
          <w:color w:val="212121"/>
        </w:rPr>
        <w:t>C</w:t>
      </w:r>
      <w:r w:rsidRPr="00205BF8">
        <w:rPr>
          <w:rFonts w:ascii="Arial" w:hAnsi="Arial" w:cs="Arial"/>
          <w:bCs/>
          <w:color w:val="212121"/>
        </w:rPr>
        <w:t>entury</w:t>
      </w:r>
      <w:r>
        <w:rPr>
          <w:rFonts w:ascii="Arial" w:hAnsi="Arial" w:cs="Arial"/>
          <w:bCs/>
          <w:color w:val="212121"/>
        </w:rPr>
        <w:t xml:space="preserve">. </w:t>
      </w:r>
      <w:r w:rsidRPr="00BB11BD">
        <w:rPr>
          <w:rFonts w:ascii="Arial" w:hAnsi="Arial" w:cs="Arial"/>
          <w:bCs/>
          <w:color w:val="212121"/>
        </w:rPr>
        <w:t>By 2050, the number of persons aged 65 years and older is projected to double to 1.5 billion, compared with the 703 million in 2019 (United Nations Population Prospects, 2019 Revision). Survival beyond age 65 is increasing</w:t>
      </w:r>
      <w:r>
        <w:rPr>
          <w:rFonts w:ascii="Arial" w:hAnsi="Arial" w:cs="Arial"/>
          <w:bCs/>
          <w:color w:val="212121"/>
        </w:rPr>
        <w:t xml:space="preserve"> at a fast pace</w:t>
      </w:r>
      <w:r w:rsidRPr="00BB11BD">
        <w:rPr>
          <w:rFonts w:ascii="Arial" w:hAnsi="Arial" w:cs="Arial"/>
          <w:bCs/>
          <w:color w:val="212121"/>
        </w:rPr>
        <w:t xml:space="preserve">, with high income countries expecting to add a further 7 years of survival, from 17.9 years to 23.9 years in the period. This demographic change marks a remarkable achievement in human history, but it comes with important societal challenges, such as pressures in the healthcare sector, increase in fiscal imbalances and higher disease burden. Most importantly, </w:t>
      </w:r>
      <w:r>
        <w:rPr>
          <w:rFonts w:ascii="Arial" w:hAnsi="Arial" w:cs="Arial"/>
          <w:bCs/>
          <w:color w:val="212121"/>
        </w:rPr>
        <w:t>the drivers and</w:t>
      </w:r>
      <w:r w:rsidRPr="00BB11BD">
        <w:rPr>
          <w:rFonts w:ascii="Arial" w:hAnsi="Arial" w:cs="Arial"/>
          <w:bCs/>
          <w:color w:val="212121"/>
        </w:rPr>
        <w:t xml:space="preserve"> consequences</w:t>
      </w:r>
      <w:r>
        <w:rPr>
          <w:rFonts w:ascii="Arial" w:hAnsi="Arial" w:cs="Arial"/>
          <w:bCs/>
          <w:color w:val="212121"/>
        </w:rPr>
        <w:t xml:space="preserve"> of aging</w:t>
      </w:r>
      <w:r w:rsidRPr="00BB11BD">
        <w:rPr>
          <w:rFonts w:ascii="Arial" w:hAnsi="Arial" w:cs="Arial"/>
          <w:bCs/>
          <w:color w:val="212121"/>
        </w:rPr>
        <w:t xml:space="preserve"> are not gender neutral. Despite their higher longevity, women expect to spend a higher proportion of their lives in poorer health, presenting worse indicators of disability, chronic morbidity, and self-rated health outcomes</w:t>
      </w:r>
      <w:r>
        <w:rPr>
          <w:rFonts w:ascii="Arial" w:hAnsi="Arial" w:cs="Arial"/>
          <w:bCs/>
          <w:color w:val="212121"/>
        </w:rPr>
        <w:t xml:space="preserve"> for all countries in the world</w:t>
      </w:r>
      <w:r w:rsidRPr="00BB11BD">
        <w:rPr>
          <w:rFonts w:ascii="Arial" w:hAnsi="Arial" w:cs="Arial"/>
          <w:bCs/>
          <w:color w:val="212121"/>
        </w:rPr>
        <w:t xml:space="preserve"> (Crimmins et al., 2002; Luy and Minagawa, 2014; Robine et al., 2001; di Lego</w:t>
      </w:r>
      <w:r>
        <w:rPr>
          <w:rFonts w:ascii="Arial" w:hAnsi="Arial" w:cs="Arial"/>
          <w:bCs/>
          <w:color w:val="212121"/>
        </w:rPr>
        <w:t xml:space="preserve"> et al.</w:t>
      </w:r>
      <w:r w:rsidRPr="00BB11BD">
        <w:rPr>
          <w:rFonts w:ascii="Arial" w:hAnsi="Arial" w:cs="Arial"/>
          <w:bCs/>
          <w:color w:val="212121"/>
        </w:rPr>
        <w:t>, 2019; 2020</w:t>
      </w:r>
      <w:r>
        <w:rPr>
          <w:rFonts w:ascii="Arial" w:hAnsi="Arial" w:cs="Arial"/>
          <w:bCs/>
          <w:color w:val="212121"/>
        </w:rPr>
        <w:t>; Nepomuceno et al., 2021</w:t>
      </w:r>
      <w:r w:rsidRPr="00BB11BD">
        <w:rPr>
          <w:rFonts w:ascii="Arial" w:hAnsi="Arial" w:cs="Arial"/>
          <w:bCs/>
          <w:color w:val="212121"/>
        </w:rPr>
        <w:t xml:space="preserve">). </w:t>
      </w:r>
      <w:r>
        <w:rPr>
          <w:rFonts w:ascii="Arial" w:hAnsi="Arial" w:cs="Arial"/>
          <w:bCs/>
          <w:color w:val="212121"/>
        </w:rPr>
        <w:t>In addition, women</w:t>
      </w:r>
      <w:r w:rsidRPr="00205BF8">
        <w:rPr>
          <w:rFonts w:ascii="Arial" w:hAnsi="Arial" w:cs="Arial"/>
          <w:bCs/>
          <w:color w:val="212121"/>
        </w:rPr>
        <w:t xml:space="preserve"> are the main recipients of formal long-term care services over the age of 65, both at home and in institutional settings</w:t>
      </w:r>
      <w:r>
        <w:rPr>
          <w:rFonts w:ascii="Arial" w:hAnsi="Arial" w:cs="Arial"/>
          <w:bCs/>
          <w:color w:val="212121"/>
        </w:rPr>
        <w:t xml:space="preserve">, </w:t>
      </w:r>
      <w:r>
        <w:rPr>
          <w:rFonts w:ascii="Arial" w:hAnsi="Arial" w:cs="Arial"/>
          <w:bCs/>
        </w:rPr>
        <w:t xml:space="preserve">due to their higher prevalence of </w:t>
      </w:r>
      <w:r w:rsidRPr="00CD7A97">
        <w:rPr>
          <w:rFonts w:ascii="Arial" w:hAnsi="Arial" w:cs="Arial"/>
          <w:bCs/>
        </w:rPr>
        <w:t>debilitating conditions such as arthritis, fall-related fractures, and dementia</w:t>
      </w:r>
      <w:r>
        <w:rPr>
          <w:rFonts w:ascii="Arial" w:hAnsi="Arial" w:cs="Arial"/>
          <w:bCs/>
        </w:rPr>
        <w:t>. These conditions</w:t>
      </w:r>
      <w:r w:rsidRPr="00CD7A97">
        <w:rPr>
          <w:rFonts w:ascii="Arial" w:hAnsi="Arial" w:cs="Arial"/>
          <w:bCs/>
        </w:rPr>
        <w:t xml:space="preserve"> limit </w:t>
      </w:r>
      <w:r>
        <w:rPr>
          <w:rFonts w:ascii="Arial" w:hAnsi="Arial" w:cs="Arial"/>
          <w:bCs/>
        </w:rPr>
        <w:t>women’s</w:t>
      </w:r>
      <w:r w:rsidRPr="00CD7A97">
        <w:rPr>
          <w:rFonts w:ascii="Arial" w:hAnsi="Arial" w:cs="Arial"/>
          <w:bCs/>
        </w:rPr>
        <w:t xml:space="preserve"> ability to remain independent, engage in social activities, </w:t>
      </w:r>
      <w:r>
        <w:rPr>
          <w:rFonts w:ascii="Arial" w:hAnsi="Arial" w:cs="Arial"/>
          <w:bCs/>
        </w:rPr>
        <w:t xml:space="preserve">and often </w:t>
      </w:r>
      <w:r w:rsidRPr="00CD7A97">
        <w:rPr>
          <w:rFonts w:ascii="Arial" w:hAnsi="Arial" w:cs="Arial"/>
          <w:bCs/>
        </w:rPr>
        <w:t>demand long-term care (Freedman et al., 2016)</w:t>
      </w:r>
      <w:r w:rsidRPr="00205BF8">
        <w:rPr>
          <w:rFonts w:ascii="Arial" w:hAnsi="Arial" w:cs="Arial"/>
          <w:bCs/>
          <w:color w:val="212121"/>
        </w:rPr>
        <w:t xml:space="preserve">. </w:t>
      </w:r>
      <w:r>
        <w:rPr>
          <w:rFonts w:ascii="Arial" w:hAnsi="Arial" w:cs="Arial"/>
          <w:bCs/>
          <w:color w:val="212121"/>
        </w:rPr>
        <w:t>Women also f</w:t>
      </w:r>
      <w:r w:rsidRPr="00CD7A97">
        <w:rPr>
          <w:rFonts w:ascii="Arial" w:hAnsi="Arial" w:cs="Arial"/>
          <w:bCs/>
        </w:rPr>
        <w:t xml:space="preserve">ace widowhood at an earlier age, have lower labor force participation rates, and tend to retire earlier with lower income than men, </w:t>
      </w:r>
      <w:r>
        <w:rPr>
          <w:rFonts w:ascii="Arial" w:hAnsi="Arial" w:cs="Arial"/>
          <w:bCs/>
        </w:rPr>
        <w:t>being</w:t>
      </w:r>
      <w:r w:rsidRPr="00CD7A97">
        <w:rPr>
          <w:rFonts w:ascii="Arial" w:hAnsi="Arial" w:cs="Arial"/>
          <w:bCs/>
        </w:rPr>
        <w:t xml:space="preserve"> more exposed to poverty and financial insecurity, as their </w:t>
      </w:r>
      <w:r w:rsidRPr="00CD7A97">
        <w:rPr>
          <w:rFonts w:ascii="Arial" w:hAnsi="Arial" w:cs="Arial"/>
          <w:bCs/>
        </w:rPr>
        <w:lastRenderedPageBreak/>
        <w:t>economic resources are more limited (Ruel and Hauser, 2013).</w:t>
      </w:r>
      <w:r>
        <w:rPr>
          <w:rFonts w:ascii="Arial" w:hAnsi="Arial" w:cs="Arial"/>
          <w:bCs/>
        </w:rPr>
        <w:t xml:space="preserve"> </w:t>
      </w:r>
      <w:r w:rsidRPr="00BB11BD">
        <w:rPr>
          <w:rFonts w:ascii="Arial" w:hAnsi="Arial" w:cs="Arial"/>
          <w:bCs/>
          <w:color w:val="212121"/>
        </w:rPr>
        <w:t xml:space="preserve">Not only this makes lives </w:t>
      </w:r>
      <w:r>
        <w:rPr>
          <w:rFonts w:ascii="Arial" w:hAnsi="Arial" w:cs="Arial"/>
          <w:bCs/>
          <w:color w:val="212121"/>
        </w:rPr>
        <w:t>more vulnerable</w:t>
      </w:r>
      <w:r w:rsidRPr="00BB11BD">
        <w:rPr>
          <w:rFonts w:ascii="Arial" w:hAnsi="Arial" w:cs="Arial"/>
          <w:bCs/>
          <w:color w:val="212121"/>
        </w:rPr>
        <w:t xml:space="preserve"> for women overall, but it is also incredibly costly: total losses (in terms of GDP) associated to the burden of chronic conditions in extremely aged societies have been shown to be a staggering $16 trillion for China, $5.7 trillion for Japan, and $1.5 trillion for South Korea over 2010-2030 (Bloom et al. 2019).</w:t>
      </w:r>
      <w:r>
        <w:rPr>
          <w:rFonts w:ascii="Arial" w:hAnsi="Arial" w:cs="Arial"/>
          <w:bCs/>
          <w:color w:val="212121"/>
        </w:rPr>
        <w:t xml:space="preserve"> Consequently, i</w:t>
      </w:r>
      <w:r w:rsidRPr="00205BF8">
        <w:rPr>
          <w:rFonts w:ascii="Arial" w:hAnsi="Arial" w:cs="Arial"/>
          <w:bCs/>
          <w:color w:val="212121"/>
        </w:rPr>
        <w:t>n order to ensure healthy and equitable aging for all, gender gaps must be</w:t>
      </w:r>
      <w:r>
        <w:rPr>
          <w:rFonts w:ascii="Arial" w:hAnsi="Arial" w:cs="Arial"/>
          <w:bCs/>
          <w:color w:val="212121"/>
        </w:rPr>
        <w:t xml:space="preserve"> </w:t>
      </w:r>
      <w:r w:rsidRPr="00205BF8">
        <w:rPr>
          <w:rFonts w:ascii="Arial" w:hAnsi="Arial" w:cs="Arial"/>
          <w:bCs/>
          <w:color w:val="212121"/>
        </w:rPr>
        <w:t>considered and better understood</w:t>
      </w:r>
      <w:r>
        <w:rPr>
          <w:rFonts w:ascii="Arial" w:hAnsi="Arial" w:cs="Arial"/>
          <w:bCs/>
          <w:color w:val="212121"/>
        </w:rPr>
        <w:t xml:space="preserve">. </w:t>
      </w:r>
    </w:p>
    <w:p w14:paraId="4F601455" w14:textId="77777777" w:rsidR="00C80778" w:rsidRDefault="00C80778" w:rsidP="00C80778">
      <w:pPr>
        <w:pStyle w:val="xmsonormal"/>
        <w:shd w:val="clear" w:color="auto" w:fill="FFFFFF"/>
        <w:spacing w:after="0" w:afterAutospacing="0" w:line="360" w:lineRule="auto"/>
        <w:jc w:val="both"/>
        <w:rPr>
          <w:rFonts w:ascii="Arial" w:hAnsi="Arial" w:cs="Arial"/>
          <w:bCs/>
          <w:color w:val="212121"/>
        </w:rPr>
      </w:pPr>
      <w:r>
        <w:rPr>
          <w:rFonts w:ascii="Arial" w:hAnsi="Arial" w:cs="Arial"/>
          <w:bCs/>
          <w:color w:val="212121"/>
        </w:rPr>
        <w:t>Gender disparities in</w:t>
      </w:r>
      <w:r w:rsidRPr="00FB5491">
        <w:rPr>
          <w:rFonts w:ascii="Arial" w:hAnsi="Arial" w:cs="Arial"/>
          <w:bCs/>
          <w:color w:val="212121"/>
        </w:rPr>
        <w:t xml:space="preserve"> </w:t>
      </w:r>
      <w:r>
        <w:rPr>
          <w:rFonts w:ascii="Arial" w:hAnsi="Arial" w:cs="Arial"/>
          <w:bCs/>
          <w:color w:val="212121"/>
        </w:rPr>
        <w:t>health</w:t>
      </w:r>
      <w:r w:rsidRPr="00FB5491">
        <w:rPr>
          <w:rFonts w:ascii="Arial" w:hAnsi="Arial" w:cs="Arial"/>
          <w:bCs/>
          <w:color w:val="212121"/>
        </w:rPr>
        <w:t xml:space="preserve"> </w:t>
      </w:r>
      <w:r>
        <w:rPr>
          <w:rFonts w:ascii="Arial" w:hAnsi="Arial" w:cs="Arial"/>
          <w:bCs/>
          <w:color w:val="212121"/>
        </w:rPr>
        <w:t>have often been measured through gaps in healthy life expectancy indicators, as it is a summary measure that allows for quantifying</w:t>
      </w:r>
      <w:r w:rsidRPr="00FB5491">
        <w:rPr>
          <w:rFonts w:ascii="Arial" w:hAnsi="Arial" w:cs="Arial"/>
          <w:bCs/>
          <w:color w:val="212121"/>
        </w:rPr>
        <w:t xml:space="preserve"> the level of </w:t>
      </w:r>
      <w:r>
        <w:rPr>
          <w:rFonts w:ascii="Arial" w:hAnsi="Arial" w:cs="Arial"/>
          <w:bCs/>
          <w:color w:val="212121"/>
        </w:rPr>
        <w:t xml:space="preserve">average </w:t>
      </w:r>
      <w:r w:rsidRPr="00FB5491">
        <w:rPr>
          <w:rFonts w:ascii="Arial" w:hAnsi="Arial" w:cs="Arial"/>
          <w:bCs/>
          <w:color w:val="212121"/>
        </w:rPr>
        <w:t xml:space="preserve">health across </w:t>
      </w:r>
      <w:r>
        <w:rPr>
          <w:rFonts w:ascii="Arial" w:hAnsi="Arial" w:cs="Arial"/>
          <w:bCs/>
          <w:color w:val="212121"/>
        </w:rPr>
        <w:t xml:space="preserve">different domains and population groups </w:t>
      </w:r>
      <w:r w:rsidRPr="00FB5491">
        <w:rPr>
          <w:rFonts w:ascii="Arial" w:hAnsi="Arial" w:cs="Arial"/>
          <w:bCs/>
          <w:color w:val="212121"/>
        </w:rPr>
        <w:t>(Murray et al. 2002</w:t>
      </w:r>
      <w:r>
        <w:rPr>
          <w:rFonts w:ascii="Arial" w:hAnsi="Arial" w:cs="Arial"/>
          <w:bCs/>
          <w:color w:val="212121"/>
        </w:rPr>
        <w:t xml:space="preserve">; </w:t>
      </w:r>
      <w:r w:rsidRPr="00FB5491">
        <w:rPr>
          <w:rFonts w:ascii="Arial" w:hAnsi="Arial" w:cs="Arial"/>
          <w:bCs/>
          <w:color w:val="212121"/>
        </w:rPr>
        <w:t>Nusselder et al. 2010; Robine et al. 2009; Van Oyen et al. 2010; Yokota et al. 2019).</w:t>
      </w:r>
      <w:r>
        <w:rPr>
          <w:rFonts w:ascii="Arial" w:hAnsi="Arial" w:cs="Arial"/>
          <w:bCs/>
          <w:color w:val="212121"/>
        </w:rPr>
        <w:t xml:space="preserve"> However, due to the complex interplay between health and mortality, </w:t>
      </w:r>
      <w:r w:rsidRPr="00FB5491">
        <w:rPr>
          <w:rFonts w:ascii="Arial" w:hAnsi="Arial" w:cs="Arial"/>
          <w:bCs/>
          <w:color w:val="212121"/>
        </w:rPr>
        <w:t>considerable gender differences in mortality and disability can be masked when only the total gap is</w:t>
      </w:r>
      <w:r>
        <w:rPr>
          <w:rFonts w:ascii="Arial" w:hAnsi="Arial" w:cs="Arial"/>
          <w:bCs/>
          <w:color w:val="212121"/>
        </w:rPr>
        <w:t xml:space="preserve"> analyzed. </w:t>
      </w:r>
    </w:p>
    <w:p w14:paraId="33F8E908" w14:textId="4A9AC314" w:rsidR="00C80778" w:rsidRDefault="00C80778" w:rsidP="00C80778">
      <w:pPr>
        <w:pStyle w:val="xmsonormal"/>
        <w:shd w:val="clear" w:color="auto" w:fill="FFFFFF"/>
        <w:spacing w:before="0" w:beforeAutospacing="0" w:after="0" w:afterAutospacing="0" w:line="360" w:lineRule="auto"/>
        <w:jc w:val="both"/>
        <w:rPr>
          <w:rFonts w:ascii="Arial" w:hAnsi="Arial" w:cs="Arial"/>
        </w:rPr>
      </w:pPr>
      <w:r w:rsidRPr="00FB5491">
        <w:rPr>
          <w:rFonts w:ascii="Arial" w:hAnsi="Arial" w:cs="Arial"/>
          <w:bCs/>
          <w:color w:val="212121"/>
        </w:rPr>
        <w:t>(Mairey et al. 2014; Nusselder et al. 2010; Nusselder and Looman 2004; Van Oyen et al. 2013</w:t>
      </w:r>
      <w:r>
        <w:rPr>
          <w:rFonts w:ascii="Arial" w:hAnsi="Arial" w:cs="Arial"/>
          <w:bCs/>
          <w:color w:val="212121"/>
        </w:rPr>
        <w:t>, Nepomuceno et al. 2021</w:t>
      </w:r>
      <w:r w:rsidRPr="00FB5491">
        <w:rPr>
          <w:rFonts w:ascii="Arial" w:hAnsi="Arial" w:cs="Arial"/>
          <w:bCs/>
          <w:color w:val="212121"/>
        </w:rPr>
        <w:t>).</w:t>
      </w:r>
      <w:r>
        <w:rPr>
          <w:rFonts w:ascii="Arial" w:hAnsi="Arial" w:cs="Arial"/>
          <w:bCs/>
          <w:color w:val="212121"/>
        </w:rPr>
        <w:t xml:space="preserve"> Indeed, as health is expected to be highly correlated to mortality, there</w:t>
      </w:r>
      <w:r w:rsidRPr="00CF7BC0">
        <w:rPr>
          <w:rFonts w:ascii="Arial" w:hAnsi="Arial" w:cs="Arial"/>
          <w:bCs/>
          <w:color w:val="212121"/>
        </w:rPr>
        <w:t xml:space="preserve"> </w:t>
      </w:r>
      <w:r>
        <w:rPr>
          <w:rFonts w:ascii="Arial" w:hAnsi="Arial" w:cs="Arial"/>
          <w:bCs/>
          <w:color w:val="212121"/>
        </w:rPr>
        <w:t>is no</w:t>
      </w:r>
      <w:r w:rsidRPr="00CF7BC0">
        <w:rPr>
          <w:rFonts w:ascii="Arial" w:hAnsi="Arial" w:cs="Arial"/>
          <w:bCs/>
          <w:color w:val="212121"/>
        </w:rPr>
        <w:t xml:space="preserve"> conclusive explanation for why, despite living longer than men, women </w:t>
      </w:r>
      <w:r>
        <w:rPr>
          <w:rFonts w:ascii="Arial" w:hAnsi="Arial" w:cs="Arial"/>
          <w:bCs/>
          <w:color w:val="212121"/>
        </w:rPr>
        <w:t xml:space="preserve">have overall poorer health, a phenomenon that has been deemed contradictory and referred to as </w:t>
      </w:r>
      <w:r w:rsidRPr="008A53D6">
        <w:rPr>
          <w:rFonts w:ascii="Arial" w:hAnsi="Arial" w:cs="Arial"/>
          <w:bCs/>
          <w:color w:val="212121"/>
        </w:rPr>
        <w:t xml:space="preserve">the “male–female health-survival paradox” </w:t>
      </w:r>
      <w:r>
        <w:rPr>
          <w:rFonts w:ascii="Arial" w:hAnsi="Arial" w:cs="Arial"/>
          <w:bCs/>
          <w:color w:val="212121"/>
        </w:rPr>
        <w:fldChar w:fldCharType="begin" w:fldLock="1"/>
      </w:r>
      <w:r>
        <w:rPr>
          <w:rFonts w:ascii="Arial" w:hAnsi="Arial" w:cs="Arial"/>
          <w:bCs/>
          <w:color w:val="212121"/>
        </w:rPr>
        <w:instrText>ADDIN CSL_CITATION {"citationItems":[{"id":"ITEM-1","itemData":{"DOI":"10.1093/geronb/60.Special_Issue_2.S40","ISBN":"1079-5014","ISSN":"1079-5014","PMID":"16251589","abstract":"The complexity of gender differences in health (i.e., men's lower life expectancy and women's greater morbidity) extends beyond notions of either social or biological disadvantage. Gaps remain in understanding the antecedents of such differences and the issues this paradox raises regarding the connections between social and biological processes. Our goals in this analytic essay are to make the case that gender differences in health matter and that understanding these differences requires an explanation of why rational people are not effective in making health a priority in their everyday lives. We describe some salient gender health differences in cardiovascular disease, immune function and disorders, and depression and indicate why neither social nor biological perspectives alone are sufficient to account for them. We consider the limitations of current models of socioeconomic and racial/ethnic health disparities to explain the puzzling gender differences in health. Finally, we discuss constrained choice, a key issue that is missing in the current understanding of these gender differences, and call on the social science community to work with biomedical researchers on the interdisciplinary work required to address the paradoxical differences in men's and women's health.","author":[{"dropping-particle":"","family":"Rieker","given":"Patricia P","non-dropping-particle":"","parse-names":false,"suffix":""},{"dropping-particle":"","family":"Bird","given":"Chloe E","non-dropping-particle":"","parse-names":false,"suffix":""}],"container-title":"The Journals of Gerontology: Series B, Psychological Sciences and Social Sciences","id":"ITEM-1","issue":"II","issued":{"date-parts":[["2005"]]},"page":"40-47","title":"Rethinking gender differences in health: why we need to integrate social and biological perspectives.","type":"article-journal","volume":"60B"},"uris":["http://www.mendeley.com/documents/?uuid=9a0e5447-5479-4dcc-b097-6d7f2d97b423"]},{"id":"ITEM-2","itemData":{"DOI":"10.1177/002214650604700201","ISBN":"0022-1465","ISSN":"00221465","PMID":"16821505","abstract":"Recent examinations of gender differences in physical health suggest that women’s disadvantage may be smaller than previously assumed, varying by health status measure and age. Using data from the 1997–2001 National Health Interview Surveys, we examine gender-by-age differences in life-threatening medical conditions, functional limitations, and self-rated health and consider whether potential mediating mechanisms (e.g., socioeconomic status, behav- ioral factors) operate uniformly across health measures. The results show that the gender gap is smallest for life-threatening medical conditions and that men do increasingly worse with age. For self-rated health, men are more likely to report excellent health at younger ages, but with increasing age this gap clos- es. Only for functional limitations do we find a consistent pattern of female dis- Delivered by Ingenta to : advantage: Women report more functional limitations than men, and the gap Rice University, Fondren Library Thu, 24 Aug 2006 17:58:32 increases with age. The ability of explanatory mechanisms to account for these patterns varies by the health measure examined. It","author":[{"dropping-particle":"","family":"Gorman","given":"Bridget K.","non-dropping-particle":"","parse-names":false,"suffix":""},{"dropping-particle":"","family":"Read","given":"Jen'nan Ghazal","non-dropping-particle":"","parse-names":false,"suffix":""}],"container-title":"Journal of Health and Social Behavior","id":"ITEM-2","issue":"2","issued":{"date-parts":[["2006"]]},"page":"95-110","title":"Gender disparities in adult health: An examination of three measures of morbidity","type":"article-journal","volume":"47"},"uris":["http://www.mendeley.com/documents/?uuid=2da4a370-c07d-483a-bf20-28dc10bbba06"]},{"id":"ITEM-3","itemData":{"DOI":"10.1016/j.exger.2008.09.007","ISBN":"1873-6815 (Electronic)\\r0531-5565 (Linking)","ISSN":"05315565","PMID":"18835429","abstract":"The traditional sex morbidity-mortality paradox that females have worse health but better survival than males is based on studies of major health traits. We applied a cumulative deficits approach to study this paradox, selecting 34 minor health deficits consistently measured in the 9th (1964) and 14th (1974) Framingham Heart and 5th (1991-1995) Offspring Study exams focusing on the 55-78 age range. We constructed four deficit indices (DIs) using all 34 deficits as well as subsets of these deficits characterizing males' (DIM) and females' (DIF) health disadvantages, and no relative sex-disadvantages. The DI34-specific age patterns are sex-insensitive within the 55-74 age range. The DI34, however, tends to selectively increase the risk of death for males. The DIF-associated health dimension supports the traditional morbidity paradox, whereas the DIM-associated dimension supports the inverse paradox, wherein males have worse health but better survival than females. The traditional paradox became less pronounced, whereas the inverse paradox became more pronounced from the 1960s to the 1990s. The sex-specific excess in minor health deficits may vary according to particular set of deficits, thus providing evidence for traditional and inverse morbidity paradoxes. The time-trends suggest the presence of a strong exogenous effect modifier affecting the rate of health deterioration and mortality risk. © 2008 Elsevier Inc. All rights reserved.","author":[{"dropping-particle":"","family":"Kulminski","given":"Alexander M.","non-dropping-particle":"","parse-names":false,"suffix":""},{"dropping-particle":"V.","family":"Culminskaya","given":"Irina","non-dropping-particle":"","parse-names":false,"suffix":""},{"dropping-particle":"V.","family":"Ukraintseva","given":"Svetlana","non-dropping-particle":"","parse-names":false,"suffix":""},{"dropping-particle":"","family":"Arbeev","given":"Konstantin G.","non-dropping-particle":"","parse-names":false,"suffix":""},{"dropping-particle":"","family":"Land","given":"Kenneth C.","non-dropping-particle":"","parse-names":false,"suffix":""},{"dropping-particle":"","family":"Yashin","given":"Anatoli I.","non-dropping-particle":"","parse-names":false,"suffix":""}],"container-title":"Experimental Gerontology","id":"ITEM-3","issue":"12","issued":{"date-parts":[["2008"]]},"page":"1052-1057","title":"Sex-specific health deterioration and mortality: The morbidity-mortality paradox over age and time","type":"article-journal","volume":"43"},"uris":["http://www.mendeley.com/documents/?uuid=6f31fe14-ecc3-4d6d-a8c4-30952cf36223"]},{"id":"ITEM-4","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Europe","id":"ITEM-4","issued":{"date-parts":[["2018"]]},"page":"65-100","publisher":"Springer International Publishing","publisher-place":"Cham","title":"Sex Differences in Health and Survival","type":"chapter"},"uris":["http://www.mendeley.com/documents/?uuid=0b0e6073-ff59-41b3-aae5-9942059243c5"]}],"mendeley":{"formattedCitation":"(Rieker and Bird 2005; Gorman and Read 2006; Kulminski et al. 2008; Oksuzyan et al. 2018)","manualFormatting":"(Rieker and Bird 2005; Gorman and Read 2006; Kulminski et al. 2008; Oksuzyan et al. 2018; Crimmins et al. 2002; Spiers et al. 2003; Luy and Minagawa 2014; Luy and Wegner-Siegmundt 2015; Luy 2016; Yokota et al. 2019)","plainTextFormattedCitation":"(Rieker and Bird 2005; Gorman and Read 2006; Kulminski et al. 2008; Oksuzyan et al. 2018)","previouslyFormattedCitation":"(Rieker and Bird 2005; Gorman and Read 2006; Kulminski et al. 2008; Oksuzyan et al. 2018)"},"properties":{"noteIndex":0},"schema":"https://github.com/citation-style-language/schema/raw/master/csl-citation.json"}</w:instrText>
      </w:r>
      <w:r>
        <w:rPr>
          <w:rFonts w:ascii="Arial" w:hAnsi="Arial" w:cs="Arial"/>
          <w:bCs/>
          <w:color w:val="212121"/>
        </w:rPr>
        <w:fldChar w:fldCharType="separate"/>
      </w:r>
      <w:r w:rsidRPr="008C136E">
        <w:rPr>
          <w:rFonts w:ascii="Arial" w:hAnsi="Arial" w:cs="Arial"/>
          <w:bCs/>
          <w:noProof/>
          <w:color w:val="212121"/>
        </w:rPr>
        <w:t>(Rieker and Bird 2005; Gorman and Read 2006; Kulminski et al. 2008; Oksuzyan et al. 2018</w:t>
      </w:r>
      <w:r>
        <w:rPr>
          <w:rFonts w:ascii="Arial" w:hAnsi="Arial" w:cs="Arial"/>
          <w:bCs/>
          <w:noProof/>
          <w:color w:val="212121"/>
        </w:rPr>
        <w:t xml:space="preserve">; </w:t>
      </w:r>
      <w:r>
        <w:rPr>
          <w:rFonts w:ascii="Arial" w:hAnsi="Arial" w:cs="Arial"/>
          <w:bCs/>
          <w:noProof/>
          <w:color w:val="212121"/>
        </w:rPr>
        <w:fldChar w:fldCharType="begin" w:fldLock="1"/>
      </w:r>
      <w:r>
        <w:rPr>
          <w:rFonts w:ascii="Arial" w:hAnsi="Arial" w:cs="Arial"/>
          <w:bCs/>
          <w:noProof/>
          <w:color w:val="212121"/>
        </w:rPr>
        <w:instrText>ADDIN CSL_CITATION {"citationItems":[{"id":"ITEM-1","itemData":{"DOI":"10.1300/J074v14n01_04","ISBN":"08952841","ISSN":"0895-2841","PMID":"8736588","abstract":"Presents a study that examined gender differences in life with and without six major diseases, including both mortal and morbid conditions. Data on the disease prevalence and health behavior from the 1993 to 1995 National Health Interview Surveys for the U.S.; Use of Sullivan method; Information on the different patterns of both mortality and disease experience of men and women.","author":[{"dropping-particle":"","family":"Crimmins","given":"Eileen M.","non-dropping-particle":"","parse-names":false,"suffix":""},{"dropping-particle":"","family":"Kim","given":"Jung Ki","non-dropping-particle":"","parse-names":false,"suffix":""},{"dropping-particle":"","family":"Hagedorn","given":"Aaron","non-dropping-particle":"","parse-names":false,"suffix":""}],"container-title":"Journal of Women &amp; Aging","id":"ITEM-1","issue":"1-2","issued":{"date-parts":[["2002"]]},"page":"47-59","title":"Life With and Without Disease: Women Experience More of Both","type":"article-journal","volume":"14"},"uris":["http://www.mendeley.com/documents/?uuid=3af4ad20-a03b-4464-8fbc-6bd2c409406d"]},{"id":"ITEM-2","itemData":{"ISSN":"1209-1367","PMID":"25517936","abstract":"BACKGROUND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10.1093/eurpub/cku211","ISSN":"1101-1262","author":[{"dropping-particle":"","family":"Luy","given":"Marc","non-dropping-particle":"","parse-names":false,"suffix":""},{"dropping-particle":"","family":"Wegner-Siegmundt","given":"Christian","non-dropping-particle":"","parse-names":false,"suffix":""}],"container-title":"The European Journal of Public Health","id":"ITEM-3","issue":"4","issued":{"date-parts":[["2015","8"]]},"page":"706-710","title":"The impact of smoking on gender differences in life expectancy: more heterogeneous than often stated","type":"article-journal","volume":"25"},"uris":["http://www.mendeley.com/documents/?uuid=48bb083d-95f6-4923-bdf9-a134d897c8e5"]},{"id":"ITEM-4","itemData":{"ISBN":"978-3-515-11258-1","author":[{"dropping-particle":"","family":"Luy","given":"Marc","non-dropping-particle":"","parse-names":false,"suffix":""}],"container-title":"Gender-specific life expectancy in Europe 1850-2010","editor":[{"dropping-particle":"","family":"Dinges","given":"M.","non-dropping-particle":"","parse-names":false,"suffix":""},{"dropping-particle":"","family":"Weigl","given":"A.","non-dropping-particle":"","parse-names":false,"suffix":""}],"id":"ITEM-4","issued":{"date-parts":[["2016"]]},"page":"17-46","publisher":"Steiner","publisher-place":"Stuttgart","title":"The impact of biological factors on sex differences in life expectancy: insights gained from a natural experiment","type":"chapter"},"uris":["http://www.mendeley.com/documents/?uuid=e64a7c57-648e-40a3-98cb-8b20458a3ab4"]},{"id":"ITEM-5","itemData":{"DOI":"10.1093/eurpub/cky105","ISSN":"1464-360X","PMID":"29917065","abstract":"Background We aimed to investigate the contribution of chronic conditions to gender differences in disability-free life expectancy (DFLE) and life expectancy with disability (LED) in Belgium in 2001, 2004 and 2008. Methods Data on disability and chronic conditions from participants of the 2001, 2004 and 2008 Health Interview Surveys in Belgium were used to estimate disability prevalence by cause using the attribution method. Disability prevalence was applied to life tables to estimate DFLE and LED using the Sullivan method. Decomposition techniques were used to assess the contribution of mortality and disability and further of causes of death and disability to gender disparities in DFLE and LED. Results Higher LE, DFLE and LED were observed for women compared with men in all years studied. A decrease in the gender gap in LE (2001: 5.9; 2004: 5.6; 2008: 5.3) was observed in our cross-sectional approach followed by a decrease in gender differences in DFLE (2001: 1.9; 2004: 1.3; 2008: 0.5) and increase in LED (2001: 4.0; 2004: 4.4; 2008: 4.8). The higher LED in women was attributed to their lower mortality due to lung/larynx/trachea cancer, ischaemic heart diseases, and external causes (2001 and 2004) and higher disability prevalence due to musculoskeletal conditions (2008). Higher DFLE was observed in women owing to their lower mortality from lung/larynx/trachea cancer, ischaemic heart diseases, digestive cancer and chronic respiratory diseases. Conclusion To promote healthy ageing of populations, priority should be given to reduce the LED disadvantage in women by targeting non-fatal diseases, such as musculoskeletal conditions.","author":[{"dropping-particle":"","family":"Yokota","given":"Renata T C","non-dropping-particle":"","parse-names":false,"suffix":""},{"dropping-particle":"","family":"Nusselder","given":"Willma J","non-dropping-particle":"","parse-names":false,"suffix":""},{"dropping-particle":"","family":"Robine","given":"Jean-Marie","non-dropping-particle":"","parse-names":false,"suffix":""},{"dropping-particle":"","family":"Tafforeau","given":"Jean","non-dropping-particle":"","parse-names":false,"suffix":""},{"dropping-particle":"","family":"Renard","given":"Françoise","non-dropping-particle":"","parse-names":false,"suffix":""},{"dropping-particle":"","family":"Deboosere","given":"Patrick","non-dropping-particle":"","parse-names":false,"suffix":""},{"dropping-particle":"","family":"Oyen","given":"Herman","non-dropping-particle":"Van","parse-names":false,"suffix":""}],"container-title":"European journal of public health","id":"ITEM-5","issue":"1","issued":{"date-parts":[["2019","2","1"]]},"page":"82-87","title":"Contribution of chronic conditions to gender disparities in health expectancies in Belgium, 2001, 2004 and 2008.","type":"article-journal","volume":"29"},"uris":["http://www.mendeley.com/documents/?uuid=e14c2d5a-22c7-456c-a7b4-678d36dafe3e"]},{"id":"ITEM-6","itemData":{"DOI":"10.1093/geront/43.3.406","ISBN":"0016-9013","ISSN":"00169013","PMID":"12810905","abstract":"PURPOSE: The purpose of this study was to assess whether there is an enduring gender difference in the ability of self-rated health to predict mortality and investigate whether self-reported physical health problems account for this difference. DESIGN AND METHODS: Cox models for 4-year survival were fitted to data from successive cohorts aged 75-81 years registered with a primary care practice in the U.K. Midlands surveyed in 1981, 1988, and 1993-1995. RESULTS: Self-rated health was consistently a stronger predictor in men (hazard ratio [HR] = 2.7; 95% confidence interval [CI] = 2.1-3.5) than it was in women (HR = 1.9; 95% CI = 1.5-2.4). Women surveyed in 1993-1995 were more likely than men to report problems that were disabling but not life-threatening, whereas men were more likely to report potentially life-threatening problems. However, these differences did not explain the association of self-rated health with mortality. More than half of those who reported a potentially life-threatening problem said that their health was good. IMPLICATIONS: Self-rated health is more strongly associated with mortality in men, but this is unlikely to be explained by differences in the nature of their physical health problems.","author":[{"dropping-particle":"","family":"Spiers","given":"Nicola","non-dropping-particle":"","parse-names":false,"suffix":""},{"dropping-particle":"","family":"Jagger","given":"Carol","non-dropping-particle":"","parse-names":false,"suffix":""},{"dropping-particle":"","family":"Clarke","given":"Michael","non-dropping-particle":"","parse-names":false,"suffix":""},{"dropping-particle":"","family":"Arthur","given":"Antony","non-dropping-particle":"","parse-names":false,"suffix":""}],"container-title":"Gerontologist","id":"ITEM-6","issue":"3","issued":{"date-parts":[["2003"]]},"page":"406-411","title":"Are gender differences in the relationship between self-rated health and mortality enduring? Results from three birth cohorts in Melton Mowbray, United Kingdom","type":"article-journal","volume":"43"},"uris":["http://www.mendeley.com/documents/?uuid=d9179ee9-cea1-402f-891d-a9d08cb2b2bb"]}],"mendeley":{"formattedCitation":"(Crimmins et al. 2002; Spiers et al. 2003; Luy and Minagawa 2014; Luy and Wegner-Siegmundt 2015; Luy 2016; Yokota et al. 2019)","manualFormatting":"Crimmins et al. 2002; Spiers et al. 2003; Luy and Minagawa 2014; Luy and Wegner-Siegmundt 2015; Luy 2016; Yokota et al. 2019)","plainTextFormattedCitation":"(Crimmins et al. 2002; Spiers et al. 2003; Luy and Minagawa 2014; Luy and Wegner-Siegmundt 2015; Luy 2016; Yokota et al. 2019)","previouslyFormattedCitation":"(Crimmins et al. 2002; Spiers et al. 2003; Luy and Minagawa 2014; Luy and Wegner-Siegmundt 2015; Luy 2016; Yokota et al. 2019)"},"properties":{"noteIndex":0},"schema":"https://github.com/citation-style-language/schema/raw/master/csl-citation.json"}</w:instrText>
      </w:r>
      <w:r>
        <w:rPr>
          <w:rFonts w:ascii="Arial" w:hAnsi="Arial" w:cs="Arial"/>
          <w:bCs/>
          <w:noProof/>
          <w:color w:val="212121"/>
        </w:rPr>
        <w:fldChar w:fldCharType="separate"/>
      </w:r>
      <w:r w:rsidRPr="00781EEF">
        <w:rPr>
          <w:rFonts w:ascii="Arial" w:hAnsi="Arial" w:cs="Arial"/>
          <w:bCs/>
          <w:noProof/>
          <w:color w:val="212121"/>
        </w:rPr>
        <w:t>Crimmins et al. 2002; Spiers et al. 2003; Luy and Minagawa 2014; Luy and Wegner-Siegmundt 2015; Luy 2016; Yokota et al. 2019)</w:t>
      </w:r>
      <w:r>
        <w:rPr>
          <w:rFonts w:ascii="Arial" w:hAnsi="Arial" w:cs="Arial"/>
          <w:bCs/>
          <w:noProof/>
          <w:color w:val="212121"/>
        </w:rPr>
        <w:fldChar w:fldCharType="end"/>
      </w:r>
      <w:r>
        <w:rPr>
          <w:rFonts w:ascii="Arial" w:hAnsi="Arial" w:cs="Arial"/>
          <w:bCs/>
          <w:color w:val="212121"/>
        </w:rPr>
        <w:fldChar w:fldCharType="end"/>
      </w:r>
      <w:r>
        <w:rPr>
          <w:rFonts w:ascii="Arial" w:hAnsi="Arial" w:cs="Arial"/>
          <w:bCs/>
          <w:color w:val="212121"/>
        </w:rPr>
        <w:t>. For this reason, d</w:t>
      </w:r>
      <w:r w:rsidRPr="00FB5491">
        <w:rPr>
          <w:rFonts w:ascii="Arial" w:hAnsi="Arial" w:cs="Arial"/>
          <w:bCs/>
          <w:color w:val="212121"/>
        </w:rPr>
        <w:t xml:space="preserve">ecomposition analyses </w:t>
      </w:r>
      <w:r>
        <w:rPr>
          <w:rFonts w:ascii="Arial" w:hAnsi="Arial" w:cs="Arial"/>
          <w:bCs/>
          <w:color w:val="212121"/>
        </w:rPr>
        <w:t>that evaluate the role</w:t>
      </w:r>
      <w:r w:rsidRPr="00FB5491">
        <w:rPr>
          <w:rFonts w:ascii="Arial" w:hAnsi="Arial" w:cs="Arial"/>
          <w:bCs/>
          <w:color w:val="212121"/>
        </w:rPr>
        <w:t xml:space="preserve"> of mortality and disability </w:t>
      </w:r>
      <w:r>
        <w:rPr>
          <w:rFonts w:ascii="Arial" w:hAnsi="Arial" w:cs="Arial"/>
          <w:bCs/>
          <w:color w:val="212121"/>
        </w:rPr>
        <w:t xml:space="preserve">in explaining gender differences in healthy life expectancy have been shown to be important, as </w:t>
      </w:r>
      <w:r w:rsidRPr="00FB5491">
        <w:rPr>
          <w:rFonts w:ascii="Arial" w:hAnsi="Arial" w:cs="Arial"/>
          <w:bCs/>
          <w:color w:val="212121"/>
        </w:rPr>
        <w:t>considerable gender differences in mortality and disability can be masked when only the total gap is</w:t>
      </w:r>
      <w:r>
        <w:rPr>
          <w:rFonts w:ascii="Arial" w:hAnsi="Arial" w:cs="Arial"/>
          <w:bCs/>
          <w:color w:val="212121"/>
        </w:rPr>
        <w:t xml:space="preserve"> analyzed </w:t>
      </w:r>
      <w:r w:rsidRPr="00FB5491">
        <w:rPr>
          <w:rFonts w:ascii="Arial" w:hAnsi="Arial" w:cs="Arial"/>
          <w:bCs/>
          <w:color w:val="212121"/>
        </w:rPr>
        <w:t>(Mairey et al. 2014; Nusselder et al. 2010; Nusselder and Looman 2004; Van Oyen et al. 2013</w:t>
      </w:r>
      <w:r>
        <w:rPr>
          <w:rFonts w:ascii="Arial" w:hAnsi="Arial" w:cs="Arial"/>
          <w:bCs/>
          <w:color w:val="212121"/>
        </w:rPr>
        <w:t>, Nepomuceno et al. 2021</w:t>
      </w:r>
      <w:r w:rsidRPr="00FB5491">
        <w:rPr>
          <w:rFonts w:ascii="Arial" w:hAnsi="Arial" w:cs="Arial"/>
          <w:bCs/>
          <w:color w:val="212121"/>
        </w:rPr>
        <w:t>).</w:t>
      </w:r>
      <w:r>
        <w:rPr>
          <w:rFonts w:ascii="Arial" w:hAnsi="Arial" w:cs="Arial"/>
          <w:bCs/>
          <w:color w:val="212121"/>
        </w:rPr>
        <w:t xml:space="preserve"> Furthermore, gender gaps in health are country-specific, as d</w:t>
      </w:r>
      <w:r>
        <w:rPr>
          <w:rFonts w:ascii="Arial" w:hAnsi="Arial" w:cs="Arial"/>
          <w:bCs/>
        </w:rPr>
        <w:t xml:space="preserve">ifferent countries not only have specific health and mortality trajectories but their own cultural and gender roles, which may in turn affect the differentials </w:t>
      </w:r>
      <w:r w:rsidRPr="0030706E">
        <w:rPr>
          <w:rFonts w:ascii="Arial" w:hAnsi="Arial" w:cs="Arial"/>
        </w:rPr>
        <w:fldChar w:fldCharType="begin" w:fldLock="1"/>
      </w:r>
      <w:r>
        <w:rPr>
          <w:rFonts w:ascii="Arial" w:hAnsi="Arial" w:cs="Arial"/>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Pr="0030706E">
        <w:rPr>
          <w:rFonts w:ascii="Arial" w:hAnsi="Arial" w:cs="Arial"/>
        </w:rPr>
        <w:fldChar w:fldCharType="separate"/>
      </w:r>
      <w:r w:rsidRPr="0030706E">
        <w:rPr>
          <w:rFonts w:ascii="Arial" w:hAnsi="Arial" w:cs="Arial"/>
          <w:noProof/>
        </w:rPr>
        <w:t>(Okojie 1994; WCF 2018)</w:t>
      </w:r>
      <w:r w:rsidRPr="0030706E">
        <w:rPr>
          <w:rFonts w:ascii="Arial" w:hAnsi="Arial" w:cs="Arial"/>
        </w:rPr>
        <w:fldChar w:fldCharType="end"/>
      </w:r>
      <w:r w:rsidRPr="0030706E">
        <w:rPr>
          <w:rFonts w:ascii="Arial" w:hAnsi="Arial" w:cs="Arial"/>
        </w:rPr>
        <w:t>.</w:t>
      </w:r>
      <w:r>
        <w:rPr>
          <w:rFonts w:ascii="Arial" w:hAnsi="Arial" w:cs="Arial"/>
          <w:bCs/>
        </w:rPr>
        <w:t xml:space="preserve"> </w:t>
      </w:r>
      <w:r w:rsidRPr="0030706E">
        <w:rPr>
          <w:rFonts w:ascii="Arial" w:hAnsi="Arial" w:cs="Arial"/>
        </w:rPr>
        <w:t xml:space="preserve">Therefore, </w:t>
      </w:r>
      <w:r>
        <w:rPr>
          <w:rFonts w:ascii="Arial" w:hAnsi="Arial" w:cs="Arial"/>
        </w:rPr>
        <w:t xml:space="preserve">it is crucial </w:t>
      </w:r>
      <w:r w:rsidRPr="0030706E">
        <w:rPr>
          <w:rFonts w:ascii="Arial" w:hAnsi="Arial" w:cs="Arial"/>
        </w:rPr>
        <w:t xml:space="preserve">to quantify health inequalities by gender and across countries with different levels of development </w:t>
      </w:r>
      <w:r>
        <w:rPr>
          <w:rFonts w:ascii="Arial" w:hAnsi="Arial" w:cs="Arial"/>
        </w:rPr>
        <w:t xml:space="preserve">in order to retrieve </w:t>
      </w:r>
      <w:r w:rsidRPr="0030706E">
        <w:rPr>
          <w:rFonts w:ascii="Arial" w:hAnsi="Arial" w:cs="Arial"/>
        </w:rPr>
        <w:t xml:space="preserve">valuable insights for healthy </w:t>
      </w:r>
      <w:r w:rsidR="0077491F">
        <w:rPr>
          <w:rFonts w:ascii="Arial" w:hAnsi="Arial" w:cs="Arial"/>
        </w:rPr>
        <w:t>aging</w:t>
      </w:r>
      <w:r>
        <w:rPr>
          <w:rFonts w:ascii="Arial" w:hAnsi="Arial" w:cs="Arial"/>
        </w:rPr>
        <w:t xml:space="preserve"> at older ages</w:t>
      </w:r>
      <w:r w:rsidRPr="0030706E">
        <w:rPr>
          <w:rFonts w:ascii="Arial" w:hAnsi="Arial" w:cs="Arial"/>
        </w:rPr>
        <w:t>.</w:t>
      </w:r>
      <w:r>
        <w:rPr>
          <w:rFonts w:ascii="Arial" w:hAnsi="Arial" w:cs="Arial"/>
        </w:rPr>
        <w:t xml:space="preserve"> </w:t>
      </w:r>
    </w:p>
    <w:p w14:paraId="1BD43022" w14:textId="0CC5462D" w:rsidR="000F44DE" w:rsidRPr="008759BF" w:rsidRDefault="00C80778" w:rsidP="0047439F">
      <w:pPr>
        <w:spacing w:line="360" w:lineRule="auto"/>
        <w:jc w:val="both"/>
        <w:rPr>
          <w:rFonts w:ascii="Arial" w:hAnsi="Arial" w:cs="Arial"/>
          <w:bCs/>
          <w:sz w:val="24"/>
          <w:szCs w:val="24"/>
        </w:rPr>
      </w:pPr>
      <w:r w:rsidRPr="0030706E">
        <w:rPr>
          <w:rFonts w:ascii="Arial" w:hAnsi="Arial" w:cs="Arial"/>
          <w:color w:val="000000"/>
          <w:sz w:val="24"/>
          <w:szCs w:val="24"/>
          <w:shd w:val="clear" w:color="auto" w:fill="FFFFFF"/>
        </w:rPr>
        <w:lastRenderedPageBreak/>
        <w:t xml:space="preserve">In this paper, we quantify the relative contribution of disability </w:t>
      </w:r>
      <w:r>
        <w:rPr>
          <w:rFonts w:ascii="Arial" w:hAnsi="Arial" w:cs="Arial"/>
          <w:color w:val="000000"/>
          <w:sz w:val="24"/>
          <w:szCs w:val="24"/>
          <w:shd w:val="clear" w:color="auto" w:fill="FFFFFF"/>
        </w:rPr>
        <w:t xml:space="preserve">and mortality </w:t>
      </w:r>
      <w:r w:rsidRPr="0030706E">
        <w:rPr>
          <w:rFonts w:ascii="Arial" w:hAnsi="Arial" w:cs="Arial"/>
          <w:color w:val="000000"/>
          <w:sz w:val="24"/>
          <w:szCs w:val="24"/>
          <w:shd w:val="clear" w:color="auto" w:fill="FFFFFF"/>
        </w:rPr>
        <w:t xml:space="preserve">to explain the gender inequality </w:t>
      </w:r>
      <w:r>
        <w:rPr>
          <w:rFonts w:ascii="Arial" w:hAnsi="Arial" w:cs="Arial"/>
          <w:color w:val="000000"/>
          <w:sz w:val="24"/>
          <w:szCs w:val="24"/>
          <w:shd w:val="clear" w:color="auto" w:fill="FFFFFF"/>
        </w:rPr>
        <w:t>in healthy life expectancy</w:t>
      </w:r>
      <w:r w:rsidRPr="0030706E">
        <w:rPr>
          <w:rFonts w:ascii="Arial" w:hAnsi="Arial" w:cs="Arial"/>
          <w:color w:val="000000"/>
          <w:sz w:val="24"/>
          <w:szCs w:val="24"/>
          <w:shd w:val="clear" w:color="auto" w:fill="FFFFFF"/>
        </w:rPr>
        <w:t xml:space="preserve"> </w:t>
      </w:r>
      <w:r w:rsidRPr="0030706E">
        <w:rPr>
          <w:rFonts w:ascii="Arial" w:hAnsi="Arial" w:cs="Arial"/>
          <w:sz w:val="24"/>
          <w:szCs w:val="24"/>
        </w:rPr>
        <w:t xml:space="preserve">across </w:t>
      </w:r>
      <w:r w:rsidRPr="0030706E">
        <w:rPr>
          <w:rFonts w:ascii="Arial" w:hAnsi="Arial" w:cs="Arial"/>
          <w:color w:val="212121"/>
          <w:sz w:val="24"/>
          <w:szCs w:val="24"/>
        </w:rPr>
        <w:t>U.S., England, Korea, China</w:t>
      </w:r>
      <w:r>
        <w:rPr>
          <w:rFonts w:ascii="Arial" w:hAnsi="Arial" w:cs="Arial"/>
          <w:color w:val="212121"/>
          <w:sz w:val="24"/>
          <w:szCs w:val="24"/>
        </w:rPr>
        <w:t xml:space="preserve">, </w:t>
      </w:r>
      <w:r w:rsidRPr="0030706E">
        <w:rPr>
          <w:rFonts w:ascii="Arial" w:hAnsi="Arial" w:cs="Arial"/>
          <w:color w:val="212121"/>
          <w:sz w:val="24"/>
          <w:szCs w:val="24"/>
        </w:rPr>
        <w:t>India</w:t>
      </w:r>
      <w:r>
        <w:rPr>
          <w:rFonts w:ascii="Arial" w:hAnsi="Arial" w:cs="Arial"/>
          <w:color w:val="212121"/>
          <w:sz w:val="24"/>
          <w:szCs w:val="24"/>
        </w:rPr>
        <w:t>, Mexico and selected European countries</w:t>
      </w:r>
      <w:r w:rsidRPr="0030706E">
        <w:rPr>
          <w:rFonts w:ascii="Arial" w:hAnsi="Arial" w:cs="Arial"/>
          <w:color w:val="212121"/>
          <w:sz w:val="24"/>
          <w:szCs w:val="24"/>
        </w:rPr>
        <w:t xml:space="preserve"> for years </w:t>
      </w:r>
      <w:r>
        <w:rPr>
          <w:rFonts w:ascii="Arial" w:hAnsi="Arial" w:cs="Arial"/>
          <w:color w:val="212121"/>
          <w:sz w:val="24"/>
          <w:szCs w:val="24"/>
        </w:rPr>
        <w:t>2014-2015 and 2017-2019</w:t>
      </w:r>
      <w:r w:rsidRPr="0030706E">
        <w:rPr>
          <w:rFonts w:ascii="Arial" w:hAnsi="Arial" w:cs="Arial"/>
          <w:color w:val="212121"/>
          <w:sz w:val="24"/>
          <w:szCs w:val="24"/>
        </w:rPr>
        <w:t xml:space="preserve"> at ages </w:t>
      </w:r>
      <w:r w:rsidR="00222F05">
        <w:rPr>
          <w:rFonts w:ascii="Arial" w:hAnsi="Arial" w:cs="Arial"/>
          <w:color w:val="212121"/>
          <w:sz w:val="24"/>
          <w:szCs w:val="24"/>
        </w:rPr>
        <w:t>6</w:t>
      </w:r>
      <w:r w:rsidRPr="0030706E">
        <w:rPr>
          <w:rFonts w:ascii="Arial" w:hAnsi="Arial" w:cs="Arial"/>
          <w:color w:val="212121"/>
          <w:sz w:val="24"/>
          <w:szCs w:val="24"/>
        </w:rPr>
        <w:t>0 and over</w:t>
      </w:r>
      <w:r w:rsidRPr="0030706E">
        <w:rPr>
          <w:rFonts w:ascii="Arial" w:hAnsi="Arial" w:cs="Arial"/>
          <w:sz w:val="24"/>
          <w:szCs w:val="24"/>
        </w:rPr>
        <w:t>.</w:t>
      </w:r>
      <w:r>
        <w:rPr>
          <w:rFonts w:ascii="Arial" w:hAnsi="Arial" w:cs="Arial"/>
          <w:sz w:val="24"/>
          <w:szCs w:val="24"/>
        </w:rPr>
        <w:t xml:space="preserve"> </w:t>
      </w:r>
      <w:r w:rsidRPr="0030706E">
        <w:rPr>
          <w:rFonts w:ascii="Arial" w:hAnsi="Arial" w:cs="Arial"/>
          <w:color w:val="212121"/>
          <w:sz w:val="24"/>
          <w:szCs w:val="24"/>
        </w:rPr>
        <w:t xml:space="preserve">Our work takes advantage of the </w:t>
      </w:r>
      <w:r w:rsidRPr="0030706E">
        <w:rPr>
          <w:rFonts w:ascii="Arial" w:hAnsi="Arial" w:cs="Arial"/>
          <w:bCs/>
          <w:sz w:val="24"/>
          <w:szCs w:val="24"/>
        </w:rPr>
        <w:t>harmonized versions of data from the international aging and retirement studies</w:t>
      </w:r>
      <w:r w:rsidRPr="0030706E">
        <w:rPr>
          <w:rFonts w:ascii="Arial" w:hAnsi="Arial" w:cs="Arial"/>
          <w:color w:val="212121"/>
          <w:sz w:val="24"/>
          <w:szCs w:val="24"/>
        </w:rPr>
        <w:t xml:space="preserve"> developed by the </w:t>
      </w:r>
      <w:r w:rsidRPr="0030706E">
        <w:rPr>
          <w:rFonts w:ascii="Arial" w:hAnsi="Arial" w:cs="Arial"/>
          <w:bCs/>
          <w:sz w:val="24"/>
          <w:szCs w:val="24"/>
        </w:rPr>
        <w:t xml:space="preserve">USC Program on Global Aging, Health, and Policy, which allow </w:t>
      </w:r>
      <w:r>
        <w:rPr>
          <w:rFonts w:ascii="Arial" w:hAnsi="Arial" w:cs="Arial"/>
          <w:bCs/>
          <w:sz w:val="24"/>
          <w:szCs w:val="24"/>
        </w:rPr>
        <w:t xml:space="preserve">for </w:t>
      </w:r>
      <w:r w:rsidRPr="0030706E">
        <w:rPr>
          <w:rFonts w:ascii="Arial" w:hAnsi="Arial" w:cs="Arial"/>
          <w:bCs/>
          <w:sz w:val="24"/>
          <w:szCs w:val="24"/>
        </w:rPr>
        <w:t>a unique opportunity to perform comparisons among identically defined variables across countries. We focus on harmonized HRS (U.S.), ELSA (England), KLoSA (South Korea), CHARLS (China), LASI (India),</w:t>
      </w:r>
      <w:r>
        <w:rPr>
          <w:rFonts w:ascii="Arial" w:hAnsi="Arial" w:cs="Arial"/>
          <w:bCs/>
          <w:sz w:val="24"/>
          <w:szCs w:val="24"/>
        </w:rPr>
        <w:t xml:space="preserve"> MHAS (Mexico)</w:t>
      </w:r>
      <w:r w:rsidRPr="0030706E">
        <w:rPr>
          <w:rFonts w:ascii="Arial" w:hAnsi="Arial" w:cs="Arial"/>
          <w:bCs/>
          <w:sz w:val="24"/>
          <w:szCs w:val="24"/>
        </w:rPr>
        <w:t xml:space="preserve"> </w:t>
      </w:r>
      <w:r>
        <w:rPr>
          <w:rFonts w:ascii="Arial" w:hAnsi="Arial" w:cs="Arial"/>
          <w:bCs/>
          <w:sz w:val="24"/>
          <w:szCs w:val="24"/>
        </w:rPr>
        <w:t xml:space="preserve">and </w:t>
      </w:r>
      <w:r w:rsidRPr="0030706E">
        <w:rPr>
          <w:rFonts w:ascii="Arial" w:hAnsi="Arial" w:cs="Arial"/>
          <w:bCs/>
          <w:sz w:val="24"/>
          <w:szCs w:val="24"/>
        </w:rPr>
        <w:t>SHARE (EU Countries)</w:t>
      </w:r>
      <w:r>
        <w:rPr>
          <w:rFonts w:ascii="Arial" w:hAnsi="Arial" w:cs="Arial"/>
          <w:bCs/>
          <w:sz w:val="24"/>
          <w:szCs w:val="24"/>
        </w:rPr>
        <w:t xml:space="preserve"> </w:t>
      </w:r>
      <w:r w:rsidRPr="0030706E">
        <w:rPr>
          <w:rFonts w:ascii="Arial" w:hAnsi="Arial" w:cs="Arial"/>
          <w:bCs/>
          <w:sz w:val="24"/>
          <w:szCs w:val="24"/>
        </w:rPr>
        <w:t xml:space="preserve">due to their unique epidemiological and mortality trajectories </w:t>
      </w:r>
      <w:r>
        <w:rPr>
          <w:rFonts w:ascii="Arial" w:hAnsi="Arial" w:cs="Arial"/>
          <w:bCs/>
          <w:sz w:val="24"/>
          <w:szCs w:val="24"/>
        </w:rPr>
        <w:t xml:space="preserve">coupled with country-specific </w:t>
      </w:r>
      <w:r w:rsidRPr="0030706E">
        <w:rPr>
          <w:rFonts w:ascii="Arial" w:hAnsi="Arial" w:cs="Arial"/>
          <w:bCs/>
          <w:sz w:val="24"/>
          <w:szCs w:val="24"/>
        </w:rPr>
        <w:t>gender roles</w:t>
      </w:r>
      <w:r>
        <w:rPr>
          <w:rFonts w:ascii="Arial" w:hAnsi="Arial" w:cs="Arial"/>
          <w:bCs/>
          <w:sz w:val="24"/>
          <w:szCs w:val="24"/>
        </w:rPr>
        <w:t xml:space="preserve">, which </w:t>
      </w:r>
      <w:r w:rsidRPr="0030706E">
        <w:rPr>
          <w:rFonts w:ascii="Arial" w:hAnsi="Arial" w:cs="Arial"/>
          <w:bCs/>
          <w:sz w:val="24"/>
          <w:szCs w:val="24"/>
        </w:rPr>
        <w:t>enable us to investigate gender inequality</w:t>
      </w:r>
      <w:r>
        <w:rPr>
          <w:rFonts w:ascii="Arial" w:hAnsi="Arial" w:cs="Arial"/>
          <w:bCs/>
          <w:sz w:val="24"/>
          <w:szCs w:val="24"/>
        </w:rPr>
        <w:t xml:space="preserve"> in health and mortality in </w:t>
      </w:r>
      <w:r w:rsidRPr="0030706E">
        <w:rPr>
          <w:rFonts w:ascii="Arial" w:hAnsi="Arial" w:cs="Arial"/>
          <w:bCs/>
          <w:sz w:val="24"/>
          <w:szCs w:val="24"/>
        </w:rPr>
        <w:t>different settings.</w:t>
      </w:r>
      <w:r>
        <w:rPr>
          <w:rFonts w:ascii="Arial" w:hAnsi="Arial" w:cs="Arial"/>
          <w:bCs/>
          <w:sz w:val="24"/>
          <w:szCs w:val="24"/>
        </w:rPr>
        <w:t xml:space="preserve"> </w:t>
      </w:r>
      <w:r>
        <w:rPr>
          <w:rFonts w:ascii="Arial" w:hAnsi="Arial" w:cs="Arial"/>
          <w:color w:val="000000"/>
          <w:sz w:val="24"/>
          <w:szCs w:val="24"/>
          <w:shd w:val="clear" w:color="auto" w:fill="FFFFFF"/>
        </w:rPr>
        <w:t xml:space="preserve">We </w:t>
      </w:r>
      <w:r w:rsidRPr="0030706E">
        <w:rPr>
          <w:rFonts w:ascii="Arial" w:hAnsi="Arial" w:cs="Arial"/>
          <w:color w:val="000000"/>
          <w:sz w:val="24"/>
          <w:szCs w:val="24"/>
          <w:shd w:val="clear" w:color="auto" w:fill="FFFFFF"/>
        </w:rPr>
        <w:t xml:space="preserve">estimate disability- and chronic disease-free life expectancies (DFLE and CDFLE) for ages </w:t>
      </w:r>
      <w:r w:rsidR="00222F05">
        <w:rPr>
          <w:rFonts w:ascii="Arial" w:hAnsi="Arial" w:cs="Arial"/>
          <w:color w:val="000000"/>
          <w:sz w:val="24"/>
          <w:szCs w:val="24"/>
          <w:shd w:val="clear" w:color="auto" w:fill="FFFFFF"/>
        </w:rPr>
        <w:t>6</w:t>
      </w:r>
      <w:r w:rsidRPr="0030706E">
        <w:rPr>
          <w:rFonts w:ascii="Arial" w:hAnsi="Arial" w:cs="Arial"/>
          <w:color w:val="000000"/>
          <w:sz w:val="24"/>
          <w:szCs w:val="24"/>
          <w:shd w:val="clear" w:color="auto" w:fill="FFFFFF"/>
        </w:rPr>
        <w:t xml:space="preserve">0 and over using the Sullivan Method </w:t>
      </w:r>
      <w:r w:rsidRPr="0030706E">
        <w:rPr>
          <w:rFonts w:ascii="Arial" w:hAnsi="Arial" w:cs="Arial"/>
          <w:color w:val="000000"/>
          <w:sz w:val="24"/>
          <w:szCs w:val="24"/>
          <w:shd w:val="clear" w:color="auto" w:fill="FFFFFF"/>
        </w:rPr>
        <w:fldChar w:fldCharType="begin" w:fldLock="1"/>
      </w:r>
      <w:r>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Pr="0030706E">
        <w:rPr>
          <w:rFonts w:ascii="Arial" w:hAnsi="Arial" w:cs="Arial"/>
          <w:color w:val="000000"/>
          <w:sz w:val="24"/>
          <w:szCs w:val="24"/>
          <w:shd w:val="clear" w:color="auto" w:fill="FFFFFF"/>
        </w:rPr>
        <w:fldChar w:fldCharType="separate"/>
      </w:r>
      <w:r w:rsidRPr="0030706E">
        <w:rPr>
          <w:rFonts w:ascii="Arial" w:hAnsi="Arial" w:cs="Arial"/>
          <w:noProof/>
          <w:color w:val="000000"/>
          <w:sz w:val="24"/>
          <w:szCs w:val="24"/>
          <w:shd w:val="clear" w:color="auto" w:fill="FFFFFF"/>
        </w:rPr>
        <w:t>(Sullivan 1971; Crimmins et al. 2016)</w:t>
      </w:r>
      <w:r w:rsidRPr="0030706E">
        <w:rPr>
          <w:rFonts w:ascii="Arial" w:hAnsi="Arial" w:cs="Arial"/>
          <w:color w:val="000000"/>
          <w:sz w:val="24"/>
          <w:szCs w:val="24"/>
          <w:shd w:val="clear" w:color="auto" w:fill="FFFFFF"/>
        </w:rPr>
        <w:fldChar w:fldCharType="end"/>
      </w:r>
      <w:r w:rsidRPr="0030706E">
        <w:rPr>
          <w:rFonts w:ascii="Arial" w:hAnsi="Arial" w:cs="Arial"/>
          <w:color w:val="000000"/>
          <w:sz w:val="24"/>
          <w:szCs w:val="24"/>
          <w:shd w:val="clear" w:color="auto" w:fill="FFFFFF"/>
        </w:rPr>
        <w:t>. For disability, we use the harmonized</w:t>
      </w:r>
      <w:r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Pr="0030706E">
        <w:rPr>
          <w:rFonts w:ascii="Arial" w:hAnsi="Arial" w:cs="Arial"/>
          <w:color w:val="000000"/>
          <w:sz w:val="24"/>
          <w:szCs w:val="24"/>
          <w:shd w:val="clear" w:color="auto" w:fill="FFFFFF"/>
        </w:rPr>
        <w:t xml:space="preserve">we use the harmonized variables on specific chronic conditions diagnosed by a physician, which include diabetes, arthritis, cancer, and cardiovascular diseases. </w:t>
      </w:r>
      <w:r w:rsidR="00222F05">
        <w:rPr>
          <w:rFonts w:ascii="Arial" w:hAnsi="Arial" w:cs="Arial"/>
          <w:sz w:val="24"/>
          <w:szCs w:val="24"/>
        </w:rPr>
        <w:t>The choice of years refers to the most recent waves for which harmonized data on health</w:t>
      </w:r>
      <w:r w:rsidR="00222F05">
        <w:rPr>
          <w:rFonts w:ascii="Arial" w:hAnsi="Arial" w:cs="Arial"/>
          <w:sz w:val="24"/>
          <w:szCs w:val="24"/>
        </w:rPr>
        <w:t xml:space="preserve"> for this set of countries</w:t>
      </w:r>
      <w:r w:rsidR="00222F05">
        <w:rPr>
          <w:rFonts w:ascii="Arial" w:hAnsi="Arial" w:cs="Arial"/>
          <w:sz w:val="24"/>
          <w:szCs w:val="24"/>
        </w:rPr>
        <w:t xml:space="preserve"> is available</w:t>
      </w:r>
      <w:r w:rsidR="00222F05">
        <w:rPr>
          <w:rFonts w:ascii="Arial" w:hAnsi="Arial" w:cs="Arial"/>
          <w:sz w:val="24"/>
          <w:szCs w:val="24"/>
        </w:rPr>
        <w:t xml:space="preserve"> and there is concordance across surveys</w:t>
      </w:r>
      <w:r w:rsidR="00222F05">
        <w:rPr>
          <w:rFonts w:ascii="Arial" w:hAnsi="Arial" w:cs="Arial"/>
          <w:sz w:val="24"/>
          <w:szCs w:val="24"/>
        </w:rPr>
        <w:t xml:space="preserve">.  </w:t>
      </w:r>
      <w:r>
        <w:rPr>
          <w:rFonts w:ascii="Arial" w:hAnsi="Arial" w:cs="Arial"/>
          <w:color w:val="000000"/>
          <w:sz w:val="24"/>
          <w:szCs w:val="24"/>
          <w:shd w:val="clear" w:color="auto" w:fill="FFFFFF"/>
        </w:rPr>
        <w:t>We thus</w:t>
      </w:r>
      <w:r w:rsidRPr="0030706E">
        <w:rPr>
          <w:rFonts w:ascii="Arial" w:hAnsi="Arial" w:cs="Arial"/>
          <w:color w:val="000000"/>
          <w:sz w:val="24"/>
          <w:szCs w:val="24"/>
          <w:shd w:val="clear" w:color="auto" w:fill="FFFFFF"/>
        </w:rPr>
        <w:t xml:space="preserve"> used </w:t>
      </w:r>
      <w:r>
        <w:rPr>
          <w:rFonts w:ascii="Arial" w:hAnsi="Arial" w:cs="Arial"/>
          <w:color w:val="000000"/>
          <w:sz w:val="24"/>
          <w:szCs w:val="24"/>
          <w:shd w:val="clear" w:color="auto" w:fill="FFFFFF"/>
        </w:rPr>
        <w:t>waves pertaining to</w:t>
      </w:r>
      <w:r w:rsidRPr="0030706E">
        <w:rPr>
          <w:rFonts w:ascii="Arial" w:hAnsi="Arial" w:cs="Arial"/>
          <w:color w:val="000000"/>
          <w:sz w:val="24"/>
          <w:szCs w:val="24"/>
          <w:shd w:val="clear" w:color="auto" w:fill="FFFFFF"/>
        </w:rPr>
        <w:t xml:space="preserve"> year 2014</w:t>
      </w:r>
      <w:r w:rsidR="00284997">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r w:rsidRPr="00564503">
        <w:rPr>
          <w:rFonts w:ascii="Arial" w:hAnsi="Arial" w:cs="Arial"/>
          <w:color w:val="000000"/>
          <w:sz w:val="24"/>
          <w:szCs w:val="24"/>
          <w:shd w:val="clear" w:color="auto" w:fill="FFFFFF"/>
        </w:rPr>
        <w:t>ELSA: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r w:rsidRPr="0030706E">
        <w:rPr>
          <w:rFonts w:ascii="Arial" w:hAnsi="Arial" w:cs="Arial"/>
          <w:bCs/>
          <w:sz w:val="24"/>
          <w:szCs w:val="24"/>
        </w:rPr>
        <w:t>KLoSA</w:t>
      </w:r>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The only exception is India, since the first wave of LASI was carried on between 2017-2019.</w:t>
      </w:r>
      <w:r>
        <w:rPr>
          <w:rFonts w:ascii="Arial" w:hAnsi="Arial" w:cs="Arial"/>
          <w:bCs/>
          <w:sz w:val="24"/>
          <w:szCs w:val="24"/>
        </w:rPr>
        <w:t xml:space="preserve"> </w:t>
      </w:r>
      <w:r w:rsidR="00284997">
        <w:rPr>
          <w:rFonts w:ascii="Arial" w:hAnsi="Arial" w:cs="Arial"/>
          <w:bCs/>
          <w:sz w:val="24"/>
          <w:szCs w:val="24"/>
        </w:rPr>
        <w:t xml:space="preserve">We focus on age 60 and above to be coherent towards the definition of old age across countries. While most developed countries define old age as 65, for China and Mexico it is age 60. </w:t>
      </w:r>
      <w:r>
        <w:rPr>
          <w:rFonts w:ascii="Arial" w:hAnsi="Arial" w:cs="Arial"/>
          <w:color w:val="000000"/>
          <w:sz w:val="24"/>
          <w:szCs w:val="24"/>
          <w:shd w:val="clear" w:color="auto" w:fill="FFFFFF"/>
        </w:rPr>
        <w:t xml:space="preserve">We </w:t>
      </w:r>
      <w:r w:rsidRPr="0030706E">
        <w:rPr>
          <w:rFonts w:ascii="Arial" w:hAnsi="Arial" w:cs="Arial"/>
          <w:color w:val="000000"/>
          <w:sz w:val="24"/>
          <w:szCs w:val="24"/>
          <w:shd w:val="clear" w:color="auto" w:fill="FFFFFF"/>
        </w:rPr>
        <w:t xml:space="preserve">estimate disability- and chronic disease-free life expectancies (DFLE and CDFLE) for ages </w:t>
      </w:r>
      <w:r w:rsidR="00222F05">
        <w:rPr>
          <w:rFonts w:ascii="Arial" w:hAnsi="Arial" w:cs="Arial"/>
          <w:color w:val="000000"/>
          <w:sz w:val="24"/>
          <w:szCs w:val="24"/>
          <w:shd w:val="clear" w:color="auto" w:fill="FFFFFF"/>
        </w:rPr>
        <w:t>6</w:t>
      </w:r>
      <w:r w:rsidRPr="0030706E">
        <w:rPr>
          <w:rFonts w:ascii="Arial" w:hAnsi="Arial" w:cs="Arial"/>
          <w:color w:val="000000"/>
          <w:sz w:val="24"/>
          <w:szCs w:val="24"/>
          <w:shd w:val="clear" w:color="auto" w:fill="FFFFFF"/>
        </w:rPr>
        <w:t xml:space="preserve">0 and over using the Sullivan Method </w:t>
      </w:r>
      <w:r w:rsidRPr="0030706E">
        <w:rPr>
          <w:rFonts w:ascii="Arial" w:hAnsi="Arial" w:cs="Arial"/>
          <w:color w:val="000000"/>
          <w:sz w:val="24"/>
          <w:szCs w:val="24"/>
          <w:shd w:val="clear" w:color="auto" w:fill="FFFFFF"/>
        </w:rPr>
        <w:fldChar w:fldCharType="begin" w:fldLock="1"/>
      </w:r>
      <w:r>
        <w:rPr>
          <w:rFonts w:ascii="Arial" w:hAnsi="Arial" w:cs="Arial"/>
          <w:color w:val="000000"/>
          <w:sz w:val="24"/>
          <w:szCs w:val="24"/>
          <w:shd w:val="clear" w:color="auto" w:fill="FFFFFF"/>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morbidity","type":"article-journal","volume":"86"},"uris":["http://www.mendeley.com/documents/?uuid=53ae6c7c-eab6-4718-8411-68f9d0e12fb1"]},{"id":"ITEM-2","itemData":{"DOI":"10.2105/AJPH.2016.303120","author":[{"dropping-particle":"","family":"Crimmins","given":"Eileen M","non-dropping-particle":"","parse-names":false,"suffix":""},{"dropping-particle":"","family":"Zhang","given":"Yuan","non-dropping-particle":"","parse-names":false,"suffix":""},{"dropping-particle":"","family":"Saito","given":"Yasuhiko","non-dropping-particle":"","parse-names":false,"suffix":""}],"id":"ITEM-2","issue":"7","issued":{"date-parts":[["2016"]]},"page":"1287-1293","title":"Trends Over 4 Decades in Disability-Free Life Expectancy in the United States","type":"article-journal","volume":"106"},"uris":["http://www.mendeley.com/documents/?uuid=5f91cfd1-0d5c-4fca-a8ba-8668d91b3001"]}],"mendeley":{"formattedCitation":"(Sullivan 1971; Crimmins et al. 2016)","plainTextFormattedCitation":"(Sullivan 1971; Crimmins et al. 2016)","previouslyFormattedCitation":"(Sullivan 1971; Crimmins et al. 2016)"},"properties":{"noteIndex":0},"schema":"https://github.com/citation-style-language/schema/raw/master/csl-citation.json"}</w:instrText>
      </w:r>
      <w:r w:rsidRPr="0030706E">
        <w:rPr>
          <w:rFonts w:ascii="Arial" w:hAnsi="Arial" w:cs="Arial"/>
          <w:color w:val="000000"/>
          <w:sz w:val="24"/>
          <w:szCs w:val="24"/>
          <w:shd w:val="clear" w:color="auto" w:fill="FFFFFF"/>
        </w:rPr>
        <w:fldChar w:fldCharType="separate"/>
      </w:r>
      <w:r w:rsidRPr="0030706E">
        <w:rPr>
          <w:rFonts w:ascii="Arial" w:hAnsi="Arial" w:cs="Arial"/>
          <w:noProof/>
          <w:color w:val="000000"/>
          <w:sz w:val="24"/>
          <w:szCs w:val="24"/>
          <w:shd w:val="clear" w:color="auto" w:fill="FFFFFF"/>
        </w:rPr>
        <w:t>(Sullivan 1971; Crimmins et al. 2016)</w:t>
      </w:r>
      <w:r w:rsidRPr="0030706E">
        <w:rPr>
          <w:rFonts w:ascii="Arial" w:hAnsi="Arial" w:cs="Arial"/>
          <w:color w:val="000000"/>
          <w:sz w:val="24"/>
          <w:szCs w:val="24"/>
          <w:shd w:val="clear" w:color="auto" w:fill="FFFFFF"/>
        </w:rPr>
        <w:fldChar w:fldCharType="end"/>
      </w:r>
      <w:r w:rsidRPr="0030706E">
        <w:rPr>
          <w:rFonts w:ascii="Arial" w:hAnsi="Arial" w:cs="Arial"/>
          <w:color w:val="000000"/>
          <w:sz w:val="24"/>
          <w:szCs w:val="24"/>
          <w:shd w:val="clear" w:color="auto" w:fill="FFFFFF"/>
        </w:rPr>
        <w:t>. For disability, we use the harmonized</w:t>
      </w:r>
      <w:r w:rsidRPr="0030706E">
        <w:rPr>
          <w:rFonts w:ascii="Arial" w:hAnsi="Arial" w:cs="Arial"/>
          <w:sz w:val="24"/>
          <w:szCs w:val="24"/>
        </w:rPr>
        <w:t xml:space="preserve"> dummy variable constructed from a 5-item list of activities of daily living (ADLs), which include bathing, dressing, eating, getting in and out of bed, and using the toilet. For chronic diseases, </w:t>
      </w:r>
      <w:r w:rsidRPr="0030706E">
        <w:rPr>
          <w:rFonts w:ascii="Arial" w:hAnsi="Arial" w:cs="Arial"/>
          <w:color w:val="000000"/>
          <w:sz w:val="24"/>
          <w:szCs w:val="24"/>
          <w:shd w:val="clear" w:color="auto" w:fill="FFFFFF"/>
        </w:rPr>
        <w:t xml:space="preserve">we use the harmonized variables on specific chronic conditions diagnosed by a physician, which include diabetes, arthritis, cancer, and cardiovascular diseases.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xml:space="preserve">, we apply the continuous change decomposition method (Horiuchi et al. 2008) implemented in R by </w:t>
      </w:r>
      <w:r w:rsidRPr="00F01444">
        <w:rPr>
          <w:rFonts w:ascii="Arial" w:hAnsi="Arial" w:cs="Arial"/>
          <w:color w:val="000000"/>
          <w:sz w:val="24"/>
          <w:szCs w:val="24"/>
          <w:shd w:val="clear" w:color="auto" w:fill="FFFFFF"/>
        </w:rPr>
        <w:lastRenderedPageBreak/>
        <w:t>Riffe (2018), so we can split gender differences in healthy life expectancy into mortality and disability/chronic disease effects by age (van Raalte and Nepomuceno 2020; Nepomuceno et al. 2021)</w:t>
      </w:r>
      <w:r w:rsidR="008759BF">
        <w:rPr>
          <w:rFonts w:ascii="Arial" w:hAnsi="Arial" w:cs="Arial"/>
          <w:color w:val="000000"/>
          <w:sz w:val="24"/>
          <w:szCs w:val="24"/>
          <w:shd w:val="clear" w:color="auto" w:fill="FFFFFF"/>
        </w:rPr>
        <w:t xml:space="preserve">. </w:t>
      </w:r>
      <w:r w:rsidRPr="008759BF">
        <w:rPr>
          <w:rFonts w:ascii="Arial" w:hAnsi="Arial" w:cs="Arial"/>
          <w:bCs/>
          <w:color w:val="212121"/>
          <w:sz w:val="24"/>
          <w:szCs w:val="24"/>
        </w:rPr>
        <w:t>By performing cross-country comparisons and looking into countries that have different cultural outlooks on gender we can provide further insights into how gender norms interact with health and mortality.</w:t>
      </w:r>
      <w:r>
        <w:rPr>
          <w:rFonts w:ascii="Arial" w:hAnsi="Arial" w:cs="Arial"/>
          <w:bCs/>
          <w:color w:val="212121"/>
        </w:rPr>
        <w:t xml:space="preserve"> </w:t>
      </w:r>
    </w:p>
    <w:p w14:paraId="739EC92C" w14:textId="77777777" w:rsidR="000F44DE" w:rsidRPr="0030706E" w:rsidRDefault="000F44DE" w:rsidP="0047439F">
      <w:pPr>
        <w:spacing w:line="360" w:lineRule="auto"/>
        <w:jc w:val="both"/>
        <w:rPr>
          <w:rFonts w:ascii="Arial" w:hAnsi="Arial" w:cs="Arial"/>
          <w:color w:val="000000"/>
          <w:sz w:val="24"/>
          <w:szCs w:val="24"/>
          <w:shd w:val="clear" w:color="auto" w:fill="FFFFFF"/>
        </w:rPr>
      </w:pPr>
    </w:p>
    <w:p w14:paraId="4648111C" w14:textId="51DCA248" w:rsidR="002751EC" w:rsidRDefault="00B10295" w:rsidP="0047439F">
      <w:pPr>
        <w:spacing w:line="360" w:lineRule="auto"/>
        <w:jc w:val="both"/>
        <w:rPr>
          <w:rFonts w:ascii="Arial" w:hAnsi="Arial" w:cs="Arial"/>
          <w:b/>
          <w:bCs/>
          <w:color w:val="000000"/>
          <w:sz w:val="24"/>
          <w:szCs w:val="24"/>
          <w:shd w:val="clear" w:color="auto" w:fill="FFFFFF"/>
        </w:rPr>
      </w:pPr>
      <w:r w:rsidRPr="002751EC">
        <w:rPr>
          <w:rFonts w:ascii="Arial" w:hAnsi="Arial" w:cs="Arial"/>
          <w:b/>
          <w:bCs/>
          <w:color w:val="000000"/>
          <w:sz w:val="24"/>
          <w:szCs w:val="24"/>
          <w:shd w:val="clear" w:color="auto" w:fill="FFFFFF"/>
        </w:rPr>
        <w:t>Material and Methods</w:t>
      </w:r>
    </w:p>
    <w:p w14:paraId="184A766E" w14:textId="77777777" w:rsidR="00D24482" w:rsidRPr="002751EC" w:rsidRDefault="00D24482" w:rsidP="0047439F">
      <w:pPr>
        <w:spacing w:line="360" w:lineRule="auto"/>
        <w:jc w:val="both"/>
        <w:rPr>
          <w:rFonts w:ascii="Arial" w:hAnsi="Arial" w:cs="Arial"/>
          <w:b/>
          <w:bCs/>
          <w:color w:val="000000"/>
          <w:sz w:val="24"/>
          <w:szCs w:val="24"/>
          <w:shd w:val="clear" w:color="auto" w:fill="FFFFFF"/>
        </w:rPr>
      </w:pPr>
    </w:p>
    <w:p w14:paraId="146DD5AA" w14:textId="4C0E57DC" w:rsidR="00244374" w:rsidRDefault="00C81952" w:rsidP="00D24482">
      <w:pPr>
        <w:spacing w:line="360" w:lineRule="auto"/>
        <w:jc w:val="both"/>
        <w:rPr>
          <w:rFonts w:ascii="Arial" w:hAnsi="Arial" w:cs="Arial"/>
          <w:color w:val="000000"/>
          <w:sz w:val="24"/>
          <w:szCs w:val="24"/>
          <w:shd w:val="clear" w:color="auto" w:fill="FFFFFF"/>
        </w:rPr>
      </w:pPr>
      <w:r>
        <w:rPr>
          <w:rFonts w:ascii="Arial" w:hAnsi="Arial" w:cs="Arial"/>
          <w:bCs/>
          <w:sz w:val="24"/>
          <w:szCs w:val="24"/>
        </w:rPr>
        <w:t>The data is retrieved from the</w:t>
      </w:r>
      <w:r w:rsidR="00B913F1">
        <w:rPr>
          <w:rFonts w:ascii="Arial" w:hAnsi="Arial" w:cs="Arial"/>
          <w:bCs/>
          <w:sz w:val="24"/>
          <w:szCs w:val="24"/>
        </w:rPr>
        <w:t xml:space="preserve"> </w:t>
      </w:r>
      <w:r w:rsidR="00593E85" w:rsidRPr="00593E85">
        <w:rPr>
          <w:rFonts w:ascii="Arial" w:hAnsi="Arial" w:cs="Arial"/>
          <w:bCs/>
          <w:sz w:val="24"/>
          <w:szCs w:val="24"/>
        </w:rPr>
        <w:t xml:space="preserve">Gateway to Global Aging Data, </w:t>
      </w:r>
      <w:r w:rsidR="00B913F1">
        <w:rPr>
          <w:rFonts w:ascii="Arial" w:hAnsi="Arial" w:cs="Arial"/>
          <w:bCs/>
          <w:sz w:val="24"/>
          <w:szCs w:val="24"/>
        </w:rPr>
        <w:t>p</w:t>
      </w:r>
      <w:r w:rsidR="00593E85" w:rsidRPr="00593E85">
        <w:rPr>
          <w:rFonts w:ascii="Arial" w:hAnsi="Arial" w:cs="Arial"/>
          <w:bCs/>
          <w:sz w:val="24"/>
          <w:szCs w:val="24"/>
        </w:rPr>
        <w:t>roduced by the Program on Global Aging, Health &amp; Policy</w:t>
      </w:r>
      <w:r w:rsidR="00B913F1">
        <w:rPr>
          <w:rFonts w:ascii="Arial" w:hAnsi="Arial" w:cs="Arial"/>
          <w:bCs/>
          <w:sz w:val="24"/>
          <w:szCs w:val="24"/>
        </w:rPr>
        <w:t xml:space="preserve"> that </w:t>
      </w:r>
      <w:r w:rsidR="00B913F1" w:rsidRPr="00B913F1">
        <w:rPr>
          <w:rFonts w:ascii="Arial" w:hAnsi="Arial" w:cs="Arial"/>
          <w:bCs/>
          <w:sz w:val="24"/>
          <w:szCs w:val="24"/>
        </w:rPr>
        <w:t xml:space="preserve">created </w:t>
      </w:r>
      <w:r w:rsidR="00B913F1">
        <w:rPr>
          <w:rFonts w:ascii="Arial" w:hAnsi="Arial" w:cs="Arial"/>
          <w:bCs/>
          <w:sz w:val="24"/>
          <w:szCs w:val="24"/>
        </w:rPr>
        <w:t>h</w:t>
      </w:r>
      <w:r w:rsidR="00B913F1" w:rsidRPr="00B913F1">
        <w:rPr>
          <w:rFonts w:ascii="Arial" w:hAnsi="Arial" w:cs="Arial"/>
          <w:bCs/>
          <w:sz w:val="24"/>
          <w:szCs w:val="24"/>
        </w:rPr>
        <w:t>armonized</w:t>
      </w:r>
      <w:r w:rsidR="00E212C5">
        <w:rPr>
          <w:rFonts w:ascii="Arial" w:hAnsi="Arial" w:cs="Arial"/>
          <w:bCs/>
          <w:sz w:val="24"/>
          <w:szCs w:val="24"/>
        </w:rPr>
        <w:t xml:space="preserve"> versions of sister-</w:t>
      </w:r>
      <w:r w:rsidR="00B913F1" w:rsidRPr="00B913F1">
        <w:rPr>
          <w:rFonts w:ascii="Arial" w:hAnsi="Arial" w:cs="Arial"/>
          <w:bCs/>
          <w:sz w:val="24"/>
          <w:szCs w:val="24"/>
        </w:rPr>
        <w:t>HRS</w:t>
      </w:r>
      <w:r w:rsidR="00E212C5">
        <w:rPr>
          <w:rFonts w:ascii="Arial" w:hAnsi="Arial" w:cs="Arial"/>
          <w:bCs/>
          <w:sz w:val="24"/>
          <w:szCs w:val="24"/>
        </w:rPr>
        <w:t xml:space="preserve"> studies. Currently</w:t>
      </w:r>
      <w:r w:rsidR="0042725B">
        <w:rPr>
          <w:rFonts w:ascii="Arial" w:hAnsi="Arial" w:cs="Arial"/>
          <w:bCs/>
          <w:sz w:val="24"/>
          <w:szCs w:val="24"/>
        </w:rPr>
        <w:t>,</w:t>
      </w:r>
      <w:r w:rsidR="00E212C5">
        <w:rPr>
          <w:rFonts w:ascii="Arial" w:hAnsi="Arial" w:cs="Arial"/>
          <w:bCs/>
          <w:sz w:val="24"/>
          <w:szCs w:val="24"/>
        </w:rPr>
        <w:t xml:space="preserve"> the harmonized version</w:t>
      </w:r>
      <w:r w:rsidR="0042725B">
        <w:rPr>
          <w:rFonts w:ascii="Arial" w:hAnsi="Arial" w:cs="Arial"/>
          <w:bCs/>
          <w:sz w:val="24"/>
          <w:szCs w:val="24"/>
        </w:rPr>
        <w:t>s</w:t>
      </w:r>
      <w:r w:rsidR="00E212C5">
        <w:rPr>
          <w:rFonts w:ascii="Arial" w:hAnsi="Arial" w:cs="Arial"/>
          <w:bCs/>
          <w:sz w:val="24"/>
          <w:szCs w:val="24"/>
        </w:rPr>
        <w:t xml:space="preserve"> available </w:t>
      </w:r>
      <w:r w:rsidR="0042725B">
        <w:rPr>
          <w:rFonts w:ascii="Arial" w:hAnsi="Arial" w:cs="Arial"/>
          <w:bCs/>
          <w:sz w:val="24"/>
          <w:szCs w:val="24"/>
        </w:rPr>
        <w:t>are</w:t>
      </w:r>
      <w:r w:rsidR="00E212C5">
        <w:rPr>
          <w:rFonts w:ascii="Arial" w:hAnsi="Arial" w:cs="Arial"/>
          <w:bCs/>
          <w:sz w:val="24"/>
          <w:szCs w:val="24"/>
        </w:rPr>
        <w:t xml:space="preserve"> HRS</w:t>
      </w:r>
      <w:r w:rsidR="00B913F1" w:rsidRPr="00B913F1">
        <w:rPr>
          <w:rFonts w:ascii="Arial" w:hAnsi="Arial" w:cs="Arial"/>
          <w:bCs/>
          <w:sz w:val="24"/>
          <w:szCs w:val="24"/>
        </w:rPr>
        <w:t xml:space="preserve"> (United States)</w:t>
      </w:r>
      <w:r w:rsidR="00E212C5">
        <w:rPr>
          <w:rFonts w:ascii="Arial" w:hAnsi="Arial" w:cs="Arial"/>
          <w:bCs/>
          <w:sz w:val="24"/>
          <w:szCs w:val="24"/>
        </w:rPr>
        <w:t xml:space="preserve">, </w:t>
      </w:r>
      <w:r w:rsidR="00B913F1" w:rsidRPr="00B913F1">
        <w:rPr>
          <w:rFonts w:ascii="Arial" w:hAnsi="Arial" w:cs="Arial"/>
          <w:bCs/>
          <w:sz w:val="24"/>
          <w:szCs w:val="24"/>
        </w:rPr>
        <w:t>ELSA (England), KLoSA (South Korea),</w:t>
      </w:r>
      <w:r w:rsidR="00B913F1">
        <w:rPr>
          <w:rFonts w:ascii="Arial" w:hAnsi="Arial" w:cs="Arial"/>
          <w:bCs/>
          <w:sz w:val="24"/>
          <w:szCs w:val="24"/>
        </w:rPr>
        <w:t xml:space="preserve"> </w:t>
      </w:r>
      <w:r w:rsidR="00B913F1" w:rsidRPr="00B913F1">
        <w:rPr>
          <w:rFonts w:ascii="Arial" w:hAnsi="Arial" w:cs="Arial"/>
          <w:bCs/>
          <w:sz w:val="24"/>
          <w:szCs w:val="24"/>
        </w:rPr>
        <w:t>JSTAR (Japan), CHARLS (China),</w:t>
      </w:r>
      <w:r w:rsidR="00B913F1">
        <w:rPr>
          <w:rFonts w:ascii="Arial" w:hAnsi="Arial" w:cs="Arial"/>
          <w:bCs/>
          <w:sz w:val="24"/>
          <w:szCs w:val="24"/>
        </w:rPr>
        <w:t xml:space="preserve"> </w:t>
      </w:r>
      <w:r w:rsidR="00B913F1" w:rsidRPr="00B913F1">
        <w:rPr>
          <w:rFonts w:ascii="Arial" w:hAnsi="Arial" w:cs="Arial"/>
          <w:bCs/>
          <w:sz w:val="24"/>
          <w:szCs w:val="24"/>
        </w:rPr>
        <w:t>LASI (India),</w:t>
      </w:r>
      <w:r w:rsidR="00B913F1">
        <w:rPr>
          <w:rFonts w:ascii="Arial" w:hAnsi="Arial" w:cs="Arial"/>
          <w:bCs/>
          <w:sz w:val="24"/>
          <w:szCs w:val="24"/>
        </w:rPr>
        <w:t xml:space="preserve"> </w:t>
      </w:r>
      <w:r w:rsidR="00B913F1" w:rsidRPr="00B913F1">
        <w:rPr>
          <w:rFonts w:ascii="Arial" w:hAnsi="Arial" w:cs="Arial"/>
          <w:bCs/>
          <w:sz w:val="24"/>
          <w:szCs w:val="24"/>
        </w:rPr>
        <w:t xml:space="preserve">MHAS (Mexico), </w:t>
      </w:r>
      <w:r w:rsidR="00044DA0">
        <w:rPr>
          <w:rFonts w:ascii="Arial" w:hAnsi="Arial" w:cs="Arial"/>
          <w:bCs/>
          <w:sz w:val="24"/>
          <w:szCs w:val="24"/>
        </w:rPr>
        <w:t xml:space="preserve">and Europe (SHARE). </w:t>
      </w:r>
      <w:r w:rsidR="0050001A">
        <w:rPr>
          <w:rFonts w:ascii="Arial" w:hAnsi="Arial" w:cs="Arial"/>
          <w:bCs/>
          <w:sz w:val="24"/>
          <w:szCs w:val="24"/>
        </w:rPr>
        <w:t xml:space="preserve">The harmonized versions have followed </w:t>
      </w:r>
      <w:r w:rsidR="0050001A" w:rsidRPr="00B913F1">
        <w:rPr>
          <w:rFonts w:ascii="Arial" w:hAnsi="Arial" w:cs="Arial"/>
          <w:bCs/>
          <w:sz w:val="24"/>
          <w:szCs w:val="24"/>
        </w:rPr>
        <w:t>the RAND HRS conventions of variable naming and data structure</w:t>
      </w:r>
      <w:r w:rsidR="0050001A">
        <w:rPr>
          <w:rFonts w:ascii="Arial" w:hAnsi="Arial" w:cs="Arial"/>
          <w:bCs/>
          <w:sz w:val="24"/>
          <w:szCs w:val="24"/>
        </w:rPr>
        <w:t xml:space="preserve"> which allow for cross-country comparisons. We focus on</w:t>
      </w:r>
      <w:r w:rsidR="00751CDB">
        <w:rPr>
          <w:rFonts w:ascii="Arial" w:hAnsi="Arial" w:cs="Arial"/>
          <w:bCs/>
          <w:sz w:val="24"/>
          <w:szCs w:val="24"/>
        </w:rPr>
        <w:t xml:space="preserve"> this specific set of countries </w:t>
      </w:r>
      <w:r w:rsidR="00A23EF4">
        <w:rPr>
          <w:rFonts w:ascii="Arial" w:hAnsi="Arial" w:cs="Arial"/>
          <w:bCs/>
          <w:sz w:val="24"/>
          <w:szCs w:val="24"/>
        </w:rPr>
        <w:t>due to the following reasons: 1.</w:t>
      </w:r>
      <w:r w:rsidR="00751CDB">
        <w:rPr>
          <w:rFonts w:ascii="Arial" w:hAnsi="Arial" w:cs="Arial"/>
          <w:bCs/>
          <w:sz w:val="24"/>
          <w:szCs w:val="24"/>
        </w:rPr>
        <w:t xml:space="preserve"> </w:t>
      </w:r>
      <w:r w:rsidR="004D22DC">
        <w:rPr>
          <w:rFonts w:ascii="Arial" w:hAnsi="Arial" w:cs="Arial"/>
          <w:bCs/>
          <w:sz w:val="24"/>
          <w:szCs w:val="24"/>
        </w:rPr>
        <w:t>m</w:t>
      </w:r>
      <w:r w:rsidR="00DB0A42">
        <w:rPr>
          <w:rFonts w:ascii="Arial" w:hAnsi="Arial" w:cs="Arial"/>
          <w:bCs/>
          <w:sz w:val="24"/>
          <w:szCs w:val="24"/>
        </w:rPr>
        <w:t xml:space="preserve">ost recent </w:t>
      </w:r>
      <w:r w:rsidR="00751CDB">
        <w:rPr>
          <w:rFonts w:ascii="Arial" w:hAnsi="Arial" w:cs="Arial"/>
          <w:bCs/>
          <w:sz w:val="24"/>
          <w:szCs w:val="24"/>
        </w:rPr>
        <w:t>data availab</w:t>
      </w:r>
      <w:r w:rsidR="00DB0A42">
        <w:rPr>
          <w:rFonts w:ascii="Arial" w:hAnsi="Arial" w:cs="Arial"/>
          <w:bCs/>
          <w:sz w:val="24"/>
          <w:szCs w:val="24"/>
        </w:rPr>
        <w:t>le for comparison</w:t>
      </w:r>
      <w:r w:rsidR="00A23EF4">
        <w:rPr>
          <w:rFonts w:ascii="Arial" w:hAnsi="Arial" w:cs="Arial"/>
          <w:bCs/>
          <w:sz w:val="24"/>
          <w:szCs w:val="24"/>
        </w:rPr>
        <w:t>; 2.</w:t>
      </w:r>
      <w:r w:rsidR="00751CDB">
        <w:rPr>
          <w:rFonts w:ascii="Arial" w:hAnsi="Arial" w:cs="Arial"/>
          <w:bCs/>
          <w:sz w:val="24"/>
          <w:szCs w:val="24"/>
        </w:rPr>
        <w:t xml:space="preserve"> </w:t>
      </w:r>
      <w:r w:rsidR="00A23EF4">
        <w:rPr>
          <w:rFonts w:ascii="Arial" w:hAnsi="Arial" w:cs="Arial"/>
          <w:bCs/>
          <w:sz w:val="24"/>
          <w:szCs w:val="24"/>
        </w:rPr>
        <w:t>un</w:t>
      </w:r>
      <w:r w:rsidR="0050001A" w:rsidRPr="0030706E">
        <w:rPr>
          <w:rFonts w:ascii="Arial" w:hAnsi="Arial" w:cs="Arial"/>
          <w:bCs/>
          <w:sz w:val="24"/>
          <w:szCs w:val="24"/>
        </w:rPr>
        <w:t>ique epidemiological and mortality trajectories</w:t>
      </w:r>
      <w:r w:rsidR="00EB7223">
        <w:rPr>
          <w:rFonts w:ascii="Arial" w:hAnsi="Arial" w:cs="Arial"/>
          <w:bCs/>
          <w:sz w:val="24"/>
          <w:szCs w:val="24"/>
        </w:rPr>
        <w:t xml:space="preserve"> that include</w:t>
      </w:r>
      <w:r w:rsidR="008D6BF5">
        <w:rPr>
          <w:rFonts w:ascii="Arial" w:hAnsi="Arial" w:cs="Arial"/>
          <w:bCs/>
          <w:sz w:val="24"/>
          <w:szCs w:val="24"/>
        </w:rPr>
        <w:t xml:space="preserve"> countries with</w:t>
      </w:r>
      <w:r w:rsidR="00EB7223">
        <w:rPr>
          <w:rFonts w:ascii="Arial" w:hAnsi="Arial" w:cs="Arial"/>
          <w:bCs/>
          <w:sz w:val="24"/>
          <w:szCs w:val="24"/>
        </w:rPr>
        <w:t xml:space="preserve"> fast-paced mortality transition</w:t>
      </w:r>
      <w:r w:rsidR="008D6BF5">
        <w:rPr>
          <w:rFonts w:ascii="Arial" w:hAnsi="Arial" w:cs="Arial"/>
          <w:bCs/>
          <w:sz w:val="24"/>
          <w:szCs w:val="24"/>
        </w:rPr>
        <w:t xml:space="preserve">s, such as </w:t>
      </w:r>
      <w:r w:rsidR="00EB7223">
        <w:rPr>
          <w:rFonts w:ascii="Arial" w:hAnsi="Arial" w:cs="Arial"/>
          <w:bCs/>
          <w:sz w:val="24"/>
          <w:szCs w:val="24"/>
        </w:rPr>
        <w:t>Korea and slow pioneering countries like Sweden</w:t>
      </w:r>
      <w:r w:rsidR="00A23EF4">
        <w:rPr>
          <w:rFonts w:ascii="Arial" w:hAnsi="Arial" w:cs="Arial"/>
          <w:bCs/>
          <w:sz w:val="24"/>
          <w:szCs w:val="24"/>
        </w:rPr>
        <w:t xml:space="preserve">; 3. Different </w:t>
      </w:r>
      <w:r w:rsidR="00A23EF4" w:rsidRPr="00A23EF4">
        <w:rPr>
          <w:rFonts w:ascii="Arial" w:hAnsi="Arial" w:cs="Arial"/>
          <w:bCs/>
          <w:sz w:val="24"/>
          <w:szCs w:val="24"/>
        </w:rPr>
        <w:t xml:space="preserve">welfare state models </w:t>
      </w:r>
      <w:r w:rsidR="00A23EF4">
        <w:rPr>
          <w:rFonts w:ascii="Arial" w:hAnsi="Arial" w:cs="Arial"/>
          <w:bCs/>
          <w:sz w:val="24"/>
          <w:szCs w:val="24"/>
        </w:rPr>
        <w:t xml:space="preserve">and </w:t>
      </w:r>
      <w:r w:rsidR="0050001A" w:rsidRPr="0030706E">
        <w:rPr>
          <w:rFonts w:ascii="Arial" w:hAnsi="Arial" w:cs="Arial"/>
          <w:bCs/>
          <w:sz w:val="24"/>
          <w:szCs w:val="24"/>
        </w:rPr>
        <w:t>gender roles</w:t>
      </w:r>
      <w:r w:rsidR="0050001A">
        <w:rPr>
          <w:rFonts w:ascii="Arial" w:hAnsi="Arial" w:cs="Arial"/>
          <w:bCs/>
          <w:sz w:val="24"/>
          <w:szCs w:val="24"/>
        </w:rPr>
        <w:t xml:space="preserve">, which </w:t>
      </w:r>
      <w:r w:rsidR="0050001A" w:rsidRPr="0030706E">
        <w:rPr>
          <w:rFonts w:ascii="Arial" w:hAnsi="Arial" w:cs="Arial"/>
          <w:bCs/>
          <w:sz w:val="24"/>
          <w:szCs w:val="24"/>
        </w:rPr>
        <w:t>enable us to investigate gender inequality</w:t>
      </w:r>
      <w:r w:rsidR="0050001A">
        <w:rPr>
          <w:rFonts w:ascii="Arial" w:hAnsi="Arial" w:cs="Arial"/>
          <w:bCs/>
          <w:sz w:val="24"/>
          <w:szCs w:val="24"/>
        </w:rPr>
        <w:t xml:space="preserve"> in health and mortality in </w:t>
      </w:r>
      <w:r w:rsidR="0050001A" w:rsidRPr="0030706E">
        <w:rPr>
          <w:rFonts w:ascii="Arial" w:hAnsi="Arial" w:cs="Arial"/>
          <w:bCs/>
          <w:sz w:val="24"/>
          <w:szCs w:val="24"/>
        </w:rPr>
        <w:t>different settings.</w:t>
      </w:r>
      <w:r w:rsidR="0050001A" w:rsidRPr="0030706E">
        <w:rPr>
          <w:rFonts w:ascii="Arial" w:hAnsi="Arial" w:cs="Arial"/>
          <w:color w:val="000000"/>
          <w:sz w:val="24"/>
          <w:szCs w:val="24"/>
          <w:shd w:val="clear" w:color="auto" w:fill="FFFFFF"/>
        </w:rPr>
        <w:t xml:space="preserve"> </w:t>
      </w:r>
      <w:r w:rsidR="002E2D5A">
        <w:rPr>
          <w:rFonts w:ascii="Arial" w:hAnsi="Arial" w:cs="Arial"/>
          <w:color w:val="000000"/>
          <w:sz w:val="24"/>
          <w:szCs w:val="24"/>
          <w:shd w:val="clear" w:color="auto" w:fill="FFFFFF"/>
        </w:rPr>
        <w:t>Mortality data for SHARE countries</w:t>
      </w:r>
      <w:r w:rsidR="00E10611">
        <w:rPr>
          <w:rFonts w:ascii="Arial" w:hAnsi="Arial" w:cs="Arial"/>
          <w:color w:val="000000"/>
          <w:sz w:val="24"/>
          <w:szCs w:val="24"/>
          <w:shd w:val="clear" w:color="auto" w:fill="FFFFFF"/>
        </w:rPr>
        <w:t xml:space="preserve"> </w:t>
      </w:r>
      <w:r w:rsidR="00CA3BFD">
        <w:rPr>
          <w:rFonts w:ascii="Arial" w:hAnsi="Arial" w:cs="Arial"/>
          <w:color w:val="000000"/>
          <w:sz w:val="24"/>
          <w:szCs w:val="24"/>
          <w:shd w:val="clear" w:color="auto" w:fill="FFFFFF"/>
        </w:rPr>
        <w:t xml:space="preserve">, Republic of Korea and </w:t>
      </w:r>
      <w:r w:rsidR="0010582E">
        <w:rPr>
          <w:rFonts w:ascii="Arial" w:hAnsi="Arial" w:cs="Arial"/>
          <w:color w:val="000000"/>
          <w:sz w:val="24"/>
          <w:szCs w:val="24"/>
          <w:shd w:val="clear" w:color="auto" w:fill="FFFFFF"/>
        </w:rPr>
        <w:t>US</w:t>
      </w:r>
      <w:r w:rsidR="000B51E7">
        <w:rPr>
          <w:rFonts w:ascii="Arial" w:hAnsi="Arial" w:cs="Arial"/>
          <w:color w:val="000000"/>
          <w:sz w:val="24"/>
          <w:szCs w:val="24"/>
          <w:shd w:val="clear" w:color="auto" w:fill="FFFFFF"/>
        </w:rPr>
        <w:t xml:space="preserve"> is retrieved from the Human Mortality Database </w:t>
      </w:r>
      <w:r w:rsidR="000B51E7">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{"citationItems":[{"id":"ITEM-1","itemData":{"URL":"www.mortality.org or www.humanmortality.de","accessed":{"date-parts":[["2019","9","17"]]},"author":[{"dropping-particle":"","family":"HMD","given":"","non-dropping-particle":"","parse-names":false,"suffix":""}],"id":"ITEM-1","issued":{"date-parts":[["2018"]]},"title":"Human Mortality Database. University of California, Berkeley (USA), and Max Planck Institute for Demographic Research (Germany).","type":"webpage"},"uris":["http://www.mendeley.com/documents/?uuid=19a04ed2-161a-44bb-81e2-ae37c9fa07c6"]}],"mendeley":{"formattedCitation":"(HMD 2018)","plainTextFormattedCitation":"(HMD 2018)","previouslyFormattedCitation":"(HMD 2018)"},"properties":{"noteIndex":0},"schema":"https://github.com/citation-style-language/schema/raw/master/csl-citation.json"}</w:instrText>
      </w:r>
      <w:r w:rsidR="000B51E7">
        <w:rPr>
          <w:rFonts w:ascii="Arial" w:hAnsi="Arial" w:cs="Arial"/>
          <w:color w:val="000000"/>
          <w:sz w:val="24"/>
          <w:szCs w:val="24"/>
          <w:shd w:val="clear" w:color="auto" w:fill="FFFFFF"/>
        </w:rPr>
        <w:fldChar w:fldCharType="separate"/>
      </w:r>
      <w:r w:rsidR="000B51E7" w:rsidRPr="002E2D5A">
        <w:rPr>
          <w:rFonts w:ascii="Arial" w:hAnsi="Arial" w:cs="Arial"/>
          <w:noProof/>
          <w:color w:val="000000"/>
          <w:sz w:val="24"/>
          <w:szCs w:val="24"/>
          <w:shd w:val="clear" w:color="auto" w:fill="FFFFFF"/>
        </w:rPr>
        <w:t>(HMD 2018)</w:t>
      </w:r>
      <w:r w:rsidR="000B51E7">
        <w:rPr>
          <w:rFonts w:ascii="Arial" w:hAnsi="Arial" w:cs="Arial"/>
          <w:color w:val="000000"/>
          <w:sz w:val="24"/>
          <w:szCs w:val="24"/>
          <w:shd w:val="clear" w:color="auto" w:fill="FFFFFF"/>
        </w:rPr>
        <w:fldChar w:fldCharType="end"/>
      </w:r>
      <w:r w:rsidR="000B51E7">
        <w:rPr>
          <w:rFonts w:ascii="Arial" w:hAnsi="Arial" w:cs="Arial"/>
          <w:color w:val="000000"/>
          <w:sz w:val="24"/>
          <w:szCs w:val="24"/>
          <w:shd w:val="clear" w:color="auto" w:fill="FFFFFF"/>
        </w:rPr>
        <w:t>. Mortality data for</w:t>
      </w:r>
      <w:r w:rsidR="0010582E">
        <w:rPr>
          <w:rFonts w:ascii="Arial" w:hAnsi="Arial" w:cs="Arial"/>
          <w:color w:val="000000"/>
          <w:sz w:val="24"/>
          <w:szCs w:val="24"/>
          <w:shd w:val="clear" w:color="auto" w:fill="FFFFFF"/>
        </w:rPr>
        <w:t xml:space="preserve"> China</w:t>
      </w:r>
      <w:r w:rsidR="00E10611">
        <w:rPr>
          <w:rFonts w:ascii="Arial" w:hAnsi="Arial" w:cs="Arial"/>
          <w:color w:val="000000"/>
          <w:sz w:val="24"/>
          <w:szCs w:val="24"/>
          <w:shd w:val="clear" w:color="auto" w:fill="FFFFFF"/>
        </w:rPr>
        <w:t>, Mexico</w:t>
      </w:r>
      <w:r w:rsidR="0010582E">
        <w:rPr>
          <w:rFonts w:ascii="Arial" w:hAnsi="Arial" w:cs="Arial"/>
          <w:color w:val="000000"/>
          <w:sz w:val="24"/>
          <w:szCs w:val="24"/>
          <w:shd w:val="clear" w:color="auto" w:fill="FFFFFF"/>
        </w:rPr>
        <w:t xml:space="preserve"> and India</w:t>
      </w:r>
      <w:r w:rsidR="00E10611">
        <w:rPr>
          <w:rFonts w:ascii="Arial" w:hAnsi="Arial" w:cs="Arial"/>
          <w:color w:val="000000"/>
          <w:sz w:val="24"/>
          <w:szCs w:val="24"/>
          <w:shd w:val="clear" w:color="auto" w:fill="FFFFFF"/>
        </w:rPr>
        <w:t xml:space="preserve"> </w:t>
      </w:r>
      <w:r w:rsidR="0010582E">
        <w:rPr>
          <w:rFonts w:ascii="Arial" w:hAnsi="Arial" w:cs="Arial"/>
          <w:color w:val="000000"/>
          <w:sz w:val="24"/>
          <w:szCs w:val="24"/>
          <w:shd w:val="clear" w:color="auto" w:fill="FFFFFF"/>
        </w:rPr>
        <w:t xml:space="preserve">is from the </w:t>
      </w:r>
      <w:r w:rsidR="0010582E" w:rsidRPr="0010582E">
        <w:rPr>
          <w:rFonts w:ascii="Arial" w:hAnsi="Arial" w:cs="Arial"/>
          <w:color w:val="000000"/>
          <w:sz w:val="24"/>
          <w:szCs w:val="24"/>
          <w:shd w:val="clear" w:color="auto" w:fill="FFFFFF"/>
        </w:rPr>
        <w:t>20</w:t>
      </w:r>
      <w:r w:rsidR="00E10611">
        <w:rPr>
          <w:rFonts w:ascii="Arial" w:hAnsi="Arial" w:cs="Arial"/>
          <w:color w:val="000000"/>
          <w:sz w:val="24"/>
          <w:szCs w:val="24"/>
          <w:shd w:val="clear" w:color="auto" w:fill="FFFFFF"/>
        </w:rPr>
        <w:t>22</w:t>
      </w:r>
      <w:r w:rsidR="0010582E" w:rsidRPr="0010582E">
        <w:rPr>
          <w:rFonts w:ascii="Arial" w:hAnsi="Arial" w:cs="Arial"/>
          <w:color w:val="000000"/>
          <w:sz w:val="24"/>
          <w:szCs w:val="24"/>
          <w:shd w:val="clear" w:color="auto" w:fill="FFFFFF"/>
        </w:rPr>
        <w:t xml:space="preserve"> Revision of World Population Prospects</w:t>
      </w:r>
      <w:r w:rsidR="00E10611">
        <w:rPr>
          <w:rFonts w:ascii="Arial" w:hAnsi="Arial" w:cs="Arial"/>
          <w:color w:val="000000"/>
          <w:sz w:val="24"/>
          <w:szCs w:val="24"/>
          <w:shd w:val="clear" w:color="auto" w:fill="FFFFFF"/>
        </w:rPr>
        <w:t xml:space="preserve"> (United Nations 2022)</w:t>
      </w:r>
      <w:r w:rsidR="0010582E">
        <w:rPr>
          <w:rFonts w:ascii="Arial" w:hAnsi="Arial" w:cs="Arial"/>
          <w:color w:val="000000"/>
          <w:sz w:val="24"/>
          <w:szCs w:val="24"/>
          <w:shd w:val="clear" w:color="auto" w:fill="FFFFFF"/>
        </w:rPr>
        <w:t>.</w:t>
      </w:r>
      <w:r w:rsidR="00E10611">
        <w:rPr>
          <w:rFonts w:ascii="Arial" w:hAnsi="Arial" w:cs="Arial"/>
          <w:color w:val="000000"/>
          <w:sz w:val="24"/>
          <w:szCs w:val="24"/>
          <w:shd w:val="clear" w:color="auto" w:fill="FFFFFF"/>
        </w:rPr>
        <w:t xml:space="preserve"> Data from </w:t>
      </w:r>
      <w:commentRangeStart w:id="0"/>
      <w:r w:rsidR="00E10611">
        <w:rPr>
          <w:rFonts w:ascii="Arial" w:hAnsi="Arial" w:cs="Arial"/>
          <w:color w:val="000000"/>
          <w:sz w:val="24"/>
          <w:szCs w:val="24"/>
          <w:shd w:val="clear" w:color="auto" w:fill="FFFFFF"/>
        </w:rPr>
        <w:t>England</w:t>
      </w:r>
      <w:commentRangeEnd w:id="0"/>
      <w:r w:rsidR="00DD7A9F">
        <w:rPr>
          <w:rStyle w:val="CommentReference"/>
        </w:rPr>
        <w:commentReference w:id="0"/>
      </w:r>
      <w:r w:rsidR="00E10611">
        <w:rPr>
          <w:rFonts w:ascii="Arial" w:hAnsi="Arial" w:cs="Arial"/>
          <w:color w:val="000000"/>
          <w:sz w:val="24"/>
          <w:szCs w:val="24"/>
          <w:shd w:val="clear" w:color="auto" w:fill="FFFFFF"/>
        </w:rPr>
        <w:t xml:space="preserve"> is from the ONS estimates, as ELSA does not include Wales.</w:t>
      </w:r>
    </w:p>
    <w:p w14:paraId="4773AFD7" w14:textId="4A7F6D81" w:rsidR="00D24482" w:rsidRDefault="00D24482" w:rsidP="00D24482">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Table 1 shows the concordance among surveys across all years available</w:t>
      </w:r>
      <w:r>
        <w:rPr>
          <w:rFonts w:ascii="Arial" w:hAnsi="Arial" w:cs="Arial"/>
          <w:color w:val="000000"/>
          <w:sz w:val="24"/>
          <w:szCs w:val="24"/>
          <w:shd w:val="clear" w:color="auto" w:fill="FFFFFF"/>
        </w:rPr>
        <w:t xml:space="preserve"> and provide an overview of our variables of interest</w:t>
      </w:r>
      <w:r w:rsidRPr="0030706E">
        <w:rPr>
          <w:rFonts w:ascii="Arial" w:hAnsi="Arial" w:cs="Arial"/>
          <w:color w:val="000000"/>
          <w:sz w:val="24"/>
          <w:szCs w:val="24"/>
          <w:shd w:val="clear" w:color="auto" w:fill="FFFFFF"/>
        </w:rPr>
        <w:t>. Especially when interpreting chronic conditions</w:t>
      </w:r>
      <w:r>
        <w:rPr>
          <w:rFonts w:ascii="Arial" w:hAnsi="Arial" w:cs="Arial"/>
          <w:color w:val="000000"/>
          <w:sz w:val="24"/>
          <w:szCs w:val="24"/>
          <w:shd w:val="clear" w:color="auto" w:fill="FFFFFF"/>
        </w:rPr>
        <w:t>,</w:t>
      </w:r>
      <w:r w:rsidRPr="0030706E">
        <w:rPr>
          <w:rFonts w:ascii="Arial" w:hAnsi="Arial" w:cs="Arial"/>
          <w:color w:val="000000"/>
          <w:sz w:val="24"/>
          <w:szCs w:val="24"/>
          <w:shd w:val="clear" w:color="auto" w:fill="FFFFFF"/>
        </w:rPr>
        <w:t xml:space="preserve"> it is important to consider that not all surveys include the same heart conditions into the broad heart problems category. </w:t>
      </w:r>
      <w:r w:rsidR="00E638BE">
        <w:rPr>
          <w:rFonts w:ascii="Arial" w:hAnsi="Arial" w:cs="Arial"/>
          <w:color w:val="000000"/>
          <w:sz w:val="24"/>
          <w:szCs w:val="24"/>
          <w:shd w:val="clear" w:color="auto" w:fill="FFFFFF"/>
        </w:rPr>
        <w:t>Table 2 presents the sample size, summary of years and countries for the non-institutionalized, eligible population.</w:t>
      </w:r>
    </w:p>
    <w:p w14:paraId="58BA9977" w14:textId="4A95DDEB" w:rsidR="006F1B66" w:rsidRDefault="00D24482" w:rsidP="00EB2F46">
      <w:pPr>
        <w:spacing w:line="360" w:lineRule="auto"/>
        <w:jc w:val="both"/>
        <w:rPr>
          <w:rFonts w:ascii="Arial" w:hAnsi="Arial" w:cs="Arial"/>
          <w:color w:val="000000"/>
          <w:sz w:val="24"/>
          <w:szCs w:val="24"/>
          <w:shd w:val="clear" w:color="auto" w:fill="FFFFFF"/>
        </w:rPr>
      </w:pPr>
      <w:r w:rsidRPr="00F01444">
        <w:rPr>
          <w:rFonts w:ascii="Arial" w:hAnsi="Arial" w:cs="Arial"/>
          <w:color w:val="000000"/>
          <w:sz w:val="24"/>
          <w:szCs w:val="24"/>
          <w:shd w:val="clear" w:color="auto" w:fill="FFFFFF"/>
        </w:rPr>
        <w:t xml:space="preserve">We first estimate </w:t>
      </w:r>
      <w:r>
        <w:rPr>
          <w:rFonts w:ascii="Arial" w:hAnsi="Arial" w:cs="Arial"/>
          <w:color w:val="000000"/>
          <w:sz w:val="24"/>
          <w:szCs w:val="24"/>
          <w:shd w:val="clear" w:color="auto" w:fill="FFFFFF"/>
        </w:rPr>
        <w:t xml:space="preserve">the age-specific prevalence rates by 5-year age groups and gender. We then estimate </w:t>
      </w:r>
      <w:r w:rsidRPr="00F01444">
        <w:rPr>
          <w:rFonts w:ascii="Arial" w:hAnsi="Arial" w:cs="Arial"/>
          <w:color w:val="000000"/>
          <w:sz w:val="24"/>
          <w:szCs w:val="24"/>
          <w:shd w:val="clear" w:color="auto" w:fill="FFFFFF"/>
        </w:rPr>
        <w:t xml:space="preserve">disability- and chronic disease-free life expectancies (DFLE and CDFLE) </w:t>
      </w:r>
      <w:r w:rsidRPr="00F01444">
        <w:rPr>
          <w:rFonts w:ascii="Arial" w:hAnsi="Arial" w:cs="Arial"/>
          <w:color w:val="000000"/>
          <w:sz w:val="24"/>
          <w:szCs w:val="24"/>
          <w:shd w:val="clear" w:color="auto" w:fill="FFFFFF"/>
        </w:rPr>
        <w:lastRenderedPageBreak/>
        <w:t xml:space="preserve">for ages 50 and over using the Sullivan Method (Sullivan 1971; Crimmins et al. 2016). </w:t>
      </w:r>
      <w:r>
        <w:rPr>
          <w:rFonts w:ascii="Arial" w:hAnsi="Arial" w:cs="Arial"/>
          <w:color w:val="000000"/>
          <w:sz w:val="24"/>
          <w:szCs w:val="24"/>
          <w:shd w:val="clear" w:color="auto" w:fill="FFFFFF"/>
        </w:rPr>
        <w:t>Lastly</w:t>
      </w:r>
      <w:r w:rsidRPr="00F01444">
        <w:rPr>
          <w:rFonts w:ascii="Arial" w:hAnsi="Arial" w:cs="Arial"/>
          <w:color w:val="000000"/>
          <w:sz w:val="24"/>
          <w:szCs w:val="24"/>
          <w:shd w:val="clear" w:color="auto" w:fill="FFFFFF"/>
        </w:rPr>
        <w:t>, we apply the continuous change decomposition method (Horiuchi et al. 2008) implemented in R by Riffe (2018), so we can split gender differences in healthy life expectancy into mortality and disability/chronic disease effects by age, as shown by previous analyses (van Raalte and Nepomuceno 2020; Nepomuceno et al. 2021).</w:t>
      </w:r>
      <w:r>
        <w:rPr>
          <w:rFonts w:ascii="Arial" w:hAnsi="Arial" w:cs="Arial"/>
          <w:color w:val="000000"/>
          <w:sz w:val="24"/>
          <w:szCs w:val="24"/>
          <w:shd w:val="clear" w:color="auto" w:fill="FFFFFF"/>
        </w:rPr>
        <w:t xml:space="preserve"> </w:t>
      </w:r>
      <w:r w:rsidRPr="00F01444">
        <w:rPr>
          <w:rFonts w:ascii="Arial" w:hAnsi="Arial" w:cs="Arial"/>
          <w:color w:val="000000"/>
          <w:sz w:val="24"/>
          <w:szCs w:val="24"/>
          <w:shd w:val="clear" w:color="auto" w:fill="FFFFFF"/>
        </w:rPr>
        <w:t xml:space="preserve">This allows us to estimate the contribution of disability and chronic conditions to explaining gender inequality.  </w:t>
      </w:r>
    </w:p>
    <w:p w14:paraId="12A00554" w14:textId="1CCF5347" w:rsidR="00656D69" w:rsidRPr="0030706E" w:rsidRDefault="00656D69"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Table 1. Concordance among surveys</w:t>
      </w:r>
      <w:r w:rsidR="00B10295" w:rsidRPr="0030706E">
        <w:rPr>
          <w:rFonts w:ascii="Arial" w:hAnsi="Arial" w:cs="Arial"/>
          <w:color w:val="000000"/>
          <w:sz w:val="24"/>
          <w:szCs w:val="24"/>
          <w:shd w:val="clear" w:color="auto" w:fill="FFFFFF"/>
        </w:rPr>
        <w:t xml:space="preserve"> across all years available</w:t>
      </w:r>
    </w:p>
    <w:p w14:paraId="071CEB18" w14:textId="00720D77" w:rsidR="008A11DF" w:rsidRPr="0030706E" w:rsidRDefault="00CD4D33" w:rsidP="00761211">
      <w:pPr>
        <w:spacing w:line="240" w:lineRule="auto"/>
        <w:jc w:val="both"/>
        <w:rPr>
          <w:rFonts w:ascii="Arial" w:hAnsi="Arial" w:cs="Arial"/>
          <w:color w:val="000000"/>
          <w:sz w:val="24"/>
          <w:szCs w:val="24"/>
          <w:shd w:val="clear" w:color="auto" w:fill="FFFFFF"/>
        </w:rPr>
      </w:pPr>
      <w:r w:rsidRPr="00CD4D33">
        <w:rPr>
          <w:rFonts w:ascii="Arial" w:hAnsi="Arial" w:cs="Arial"/>
          <w:noProof/>
          <w:sz w:val="24"/>
          <w:szCs w:val="24"/>
        </w:rPr>
        <w:drawing>
          <wp:inline distT="0" distB="0" distL="0" distR="0" wp14:anchorId="2A7E7516" wp14:editId="49139DF8">
            <wp:extent cx="6124202" cy="2640842"/>
            <wp:effectExtent l="0" t="0" r="0" b="7620"/>
            <wp:docPr id="1" name="Picture 3">
              <a:extLst xmlns:a="http://schemas.openxmlformats.org/drawingml/2006/main">
                <a:ext uri="{FF2B5EF4-FFF2-40B4-BE49-F238E27FC236}">
                  <a16:creationId xmlns:a16="http://schemas.microsoft.com/office/drawing/2014/main" id="{88701ACA-CE97-D9DC-B94F-24E9E6D67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8701ACA-CE97-D9DC-B94F-24E9E6D67E83}"/>
                        </a:ext>
                      </a:extLst>
                    </pic:cNvPr>
                    <pic:cNvPicPr>
                      <a:picLocks noChangeAspect="1"/>
                    </pic:cNvPicPr>
                  </pic:nvPicPr>
                  <pic:blipFill>
                    <a:blip r:embed="rId13"/>
                    <a:stretch>
                      <a:fillRect/>
                    </a:stretch>
                  </pic:blipFill>
                  <pic:spPr>
                    <a:xfrm>
                      <a:off x="0" y="0"/>
                      <a:ext cx="6136542" cy="2646163"/>
                    </a:xfrm>
                    <a:prstGeom prst="rect">
                      <a:avLst/>
                    </a:prstGeom>
                  </pic:spPr>
                </pic:pic>
              </a:graphicData>
            </a:graphic>
          </wp:inline>
        </w:drawing>
      </w:r>
    </w:p>
    <w:p w14:paraId="38E085ED" w14:textId="77649B24" w:rsidR="0010578A" w:rsidRPr="007525E6" w:rsidRDefault="007525E6"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00E00B71"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6BCB870" w14:textId="4C6534E7" w:rsidR="001562E7" w:rsidRDefault="0050001A" w:rsidP="00E00875">
      <w:pPr>
        <w:spacing w:line="36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In order to perform comparisons at points in time that were as close as possible across countries and that had concordance among surveys, we used </w:t>
      </w:r>
      <w:r>
        <w:rPr>
          <w:rFonts w:ascii="Arial" w:hAnsi="Arial" w:cs="Arial"/>
          <w:color w:val="000000"/>
          <w:sz w:val="24"/>
          <w:szCs w:val="24"/>
          <w:shd w:val="clear" w:color="auto" w:fill="FFFFFF"/>
        </w:rPr>
        <w:t>survey waves pertaining to</w:t>
      </w:r>
      <w:r w:rsidRPr="0030706E">
        <w:rPr>
          <w:rFonts w:ascii="Arial" w:hAnsi="Arial" w:cs="Arial"/>
          <w:color w:val="000000"/>
          <w:sz w:val="24"/>
          <w:szCs w:val="24"/>
          <w:shd w:val="clear" w:color="auto" w:fill="FFFFFF"/>
        </w:rPr>
        <w:t xml:space="preserve"> year 2014</w:t>
      </w:r>
      <w:r w:rsidR="00FF4F43">
        <w:rPr>
          <w:rFonts w:ascii="Arial" w:hAnsi="Arial" w:cs="Arial"/>
          <w:color w:val="000000"/>
          <w:sz w:val="24"/>
          <w:szCs w:val="24"/>
          <w:shd w:val="clear" w:color="auto" w:fill="FFFFFF"/>
        </w:rPr>
        <w:t>-2015</w:t>
      </w:r>
      <w:r>
        <w:rPr>
          <w:rFonts w:ascii="Arial" w:hAnsi="Arial" w:cs="Arial"/>
          <w:color w:val="000000"/>
          <w:sz w:val="24"/>
          <w:szCs w:val="24"/>
          <w:shd w:val="clear" w:color="auto" w:fill="FFFFFF"/>
        </w:rPr>
        <w:t xml:space="preserve"> (HRS: </w:t>
      </w:r>
      <w:r w:rsidRPr="00564503">
        <w:rPr>
          <w:rFonts w:ascii="Arial" w:hAnsi="Arial" w:cs="Arial"/>
          <w:color w:val="000000"/>
          <w:sz w:val="24"/>
          <w:szCs w:val="24"/>
          <w:shd w:val="clear" w:color="auto" w:fill="FFFFFF"/>
        </w:rPr>
        <w:t>W</w:t>
      </w:r>
      <w:r>
        <w:rPr>
          <w:rFonts w:ascii="Arial" w:hAnsi="Arial" w:cs="Arial"/>
          <w:color w:val="000000"/>
          <w:sz w:val="24"/>
          <w:szCs w:val="24"/>
          <w:shd w:val="clear" w:color="auto" w:fill="FFFFFF"/>
        </w:rPr>
        <w:t xml:space="preserve">ave 12; </w:t>
      </w:r>
      <w:r w:rsidRPr="00564503">
        <w:rPr>
          <w:rFonts w:ascii="Arial" w:hAnsi="Arial" w:cs="Arial"/>
          <w:color w:val="000000"/>
          <w:sz w:val="24"/>
          <w:szCs w:val="24"/>
          <w:shd w:val="clear" w:color="auto" w:fill="FFFFFF"/>
        </w:rPr>
        <w:t>ELSA : W</w:t>
      </w:r>
      <w:r>
        <w:rPr>
          <w:rFonts w:ascii="Arial" w:hAnsi="Arial" w:cs="Arial"/>
          <w:color w:val="000000"/>
          <w:sz w:val="24"/>
          <w:szCs w:val="24"/>
          <w:shd w:val="clear" w:color="auto" w:fill="FFFFFF"/>
        </w:rPr>
        <w:t xml:space="preserve">ave </w:t>
      </w:r>
      <w:r w:rsidRPr="00564503">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30706E">
        <w:rPr>
          <w:rFonts w:ascii="Arial" w:hAnsi="Arial" w:cs="Arial"/>
          <w:color w:val="000000"/>
          <w:sz w:val="24"/>
          <w:szCs w:val="24"/>
          <w:shd w:val="clear" w:color="auto" w:fill="FFFFFF"/>
        </w:rPr>
        <w:t>SHARE: W</w:t>
      </w:r>
      <w:r>
        <w:rPr>
          <w:rFonts w:ascii="Arial" w:hAnsi="Arial" w:cs="Arial"/>
          <w:color w:val="000000"/>
          <w:sz w:val="24"/>
          <w:szCs w:val="24"/>
          <w:shd w:val="clear" w:color="auto" w:fill="FFFFFF"/>
        </w:rPr>
        <w:t xml:space="preserve">ave </w:t>
      </w:r>
      <w:r w:rsidRPr="0030706E">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r w:rsidRPr="0030706E">
        <w:rPr>
          <w:rFonts w:ascii="Arial" w:hAnsi="Arial" w:cs="Arial"/>
          <w:bCs/>
          <w:sz w:val="24"/>
          <w:szCs w:val="24"/>
        </w:rPr>
        <w:t>KLoSA</w:t>
      </w:r>
      <w:r w:rsidRPr="00564503">
        <w:rPr>
          <w:rFonts w:ascii="Arial" w:hAnsi="Arial" w:cs="Arial"/>
          <w:color w:val="000000"/>
          <w:sz w:val="24"/>
          <w:szCs w:val="24"/>
          <w:shd w:val="clear" w:color="auto" w:fill="FFFFFF"/>
        </w:rPr>
        <w:t>: W</w:t>
      </w:r>
      <w:r>
        <w:rPr>
          <w:rFonts w:ascii="Arial" w:hAnsi="Arial" w:cs="Arial"/>
          <w:color w:val="000000"/>
          <w:sz w:val="24"/>
          <w:szCs w:val="24"/>
          <w:shd w:val="clear" w:color="auto" w:fill="FFFFFF"/>
        </w:rPr>
        <w:t>ave 5; CHARLS: Wave 2; and LASI Wave 1)</w:t>
      </w:r>
      <w:r w:rsidRPr="0030706E">
        <w:rPr>
          <w:rFonts w:ascii="Arial" w:hAnsi="Arial" w:cs="Arial"/>
          <w:color w:val="000000"/>
          <w:sz w:val="24"/>
          <w:szCs w:val="24"/>
          <w:shd w:val="clear" w:color="auto" w:fill="FFFFFF"/>
        </w:rPr>
        <w:t xml:space="preserve">. The only exception is India, since the first wave of LASI was carried on between 2017-2019. </w:t>
      </w:r>
    </w:p>
    <w:p w14:paraId="01322569" w14:textId="0780319D" w:rsidR="00244374" w:rsidRDefault="00244374" w:rsidP="00E00875">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Table 2. Sample </w:t>
      </w:r>
      <w:r w:rsidR="00A84B14">
        <w:rPr>
          <w:rFonts w:ascii="Arial" w:hAnsi="Arial" w:cs="Arial"/>
          <w:color w:val="000000"/>
          <w:sz w:val="24"/>
          <w:szCs w:val="24"/>
          <w:shd w:val="clear" w:color="auto" w:fill="FFFFFF"/>
        </w:rPr>
        <w:t xml:space="preserve">size, wave and </w:t>
      </w:r>
      <w:commentRangeStart w:id="1"/>
      <w:r w:rsidR="00A84B14">
        <w:rPr>
          <w:rFonts w:ascii="Arial" w:hAnsi="Arial" w:cs="Arial"/>
          <w:color w:val="000000"/>
          <w:sz w:val="24"/>
          <w:szCs w:val="24"/>
          <w:shd w:val="clear" w:color="auto" w:fill="FFFFFF"/>
        </w:rPr>
        <w:t>year</w:t>
      </w:r>
      <w:commentRangeEnd w:id="1"/>
      <w:r w:rsidR="00DD7A9F">
        <w:rPr>
          <w:rStyle w:val="CommentReference"/>
        </w:rPr>
        <w:commentReference w:id="1"/>
      </w:r>
    </w:p>
    <w:p w14:paraId="28780D49" w14:textId="43969830" w:rsidR="00244374" w:rsidRDefault="00244374" w:rsidP="00244374">
      <w:pPr>
        <w:spacing w:line="360" w:lineRule="auto"/>
        <w:jc w:val="center"/>
        <w:rPr>
          <w:rFonts w:ascii="Arial" w:hAnsi="Arial" w:cs="Arial"/>
          <w:color w:val="000000"/>
          <w:sz w:val="24"/>
          <w:szCs w:val="24"/>
          <w:shd w:val="clear" w:color="auto" w:fill="FFFFFF"/>
        </w:rPr>
      </w:pPr>
      <w:r w:rsidRPr="00244374">
        <w:rPr>
          <w:rFonts w:ascii="Arial" w:hAnsi="Arial" w:cs="Arial"/>
          <w:noProof/>
          <w:color w:val="000000"/>
          <w:sz w:val="24"/>
          <w:szCs w:val="24"/>
          <w:shd w:val="clear" w:color="auto" w:fill="FFFFFF"/>
        </w:rPr>
        <w:lastRenderedPageBreak/>
        <w:drawing>
          <wp:inline distT="0" distB="0" distL="0" distR="0" wp14:anchorId="08B2AC56" wp14:editId="636D6925">
            <wp:extent cx="4002656" cy="2606026"/>
            <wp:effectExtent l="0" t="0" r="0" b="0"/>
            <wp:docPr id="6" name="Picture 5">
              <a:extLst xmlns:a="http://schemas.openxmlformats.org/drawingml/2006/main">
                <a:ext uri="{FF2B5EF4-FFF2-40B4-BE49-F238E27FC236}">
                  <a16:creationId xmlns:a16="http://schemas.microsoft.com/office/drawing/2014/main" id="{B47AD3A3-7E24-6C5E-7780-FBF043782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47AD3A3-7E24-6C5E-7780-FBF0437825B8}"/>
                        </a:ext>
                      </a:extLst>
                    </pic:cNvPr>
                    <pic:cNvPicPr>
                      <a:picLocks noChangeAspect="1"/>
                    </pic:cNvPicPr>
                  </pic:nvPicPr>
                  <pic:blipFill>
                    <a:blip r:embed="rId14"/>
                    <a:stretch>
                      <a:fillRect/>
                    </a:stretch>
                  </pic:blipFill>
                  <pic:spPr>
                    <a:xfrm>
                      <a:off x="0" y="0"/>
                      <a:ext cx="4070161" cy="2649976"/>
                    </a:xfrm>
                    <a:prstGeom prst="rect">
                      <a:avLst/>
                    </a:prstGeom>
                  </pic:spPr>
                </pic:pic>
              </a:graphicData>
            </a:graphic>
          </wp:inline>
        </w:drawing>
      </w:r>
    </w:p>
    <w:p w14:paraId="31A527CB" w14:textId="268527F5" w:rsidR="00C25E96" w:rsidRPr="00F533DF" w:rsidRDefault="00544148" w:rsidP="00F533DF">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6125430C" w14:textId="77777777" w:rsidR="00DD7A9F" w:rsidRDefault="00DD7A9F" w:rsidP="00761211">
      <w:pPr>
        <w:spacing w:line="240" w:lineRule="auto"/>
        <w:jc w:val="both"/>
        <w:rPr>
          <w:rFonts w:ascii="Arial" w:hAnsi="Arial" w:cs="Arial"/>
          <w:b/>
          <w:bCs/>
          <w:color w:val="000000"/>
          <w:sz w:val="24"/>
          <w:szCs w:val="24"/>
          <w:shd w:val="clear" w:color="auto" w:fill="FFFFFF"/>
        </w:rPr>
      </w:pPr>
    </w:p>
    <w:p w14:paraId="1AD8EF79" w14:textId="77144EF0" w:rsidR="00F01444" w:rsidRDefault="00D51ED1" w:rsidP="00761211">
      <w:pPr>
        <w:spacing w:line="240" w:lineRule="auto"/>
        <w:jc w:val="both"/>
        <w:rPr>
          <w:rFonts w:ascii="Arial" w:hAnsi="Arial" w:cs="Arial"/>
          <w:b/>
          <w:bCs/>
          <w:color w:val="000000"/>
          <w:sz w:val="24"/>
          <w:szCs w:val="24"/>
          <w:shd w:val="clear" w:color="auto" w:fill="FFFFFF"/>
        </w:rPr>
      </w:pPr>
      <w:r w:rsidRPr="00BD06D3">
        <w:rPr>
          <w:rFonts w:ascii="Arial" w:hAnsi="Arial" w:cs="Arial"/>
          <w:b/>
          <w:bCs/>
          <w:color w:val="000000"/>
          <w:sz w:val="24"/>
          <w:szCs w:val="24"/>
          <w:shd w:val="clear" w:color="auto" w:fill="FFFFFF"/>
        </w:rPr>
        <w:t>Results</w:t>
      </w:r>
    </w:p>
    <w:p w14:paraId="1E74E19D" w14:textId="68D206EB" w:rsidR="004A7004" w:rsidRDefault="004A7004" w:rsidP="004A7004">
      <w:pPr>
        <w:spacing w:line="240" w:lineRule="auto"/>
        <w:jc w:val="both"/>
        <w:rPr>
          <w:rFonts w:ascii="Arial" w:hAnsi="Arial" w:cs="Arial"/>
          <w:b/>
          <w:bCs/>
          <w:color w:val="000000"/>
          <w:sz w:val="24"/>
          <w:szCs w:val="24"/>
          <w:shd w:val="clear" w:color="auto" w:fill="FFFFFF"/>
        </w:rPr>
      </w:pPr>
    </w:p>
    <w:p w14:paraId="5C60444E" w14:textId="0D7B2899" w:rsidR="004A7004" w:rsidRPr="004A7004" w:rsidRDefault="004A7004" w:rsidP="004A7004">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Age-Specific Prevalence</w:t>
      </w:r>
    </w:p>
    <w:p w14:paraId="1669D0A6" w14:textId="77777777" w:rsidR="003F23F8" w:rsidRPr="00BD06D3" w:rsidRDefault="003F23F8" w:rsidP="00761211">
      <w:pPr>
        <w:spacing w:line="240" w:lineRule="auto"/>
        <w:jc w:val="both"/>
        <w:rPr>
          <w:rFonts w:ascii="Arial" w:hAnsi="Arial" w:cs="Arial"/>
          <w:b/>
          <w:bCs/>
          <w:color w:val="000000"/>
          <w:sz w:val="24"/>
          <w:szCs w:val="24"/>
          <w:shd w:val="clear" w:color="auto" w:fill="FFFFFF"/>
        </w:rPr>
      </w:pPr>
    </w:p>
    <w:p w14:paraId="28DEB490" w14:textId="239B3C41" w:rsidR="000900C3" w:rsidRPr="003C6AD1" w:rsidRDefault="003C6AD1" w:rsidP="006729BF">
      <w:pPr>
        <w:spacing w:line="360" w:lineRule="auto"/>
        <w:jc w:val="both"/>
        <w:rPr>
          <w:rFonts w:ascii="Arial" w:hAnsi="Arial" w:cs="Arial"/>
          <w:color w:val="000000"/>
          <w:sz w:val="24"/>
          <w:szCs w:val="24"/>
          <w:shd w:val="clear" w:color="auto" w:fill="FFFFFF"/>
        </w:rPr>
      </w:pPr>
      <w:r w:rsidRPr="003C6AD1">
        <w:rPr>
          <w:rFonts w:ascii="Arial" w:hAnsi="Arial" w:cs="Arial"/>
          <w:color w:val="000000"/>
          <w:sz w:val="24"/>
          <w:szCs w:val="24"/>
          <w:shd w:val="clear" w:color="auto" w:fill="FFFFFF"/>
        </w:rPr>
        <w:t>Figure 1 shows the p</w:t>
      </w:r>
      <w:r>
        <w:rPr>
          <w:rFonts w:ascii="Arial" w:hAnsi="Arial" w:cs="Arial"/>
          <w:color w:val="000000"/>
          <w:sz w:val="24"/>
          <w:szCs w:val="24"/>
          <w:shd w:val="clear" w:color="auto" w:fill="FFFFFF"/>
        </w:rPr>
        <w:t xml:space="preserve">revalence </w:t>
      </w:r>
      <w:r w:rsidRPr="00E93373">
        <w:rPr>
          <w:rFonts w:ascii="Arial" w:hAnsi="Arial" w:cs="Arial"/>
          <w:color w:val="000000"/>
          <w:sz w:val="24"/>
          <w:szCs w:val="24"/>
          <w:shd w:val="clear" w:color="auto" w:fill="FFFFFF"/>
        </w:rPr>
        <w:t xml:space="preserve">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by gender, age</w:t>
      </w:r>
      <w:r w:rsidR="00C50B3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groups and selected countries in year 2014. </w:t>
      </w:r>
    </w:p>
    <w:p w14:paraId="23BCA6F5" w14:textId="63DEBEE0" w:rsidR="00D51ED1" w:rsidRPr="00E93373" w:rsidRDefault="00E93373" w:rsidP="00761211">
      <w:pPr>
        <w:spacing w:line="240" w:lineRule="auto"/>
        <w:jc w:val="both"/>
        <w:rPr>
          <w:rFonts w:ascii="Arial" w:hAnsi="Arial" w:cs="Arial"/>
          <w:color w:val="000000"/>
          <w:sz w:val="24"/>
          <w:szCs w:val="24"/>
          <w:shd w:val="clear" w:color="auto" w:fill="FFFFFF"/>
        </w:rPr>
      </w:pPr>
      <w:r w:rsidRPr="005254AA">
        <w:rPr>
          <w:rFonts w:ascii="Arial" w:hAnsi="Arial" w:cs="Arial"/>
          <w:b/>
          <w:bCs/>
          <w:color w:val="000000"/>
          <w:sz w:val="24"/>
          <w:szCs w:val="24"/>
          <w:shd w:val="clear" w:color="auto" w:fill="FFFFFF"/>
        </w:rPr>
        <w:t>Figure 1</w:t>
      </w:r>
      <w:r w:rsidRPr="00E93373">
        <w:rPr>
          <w:rFonts w:ascii="Arial" w:hAnsi="Arial" w:cs="Arial"/>
          <w:color w:val="000000"/>
          <w:sz w:val="24"/>
          <w:szCs w:val="24"/>
          <w:shd w:val="clear" w:color="auto" w:fill="FFFFFF"/>
        </w:rPr>
        <w:t xml:space="preserve">. Prevalence of </w:t>
      </w:r>
      <w:r w:rsidRPr="00F83015">
        <w:rPr>
          <w:rFonts w:ascii="Arial" w:hAnsi="Arial" w:cs="Arial"/>
          <w:color w:val="000000"/>
          <w:sz w:val="24"/>
          <w:szCs w:val="24"/>
          <w:shd w:val="clear" w:color="auto" w:fill="FFFFFF"/>
        </w:rPr>
        <w:t>any difficulty bathing, dressing, eating, getting in and out of bed, and using the toilet</w:t>
      </w:r>
      <w:r>
        <w:rPr>
          <w:rFonts w:ascii="Arial" w:hAnsi="Arial" w:cs="Arial"/>
          <w:color w:val="000000"/>
          <w:sz w:val="24"/>
          <w:szCs w:val="24"/>
          <w:shd w:val="clear" w:color="auto" w:fill="FFFFFF"/>
        </w:rPr>
        <w:t xml:space="preserve">, by gender, age-groups and selected countries, year </w:t>
      </w:r>
      <w:commentRangeStart w:id="2"/>
      <w:r>
        <w:rPr>
          <w:rFonts w:ascii="Arial" w:hAnsi="Arial" w:cs="Arial"/>
          <w:color w:val="000000"/>
          <w:sz w:val="24"/>
          <w:szCs w:val="24"/>
          <w:shd w:val="clear" w:color="auto" w:fill="FFFFFF"/>
        </w:rPr>
        <w:t>2014</w:t>
      </w:r>
      <w:commentRangeEnd w:id="2"/>
      <w:r w:rsidR="00DD7A9F">
        <w:rPr>
          <w:rStyle w:val="CommentReference"/>
        </w:rPr>
        <w:commentReference w:id="2"/>
      </w:r>
    </w:p>
    <w:p w14:paraId="680C7446" w14:textId="78237CB1" w:rsidR="00D51ED1" w:rsidRPr="00967FDE" w:rsidRDefault="00612F65" w:rsidP="00761211">
      <w:pPr>
        <w:spacing w:line="240" w:lineRule="auto"/>
        <w:jc w:val="both"/>
        <w:rPr>
          <w:rFonts w:ascii="Arial" w:hAnsi="Arial" w:cs="Arial"/>
          <w:color w:val="000000"/>
          <w:sz w:val="24"/>
          <w:szCs w:val="24"/>
          <w:shd w:val="clear" w:color="auto" w:fill="FFFFFF"/>
          <w:lang w:val="de-AT"/>
        </w:rPr>
      </w:pPr>
      <w:r>
        <w:rPr>
          <w:rFonts w:ascii="Arial" w:hAnsi="Arial" w:cs="Arial"/>
          <w:noProof/>
          <w:color w:val="000000"/>
          <w:sz w:val="24"/>
          <w:szCs w:val="24"/>
          <w:shd w:val="clear" w:color="auto" w:fill="FFFFFF"/>
          <w:lang w:val="de-AT"/>
        </w:rPr>
        <w:lastRenderedPageBreak/>
        <w:drawing>
          <wp:inline distT="0" distB="0" distL="0" distR="0" wp14:anchorId="04739C06" wp14:editId="051E8117">
            <wp:extent cx="6282980" cy="3865576"/>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8811" cy="3869163"/>
                    </a:xfrm>
                    <a:prstGeom prst="rect">
                      <a:avLst/>
                    </a:prstGeom>
                  </pic:spPr>
                </pic:pic>
              </a:graphicData>
            </a:graphic>
          </wp:inline>
        </w:drawing>
      </w:r>
    </w:p>
    <w:p w14:paraId="27F09046" w14:textId="77777777" w:rsidR="00E00B71" w:rsidRPr="007525E6" w:rsidRDefault="00E00B71" w:rsidP="00E00B7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09C1D4B4" w14:textId="77777777" w:rsidR="00E00875" w:rsidRDefault="00E00875" w:rsidP="006729BF">
      <w:pPr>
        <w:spacing w:line="360" w:lineRule="auto"/>
        <w:jc w:val="both"/>
        <w:rPr>
          <w:rFonts w:ascii="Arial" w:hAnsi="Arial" w:cs="Arial"/>
          <w:color w:val="000000"/>
          <w:sz w:val="24"/>
          <w:szCs w:val="24"/>
          <w:shd w:val="clear" w:color="auto" w:fill="FFFFFF"/>
        </w:rPr>
      </w:pPr>
    </w:p>
    <w:p w14:paraId="6B3BA267" w14:textId="0078AB0C" w:rsidR="00F65F88" w:rsidRPr="00F97BEB" w:rsidRDefault="00BA0E3A" w:rsidP="009755C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Most values are within the range between Korea and China, which are the extreme low and high levels, respectively, for both women and men. The grey lines are all EU-countries and fall mostly between Korea and </w:t>
      </w:r>
      <w:r w:rsidR="002F19AC">
        <w:rPr>
          <w:rFonts w:ascii="Arial" w:hAnsi="Arial" w:cs="Arial"/>
          <w:color w:val="000000"/>
          <w:sz w:val="24"/>
          <w:szCs w:val="24"/>
          <w:shd w:val="clear" w:color="auto" w:fill="FFFFFF"/>
        </w:rPr>
        <w:t>England</w:t>
      </w:r>
      <w:r>
        <w:rPr>
          <w:rFonts w:ascii="Arial" w:hAnsi="Arial" w:cs="Arial"/>
          <w:color w:val="000000"/>
          <w:sz w:val="24"/>
          <w:szCs w:val="24"/>
          <w:shd w:val="clear" w:color="auto" w:fill="FFFFFF"/>
        </w:rPr>
        <w:t>. The prevalence for the pooled EU countries is in the middle of the range of values across all countries observed.</w:t>
      </w:r>
      <w:r w:rsidR="006C169A">
        <w:rPr>
          <w:rFonts w:ascii="Arial" w:hAnsi="Arial" w:cs="Arial"/>
          <w:color w:val="000000"/>
          <w:sz w:val="24"/>
          <w:szCs w:val="24"/>
          <w:shd w:val="clear" w:color="auto" w:fill="FFFFFF"/>
        </w:rPr>
        <w:t xml:space="preserve"> Compared to any country, Korea has lower levels of age-specific prevalence for men at all ages, while for women it increases after age </w:t>
      </w:r>
      <w:r w:rsidR="00C37CA2">
        <w:rPr>
          <w:rFonts w:ascii="Arial" w:hAnsi="Arial" w:cs="Arial"/>
          <w:color w:val="000000"/>
          <w:sz w:val="24"/>
          <w:szCs w:val="24"/>
          <w:shd w:val="clear" w:color="auto" w:fill="FFFFFF"/>
        </w:rPr>
        <w:t>85-90 to higher levels than US,</w:t>
      </w:r>
      <w:r w:rsidR="00946BD8">
        <w:rPr>
          <w:rFonts w:ascii="Arial" w:hAnsi="Arial" w:cs="Arial"/>
          <w:color w:val="000000"/>
          <w:sz w:val="24"/>
          <w:szCs w:val="24"/>
          <w:shd w:val="clear" w:color="auto" w:fill="FFFFFF"/>
        </w:rPr>
        <w:t xml:space="preserve"> </w:t>
      </w:r>
      <w:r w:rsidR="00A14778">
        <w:rPr>
          <w:rFonts w:ascii="Arial" w:hAnsi="Arial" w:cs="Arial"/>
          <w:color w:val="000000"/>
          <w:sz w:val="24"/>
          <w:szCs w:val="24"/>
          <w:shd w:val="clear" w:color="auto" w:fill="FFFFFF"/>
        </w:rPr>
        <w:t>England</w:t>
      </w:r>
      <w:r w:rsidR="00C37CA2">
        <w:rPr>
          <w:rFonts w:ascii="Arial" w:hAnsi="Arial" w:cs="Arial"/>
          <w:color w:val="000000"/>
          <w:sz w:val="24"/>
          <w:szCs w:val="24"/>
          <w:shd w:val="clear" w:color="auto" w:fill="FFFFFF"/>
        </w:rPr>
        <w:t>, India and some European countries.</w:t>
      </w:r>
      <w:r w:rsidR="00946BD8">
        <w:rPr>
          <w:rFonts w:ascii="Arial" w:hAnsi="Arial" w:cs="Arial"/>
          <w:color w:val="000000"/>
          <w:sz w:val="24"/>
          <w:szCs w:val="24"/>
          <w:shd w:val="clear" w:color="auto" w:fill="FFFFFF"/>
        </w:rPr>
        <w:t xml:space="preserve"> The overall pattern for women across countries is more dispersed th</w:t>
      </w:r>
      <w:r w:rsidR="007D0994">
        <w:rPr>
          <w:rFonts w:ascii="Arial" w:hAnsi="Arial" w:cs="Arial"/>
          <w:color w:val="000000"/>
          <w:sz w:val="24"/>
          <w:szCs w:val="24"/>
          <w:shd w:val="clear" w:color="auto" w:fill="FFFFFF"/>
        </w:rPr>
        <w:t>a</w:t>
      </w:r>
      <w:r w:rsidR="00946BD8">
        <w:rPr>
          <w:rFonts w:ascii="Arial" w:hAnsi="Arial" w:cs="Arial"/>
          <w:color w:val="000000"/>
          <w:sz w:val="24"/>
          <w:szCs w:val="24"/>
          <w:shd w:val="clear" w:color="auto" w:fill="FFFFFF"/>
        </w:rPr>
        <w:t xml:space="preserve">n for men, with </w:t>
      </w:r>
      <w:r w:rsidR="00D01697">
        <w:rPr>
          <w:rFonts w:ascii="Arial" w:hAnsi="Arial" w:cs="Arial"/>
          <w:color w:val="000000"/>
          <w:sz w:val="24"/>
          <w:szCs w:val="24"/>
          <w:shd w:val="clear" w:color="auto" w:fill="FFFFFF"/>
        </w:rPr>
        <w:t>the difference between Korean women</w:t>
      </w:r>
      <w:r w:rsidR="00A2662A">
        <w:rPr>
          <w:rFonts w:ascii="Arial" w:hAnsi="Arial" w:cs="Arial"/>
          <w:color w:val="000000"/>
          <w:sz w:val="24"/>
          <w:szCs w:val="24"/>
          <w:shd w:val="clear" w:color="auto" w:fill="FFFFFF"/>
        </w:rPr>
        <w:t xml:space="preserve"> </w:t>
      </w:r>
      <w:r w:rsidR="00D01697">
        <w:rPr>
          <w:rFonts w:ascii="Arial" w:hAnsi="Arial" w:cs="Arial"/>
          <w:color w:val="000000"/>
          <w:sz w:val="24"/>
          <w:szCs w:val="24"/>
          <w:shd w:val="clear" w:color="auto" w:fill="FFFFFF"/>
        </w:rPr>
        <w:t>and Chinese and Indian</w:t>
      </w:r>
      <w:r w:rsidR="00CC6739">
        <w:rPr>
          <w:rFonts w:ascii="Arial" w:hAnsi="Arial" w:cs="Arial"/>
          <w:color w:val="000000"/>
          <w:sz w:val="24"/>
          <w:szCs w:val="24"/>
          <w:shd w:val="clear" w:color="auto" w:fill="FFFFFF"/>
        </w:rPr>
        <w:t xml:space="preserve"> </w:t>
      </w:r>
      <w:r w:rsidR="001A4AC6">
        <w:rPr>
          <w:rFonts w:ascii="Arial" w:hAnsi="Arial" w:cs="Arial"/>
          <w:color w:val="000000"/>
          <w:sz w:val="24"/>
          <w:szCs w:val="24"/>
          <w:shd w:val="clear" w:color="auto" w:fill="FFFFFF"/>
        </w:rPr>
        <w:t>being</w:t>
      </w:r>
      <w:r w:rsidR="00D01697">
        <w:rPr>
          <w:rFonts w:ascii="Arial" w:hAnsi="Arial" w:cs="Arial"/>
          <w:color w:val="000000"/>
          <w:sz w:val="24"/>
          <w:szCs w:val="24"/>
          <w:shd w:val="clear" w:color="auto" w:fill="FFFFFF"/>
        </w:rPr>
        <w:t xml:space="preserve"> higher than for men.  </w:t>
      </w:r>
      <w:r w:rsidR="00F97BEB">
        <w:rPr>
          <w:rFonts w:ascii="Arial" w:hAnsi="Arial" w:cs="Arial"/>
          <w:color w:val="000000"/>
          <w:sz w:val="24"/>
          <w:szCs w:val="24"/>
          <w:shd w:val="clear" w:color="auto" w:fill="FFFFFF"/>
        </w:rPr>
        <w:t>Portugal has an atypical pattern, with prevalence after age 70 increasing considerably, especially for women.</w:t>
      </w:r>
      <w:r w:rsidR="006A12FE">
        <w:rPr>
          <w:rFonts w:ascii="Arial" w:hAnsi="Arial" w:cs="Arial"/>
          <w:color w:val="000000"/>
          <w:sz w:val="24"/>
          <w:szCs w:val="24"/>
          <w:shd w:val="clear" w:color="auto" w:fill="FFFFFF"/>
        </w:rPr>
        <w:t xml:space="preserve"> Compared to the age pattern of men, women have a higher rate of increase in prevalence across all countries with age, with the burden increasing at a much faster than pace. Chinese and Indian women have a prevalence rate level at ages 60-65 that </w:t>
      </w:r>
      <w:r w:rsidR="004C29B7">
        <w:rPr>
          <w:rFonts w:ascii="Arial" w:hAnsi="Arial" w:cs="Arial"/>
          <w:color w:val="000000"/>
          <w:sz w:val="24"/>
          <w:szCs w:val="24"/>
          <w:shd w:val="clear" w:color="auto" w:fill="FFFFFF"/>
        </w:rPr>
        <w:t>is</w:t>
      </w:r>
      <w:r w:rsidR="006A12FE">
        <w:rPr>
          <w:rFonts w:ascii="Arial" w:hAnsi="Arial" w:cs="Arial"/>
          <w:color w:val="000000"/>
          <w:sz w:val="24"/>
          <w:szCs w:val="24"/>
          <w:shd w:val="clear" w:color="auto" w:fill="FFFFFF"/>
        </w:rPr>
        <w:t xml:space="preserve"> onl</w:t>
      </w:r>
      <w:r w:rsidR="004C29B7">
        <w:rPr>
          <w:rFonts w:ascii="Arial" w:hAnsi="Arial" w:cs="Arial"/>
          <w:color w:val="000000"/>
          <w:sz w:val="24"/>
          <w:szCs w:val="24"/>
          <w:shd w:val="clear" w:color="auto" w:fill="FFFFFF"/>
        </w:rPr>
        <w:t>y</w:t>
      </w:r>
      <w:r w:rsidR="006A12FE">
        <w:rPr>
          <w:rFonts w:ascii="Arial" w:hAnsi="Arial" w:cs="Arial"/>
          <w:color w:val="000000"/>
          <w:sz w:val="24"/>
          <w:szCs w:val="24"/>
          <w:shd w:val="clear" w:color="auto" w:fill="FFFFFF"/>
        </w:rPr>
        <w:t xml:space="preserve"> observed at ages 70-75 for men, with a gap of almost 10 years. </w:t>
      </w:r>
      <w:r w:rsidR="00D766D0">
        <w:rPr>
          <w:rFonts w:ascii="Arial" w:hAnsi="Arial" w:cs="Arial"/>
          <w:color w:val="000000"/>
          <w:sz w:val="24"/>
          <w:szCs w:val="24"/>
          <w:shd w:val="clear" w:color="auto" w:fill="FFFFFF"/>
        </w:rPr>
        <w:t xml:space="preserve">However, the difference is not important for women and men in </w:t>
      </w:r>
      <w:r w:rsidR="00D766D0">
        <w:rPr>
          <w:rFonts w:ascii="Arial" w:hAnsi="Arial" w:cs="Arial"/>
          <w:color w:val="000000"/>
          <w:sz w:val="24"/>
          <w:szCs w:val="24"/>
          <w:shd w:val="clear" w:color="auto" w:fill="FFFFFF"/>
        </w:rPr>
        <w:lastRenderedPageBreak/>
        <w:t>England with men facing higher prevalence than women at some ages and very similar levels after age 80. Indeed, as shown in Table 2, when considering ages 65+ England is the country with the second lowest gender difference, with Denmark being the first.</w:t>
      </w:r>
    </w:p>
    <w:p w14:paraId="3ED2FEF6" w14:textId="5B85C50A" w:rsidR="00F65F88" w:rsidRDefault="00F65F88" w:rsidP="00761211">
      <w:pPr>
        <w:spacing w:line="240" w:lineRule="auto"/>
        <w:jc w:val="both"/>
        <w:rPr>
          <w:rFonts w:ascii="Arial" w:hAnsi="Arial" w:cs="Arial"/>
          <w:b/>
          <w:bCs/>
          <w:color w:val="000000"/>
          <w:sz w:val="24"/>
          <w:szCs w:val="24"/>
          <w:shd w:val="clear" w:color="auto" w:fill="FFFFFF"/>
        </w:rPr>
      </w:pPr>
    </w:p>
    <w:p w14:paraId="35E4EB39" w14:textId="1E8363F8" w:rsidR="00F83015" w:rsidRPr="00F83015" w:rsidRDefault="00F83015" w:rsidP="00761211">
      <w:pPr>
        <w:spacing w:line="240" w:lineRule="auto"/>
        <w:jc w:val="both"/>
        <w:rPr>
          <w:rFonts w:ascii="Arial" w:hAnsi="Arial" w:cs="Arial"/>
          <w:color w:val="000000"/>
          <w:sz w:val="24"/>
          <w:szCs w:val="24"/>
          <w:shd w:val="clear" w:color="auto" w:fill="FFFFFF"/>
        </w:rPr>
      </w:pPr>
      <w:r w:rsidRPr="00F83015">
        <w:rPr>
          <w:rFonts w:ascii="Arial" w:hAnsi="Arial" w:cs="Arial"/>
          <w:color w:val="000000"/>
          <w:sz w:val="24"/>
          <w:szCs w:val="24"/>
          <w:shd w:val="clear" w:color="auto" w:fill="FFFFFF"/>
        </w:rPr>
        <w:t xml:space="preserve">Table 2. Prevalence of Women and Men ages 65+ with any ADL difficulty captures any </w:t>
      </w:r>
      <w:commentRangeStart w:id="3"/>
      <w:r w:rsidRPr="00F83015">
        <w:rPr>
          <w:rFonts w:ascii="Arial" w:hAnsi="Arial" w:cs="Arial"/>
          <w:color w:val="000000"/>
          <w:sz w:val="24"/>
          <w:szCs w:val="24"/>
          <w:shd w:val="clear" w:color="auto" w:fill="FFFFFF"/>
        </w:rPr>
        <w:t>difficulty</w:t>
      </w:r>
      <w:commentRangeEnd w:id="3"/>
      <w:r w:rsidR="009F2603">
        <w:rPr>
          <w:rStyle w:val="CommentReference"/>
        </w:rPr>
        <w:commentReference w:id="3"/>
      </w:r>
      <w:r w:rsidRPr="00F83015">
        <w:rPr>
          <w:rFonts w:ascii="Arial" w:hAnsi="Arial" w:cs="Arial"/>
          <w:color w:val="000000"/>
          <w:sz w:val="24"/>
          <w:szCs w:val="24"/>
          <w:shd w:val="clear" w:color="auto" w:fill="FFFFFF"/>
        </w:rPr>
        <w:t xml:space="preserve"> bathing, dressing, eating, getting in and out of bed, and using the toilet</w:t>
      </w:r>
      <w:r w:rsidR="002247FA">
        <w:rPr>
          <w:rFonts w:ascii="Arial" w:hAnsi="Arial" w:cs="Arial"/>
          <w:color w:val="000000"/>
          <w:sz w:val="24"/>
          <w:szCs w:val="24"/>
          <w:shd w:val="clear" w:color="auto" w:fill="FFFFFF"/>
        </w:rPr>
        <w:t>, selected countries, year 2014</w:t>
      </w:r>
    </w:p>
    <w:tbl>
      <w:tblPr>
        <w:tblW w:w="8171" w:type="dxa"/>
        <w:jc w:val="center"/>
        <w:tblLook w:val="04A0" w:firstRow="1" w:lastRow="0" w:firstColumn="1" w:lastColumn="0" w:noHBand="0" w:noVBand="1"/>
      </w:tblPr>
      <w:tblGrid>
        <w:gridCol w:w="1551"/>
        <w:gridCol w:w="1400"/>
        <w:gridCol w:w="960"/>
        <w:gridCol w:w="960"/>
        <w:gridCol w:w="1380"/>
        <w:gridCol w:w="960"/>
        <w:gridCol w:w="960"/>
      </w:tblGrid>
      <w:tr w:rsidR="00486901" w:rsidRPr="00486901" w14:paraId="01FA0F62" w14:textId="77777777" w:rsidTr="00722402">
        <w:trPr>
          <w:trHeight w:val="540"/>
          <w:jc w:val="center"/>
        </w:trPr>
        <w:tc>
          <w:tcPr>
            <w:tcW w:w="1551" w:type="dxa"/>
            <w:vMerge w:val="restart"/>
            <w:tcBorders>
              <w:top w:val="single" w:sz="4" w:space="0" w:color="auto"/>
              <w:left w:val="nil"/>
              <w:bottom w:val="single" w:sz="4" w:space="0" w:color="000000"/>
              <w:right w:val="nil"/>
            </w:tcBorders>
            <w:shd w:val="clear" w:color="000000" w:fill="FFFFFF"/>
            <w:vAlign w:val="center"/>
            <w:hideMark/>
          </w:tcPr>
          <w:p w14:paraId="06B550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Country</w:t>
            </w:r>
          </w:p>
        </w:tc>
        <w:tc>
          <w:tcPr>
            <w:tcW w:w="3320" w:type="dxa"/>
            <w:gridSpan w:val="3"/>
            <w:tcBorders>
              <w:top w:val="single" w:sz="4" w:space="0" w:color="auto"/>
              <w:left w:val="nil"/>
              <w:bottom w:val="single" w:sz="4" w:space="0" w:color="auto"/>
              <w:right w:val="nil"/>
            </w:tcBorders>
            <w:shd w:val="clear" w:color="000000" w:fill="FFFFFF"/>
            <w:vAlign w:val="center"/>
            <w:hideMark/>
          </w:tcPr>
          <w:p w14:paraId="74EA63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Men age 65+</w:t>
            </w:r>
          </w:p>
        </w:tc>
        <w:tc>
          <w:tcPr>
            <w:tcW w:w="3300" w:type="dxa"/>
            <w:gridSpan w:val="3"/>
            <w:tcBorders>
              <w:top w:val="single" w:sz="4" w:space="0" w:color="auto"/>
              <w:left w:val="nil"/>
              <w:bottom w:val="single" w:sz="4" w:space="0" w:color="auto"/>
              <w:right w:val="nil"/>
            </w:tcBorders>
            <w:shd w:val="clear" w:color="000000" w:fill="FFFFFF"/>
            <w:vAlign w:val="center"/>
            <w:hideMark/>
          </w:tcPr>
          <w:p w14:paraId="5F029AD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Women age 65+</w:t>
            </w:r>
          </w:p>
        </w:tc>
      </w:tr>
      <w:tr w:rsidR="00486901" w:rsidRPr="00486901" w14:paraId="613740FA" w14:textId="77777777" w:rsidTr="00722402">
        <w:trPr>
          <w:trHeight w:val="1050"/>
          <w:jc w:val="center"/>
        </w:trPr>
        <w:tc>
          <w:tcPr>
            <w:tcW w:w="1551" w:type="dxa"/>
            <w:vMerge/>
            <w:tcBorders>
              <w:top w:val="single" w:sz="4" w:space="0" w:color="auto"/>
              <w:left w:val="nil"/>
              <w:bottom w:val="single" w:sz="4" w:space="0" w:color="000000"/>
              <w:right w:val="nil"/>
            </w:tcBorders>
            <w:vAlign w:val="center"/>
            <w:hideMark/>
          </w:tcPr>
          <w:p w14:paraId="712CD2B4" w14:textId="77777777" w:rsidR="00486901" w:rsidRPr="00486901" w:rsidRDefault="00486901" w:rsidP="00486901">
            <w:pPr>
              <w:spacing w:after="0" w:line="240" w:lineRule="auto"/>
              <w:rPr>
                <w:rFonts w:ascii="Arial" w:eastAsia="Times New Roman" w:hAnsi="Arial" w:cs="Arial"/>
                <w:color w:val="212529"/>
                <w:sz w:val="24"/>
                <w:szCs w:val="24"/>
              </w:rPr>
            </w:pPr>
          </w:p>
        </w:tc>
        <w:tc>
          <w:tcPr>
            <w:tcW w:w="1400" w:type="dxa"/>
            <w:tcBorders>
              <w:top w:val="nil"/>
              <w:left w:val="nil"/>
              <w:bottom w:val="single" w:sz="4" w:space="0" w:color="auto"/>
              <w:right w:val="nil"/>
            </w:tcBorders>
            <w:shd w:val="clear" w:color="000000" w:fill="FFFFFF"/>
            <w:vAlign w:val="center"/>
            <w:hideMark/>
          </w:tcPr>
          <w:p w14:paraId="5F9C34C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06A0E08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c>
          <w:tcPr>
            <w:tcW w:w="1380" w:type="dxa"/>
            <w:tcBorders>
              <w:top w:val="nil"/>
              <w:left w:val="nil"/>
              <w:bottom w:val="single" w:sz="4" w:space="0" w:color="auto"/>
              <w:right w:val="nil"/>
            </w:tcBorders>
            <w:shd w:val="clear" w:color="000000" w:fill="FFFFFF"/>
            <w:vAlign w:val="center"/>
            <w:hideMark/>
          </w:tcPr>
          <w:p w14:paraId="64D1692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 Any ADL</w:t>
            </w:r>
          </w:p>
        </w:tc>
        <w:tc>
          <w:tcPr>
            <w:tcW w:w="1920" w:type="dxa"/>
            <w:gridSpan w:val="2"/>
            <w:tcBorders>
              <w:top w:val="nil"/>
              <w:left w:val="nil"/>
              <w:bottom w:val="single" w:sz="4" w:space="0" w:color="auto"/>
              <w:right w:val="nil"/>
            </w:tcBorders>
            <w:shd w:val="clear" w:color="000000" w:fill="FFFFFF"/>
            <w:vAlign w:val="center"/>
            <w:hideMark/>
          </w:tcPr>
          <w:p w14:paraId="50BC41D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95%CI</w:t>
            </w:r>
          </w:p>
        </w:tc>
      </w:tr>
      <w:tr w:rsidR="00486901" w:rsidRPr="00486901" w14:paraId="3EB4E87B" w14:textId="77777777" w:rsidTr="00722402">
        <w:trPr>
          <w:trHeight w:val="310"/>
          <w:jc w:val="center"/>
        </w:trPr>
        <w:tc>
          <w:tcPr>
            <w:tcW w:w="1551" w:type="dxa"/>
            <w:tcBorders>
              <w:top w:val="nil"/>
              <w:left w:val="nil"/>
              <w:bottom w:val="nil"/>
              <w:right w:val="nil"/>
            </w:tcBorders>
            <w:shd w:val="clear" w:color="000000" w:fill="FFFFFF"/>
            <w:vAlign w:val="center"/>
            <w:hideMark/>
          </w:tcPr>
          <w:p w14:paraId="1FC4AF88"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USA</w:t>
            </w:r>
          </w:p>
        </w:tc>
        <w:tc>
          <w:tcPr>
            <w:tcW w:w="1400" w:type="dxa"/>
            <w:tcBorders>
              <w:top w:val="nil"/>
              <w:left w:val="nil"/>
              <w:bottom w:val="nil"/>
              <w:right w:val="nil"/>
            </w:tcBorders>
            <w:shd w:val="clear" w:color="000000" w:fill="FFFFFF"/>
            <w:vAlign w:val="center"/>
            <w:hideMark/>
          </w:tcPr>
          <w:p w14:paraId="578EBFC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14.33</w:t>
            </w:r>
          </w:p>
        </w:tc>
        <w:tc>
          <w:tcPr>
            <w:tcW w:w="960" w:type="dxa"/>
            <w:tcBorders>
              <w:top w:val="nil"/>
              <w:left w:val="nil"/>
              <w:bottom w:val="nil"/>
              <w:right w:val="nil"/>
            </w:tcBorders>
            <w:shd w:val="clear" w:color="000000" w:fill="FFFFFF"/>
            <w:vAlign w:val="center"/>
            <w:hideMark/>
          </w:tcPr>
          <w:p w14:paraId="1A6051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13.15</w:t>
            </w:r>
          </w:p>
        </w:tc>
        <w:tc>
          <w:tcPr>
            <w:tcW w:w="960" w:type="dxa"/>
            <w:tcBorders>
              <w:top w:val="nil"/>
              <w:left w:val="nil"/>
              <w:bottom w:val="nil"/>
              <w:right w:val="nil"/>
            </w:tcBorders>
            <w:shd w:val="clear" w:color="000000" w:fill="FFFFFF"/>
            <w:vAlign w:val="center"/>
            <w:hideMark/>
          </w:tcPr>
          <w:p w14:paraId="7C242A7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15.59</w:t>
            </w:r>
          </w:p>
        </w:tc>
        <w:tc>
          <w:tcPr>
            <w:tcW w:w="1380" w:type="dxa"/>
            <w:tcBorders>
              <w:top w:val="nil"/>
              <w:left w:val="nil"/>
              <w:bottom w:val="nil"/>
              <w:right w:val="nil"/>
            </w:tcBorders>
            <w:shd w:val="clear" w:color="000000" w:fill="FFFFFF"/>
            <w:vAlign w:val="center"/>
            <w:hideMark/>
          </w:tcPr>
          <w:p w14:paraId="127D03B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15.96</w:t>
            </w:r>
          </w:p>
        </w:tc>
        <w:tc>
          <w:tcPr>
            <w:tcW w:w="960" w:type="dxa"/>
            <w:tcBorders>
              <w:top w:val="nil"/>
              <w:left w:val="nil"/>
              <w:bottom w:val="nil"/>
              <w:right w:val="nil"/>
            </w:tcBorders>
            <w:shd w:val="clear" w:color="000000" w:fill="FFFFFF"/>
            <w:vAlign w:val="center"/>
            <w:hideMark/>
          </w:tcPr>
          <w:p w14:paraId="6103AA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14.93</w:t>
            </w:r>
          </w:p>
        </w:tc>
        <w:tc>
          <w:tcPr>
            <w:tcW w:w="960" w:type="dxa"/>
            <w:tcBorders>
              <w:top w:val="nil"/>
              <w:left w:val="nil"/>
              <w:bottom w:val="nil"/>
              <w:right w:val="nil"/>
            </w:tcBorders>
            <w:shd w:val="clear" w:color="000000" w:fill="FFFFFF"/>
            <w:vAlign w:val="center"/>
            <w:hideMark/>
          </w:tcPr>
          <w:p w14:paraId="64C3984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17.05</w:t>
            </w:r>
          </w:p>
        </w:tc>
      </w:tr>
      <w:tr w:rsidR="00486901" w:rsidRPr="00486901" w14:paraId="6E949B9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D477B9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China</w:t>
            </w:r>
          </w:p>
        </w:tc>
        <w:tc>
          <w:tcPr>
            <w:tcW w:w="1400" w:type="dxa"/>
            <w:tcBorders>
              <w:top w:val="nil"/>
              <w:left w:val="nil"/>
              <w:bottom w:val="nil"/>
              <w:right w:val="nil"/>
            </w:tcBorders>
            <w:shd w:val="clear" w:color="000000" w:fill="FFFFFF"/>
            <w:vAlign w:val="center"/>
            <w:hideMark/>
          </w:tcPr>
          <w:p w14:paraId="7A5E3A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16.31</w:t>
            </w:r>
          </w:p>
        </w:tc>
        <w:tc>
          <w:tcPr>
            <w:tcW w:w="960" w:type="dxa"/>
            <w:tcBorders>
              <w:top w:val="nil"/>
              <w:left w:val="nil"/>
              <w:bottom w:val="nil"/>
              <w:right w:val="nil"/>
            </w:tcBorders>
            <w:shd w:val="clear" w:color="000000" w:fill="FFFFFF"/>
            <w:vAlign w:val="center"/>
            <w:hideMark/>
          </w:tcPr>
          <w:p w14:paraId="0BF48C9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14.36</w:t>
            </w:r>
          </w:p>
        </w:tc>
        <w:tc>
          <w:tcPr>
            <w:tcW w:w="960" w:type="dxa"/>
            <w:tcBorders>
              <w:top w:val="nil"/>
              <w:left w:val="nil"/>
              <w:bottom w:val="nil"/>
              <w:right w:val="nil"/>
            </w:tcBorders>
            <w:shd w:val="clear" w:color="000000" w:fill="FFFFFF"/>
            <w:vAlign w:val="center"/>
            <w:hideMark/>
          </w:tcPr>
          <w:p w14:paraId="3FC255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18.47</w:t>
            </w:r>
          </w:p>
        </w:tc>
        <w:tc>
          <w:tcPr>
            <w:tcW w:w="1380" w:type="dxa"/>
            <w:tcBorders>
              <w:top w:val="nil"/>
              <w:left w:val="nil"/>
              <w:bottom w:val="nil"/>
              <w:right w:val="nil"/>
            </w:tcBorders>
            <w:shd w:val="clear" w:color="000000" w:fill="FFFFFF"/>
            <w:vAlign w:val="center"/>
            <w:hideMark/>
          </w:tcPr>
          <w:p w14:paraId="1D623DE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20.1</w:t>
            </w:r>
          </w:p>
        </w:tc>
        <w:tc>
          <w:tcPr>
            <w:tcW w:w="960" w:type="dxa"/>
            <w:tcBorders>
              <w:top w:val="nil"/>
              <w:left w:val="nil"/>
              <w:bottom w:val="nil"/>
              <w:right w:val="nil"/>
            </w:tcBorders>
            <w:shd w:val="clear" w:color="000000" w:fill="FFFFFF"/>
            <w:vAlign w:val="center"/>
            <w:hideMark/>
          </w:tcPr>
          <w:p w14:paraId="5CED11F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18.14</w:t>
            </w:r>
          </w:p>
        </w:tc>
        <w:tc>
          <w:tcPr>
            <w:tcW w:w="960" w:type="dxa"/>
            <w:tcBorders>
              <w:top w:val="nil"/>
              <w:left w:val="nil"/>
              <w:bottom w:val="nil"/>
              <w:right w:val="nil"/>
            </w:tcBorders>
            <w:shd w:val="clear" w:color="000000" w:fill="FFFFFF"/>
            <w:vAlign w:val="center"/>
            <w:hideMark/>
          </w:tcPr>
          <w:p w14:paraId="0DD63AA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22.21</w:t>
            </w:r>
          </w:p>
        </w:tc>
      </w:tr>
      <w:tr w:rsidR="00486901" w:rsidRPr="00486901" w14:paraId="44C212E1" w14:textId="77777777" w:rsidTr="00722402">
        <w:trPr>
          <w:trHeight w:val="310"/>
          <w:jc w:val="center"/>
        </w:trPr>
        <w:tc>
          <w:tcPr>
            <w:tcW w:w="1551" w:type="dxa"/>
            <w:tcBorders>
              <w:top w:val="nil"/>
              <w:left w:val="nil"/>
              <w:bottom w:val="nil"/>
              <w:right w:val="nil"/>
            </w:tcBorders>
            <w:shd w:val="clear" w:color="000000" w:fill="FFFFFF"/>
            <w:vAlign w:val="center"/>
            <w:hideMark/>
          </w:tcPr>
          <w:p w14:paraId="5621CCEA"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England</w:t>
            </w:r>
          </w:p>
        </w:tc>
        <w:tc>
          <w:tcPr>
            <w:tcW w:w="1400" w:type="dxa"/>
            <w:tcBorders>
              <w:top w:val="nil"/>
              <w:left w:val="nil"/>
              <w:bottom w:val="nil"/>
              <w:right w:val="nil"/>
            </w:tcBorders>
            <w:shd w:val="clear" w:color="000000" w:fill="FFFFFF"/>
            <w:vAlign w:val="center"/>
            <w:hideMark/>
          </w:tcPr>
          <w:p w14:paraId="69BF1DE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20.43</w:t>
            </w:r>
          </w:p>
        </w:tc>
        <w:tc>
          <w:tcPr>
            <w:tcW w:w="960" w:type="dxa"/>
            <w:tcBorders>
              <w:top w:val="nil"/>
              <w:left w:val="nil"/>
              <w:bottom w:val="nil"/>
              <w:right w:val="nil"/>
            </w:tcBorders>
            <w:shd w:val="clear" w:color="000000" w:fill="FFFFFF"/>
            <w:vAlign w:val="center"/>
            <w:hideMark/>
          </w:tcPr>
          <w:p w14:paraId="63EBDCA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18.72</w:t>
            </w:r>
          </w:p>
        </w:tc>
        <w:tc>
          <w:tcPr>
            <w:tcW w:w="960" w:type="dxa"/>
            <w:tcBorders>
              <w:top w:val="nil"/>
              <w:left w:val="nil"/>
              <w:bottom w:val="nil"/>
              <w:right w:val="nil"/>
            </w:tcBorders>
            <w:shd w:val="clear" w:color="000000" w:fill="FFFFFF"/>
            <w:vAlign w:val="center"/>
            <w:hideMark/>
          </w:tcPr>
          <w:p w14:paraId="6A7D88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22.26</w:t>
            </w:r>
          </w:p>
        </w:tc>
        <w:tc>
          <w:tcPr>
            <w:tcW w:w="1380" w:type="dxa"/>
            <w:tcBorders>
              <w:top w:val="nil"/>
              <w:left w:val="nil"/>
              <w:bottom w:val="nil"/>
              <w:right w:val="nil"/>
            </w:tcBorders>
            <w:shd w:val="clear" w:color="000000" w:fill="FFFFFF"/>
            <w:vAlign w:val="center"/>
            <w:hideMark/>
          </w:tcPr>
          <w:p w14:paraId="6CED644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21.4</w:t>
            </w:r>
          </w:p>
        </w:tc>
        <w:tc>
          <w:tcPr>
            <w:tcW w:w="960" w:type="dxa"/>
            <w:tcBorders>
              <w:top w:val="nil"/>
              <w:left w:val="nil"/>
              <w:bottom w:val="nil"/>
              <w:right w:val="nil"/>
            </w:tcBorders>
            <w:shd w:val="clear" w:color="000000" w:fill="FFFFFF"/>
            <w:vAlign w:val="center"/>
            <w:hideMark/>
          </w:tcPr>
          <w:p w14:paraId="6A2D528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19.79</w:t>
            </w:r>
          </w:p>
        </w:tc>
        <w:tc>
          <w:tcPr>
            <w:tcW w:w="960" w:type="dxa"/>
            <w:tcBorders>
              <w:top w:val="nil"/>
              <w:left w:val="nil"/>
              <w:bottom w:val="nil"/>
              <w:right w:val="nil"/>
            </w:tcBorders>
            <w:shd w:val="clear" w:color="000000" w:fill="FFFFFF"/>
            <w:vAlign w:val="center"/>
            <w:hideMark/>
          </w:tcPr>
          <w:p w14:paraId="67C3272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23.11</w:t>
            </w:r>
          </w:p>
        </w:tc>
      </w:tr>
      <w:tr w:rsidR="00486901" w:rsidRPr="00486901" w14:paraId="3F0BDB65"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5B2A6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Korea</w:t>
            </w:r>
          </w:p>
        </w:tc>
        <w:tc>
          <w:tcPr>
            <w:tcW w:w="1400" w:type="dxa"/>
            <w:tcBorders>
              <w:top w:val="nil"/>
              <w:left w:val="nil"/>
              <w:bottom w:val="nil"/>
              <w:right w:val="nil"/>
            </w:tcBorders>
            <w:shd w:val="clear" w:color="000000" w:fill="FFFFFF"/>
            <w:vAlign w:val="center"/>
            <w:hideMark/>
          </w:tcPr>
          <w:p w14:paraId="1876F4D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5.05</w:t>
            </w:r>
          </w:p>
        </w:tc>
        <w:tc>
          <w:tcPr>
            <w:tcW w:w="960" w:type="dxa"/>
            <w:tcBorders>
              <w:top w:val="nil"/>
              <w:left w:val="nil"/>
              <w:bottom w:val="nil"/>
              <w:right w:val="nil"/>
            </w:tcBorders>
            <w:shd w:val="clear" w:color="000000" w:fill="FFFFFF"/>
            <w:vAlign w:val="center"/>
            <w:hideMark/>
          </w:tcPr>
          <w:p w14:paraId="269B5E6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4.12</w:t>
            </w:r>
          </w:p>
        </w:tc>
        <w:tc>
          <w:tcPr>
            <w:tcW w:w="960" w:type="dxa"/>
            <w:tcBorders>
              <w:top w:val="nil"/>
              <w:left w:val="nil"/>
              <w:bottom w:val="nil"/>
              <w:right w:val="nil"/>
            </w:tcBorders>
            <w:shd w:val="clear" w:color="000000" w:fill="FFFFFF"/>
            <w:vAlign w:val="center"/>
            <w:hideMark/>
          </w:tcPr>
          <w:p w14:paraId="31826DA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6.19</w:t>
            </w:r>
          </w:p>
        </w:tc>
        <w:tc>
          <w:tcPr>
            <w:tcW w:w="1380" w:type="dxa"/>
            <w:tcBorders>
              <w:top w:val="nil"/>
              <w:left w:val="nil"/>
              <w:bottom w:val="nil"/>
              <w:right w:val="nil"/>
            </w:tcBorders>
            <w:shd w:val="clear" w:color="000000" w:fill="FFFFFF"/>
            <w:vAlign w:val="center"/>
            <w:hideMark/>
          </w:tcPr>
          <w:p w14:paraId="73B4F19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7.5</w:t>
            </w:r>
          </w:p>
        </w:tc>
        <w:tc>
          <w:tcPr>
            <w:tcW w:w="960" w:type="dxa"/>
            <w:tcBorders>
              <w:top w:val="nil"/>
              <w:left w:val="nil"/>
              <w:bottom w:val="nil"/>
              <w:right w:val="nil"/>
            </w:tcBorders>
            <w:shd w:val="clear" w:color="000000" w:fill="FFFFFF"/>
            <w:vAlign w:val="center"/>
            <w:hideMark/>
          </w:tcPr>
          <w:p w14:paraId="7FA4EC7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6.47</w:t>
            </w:r>
          </w:p>
        </w:tc>
        <w:tc>
          <w:tcPr>
            <w:tcW w:w="960" w:type="dxa"/>
            <w:tcBorders>
              <w:top w:val="nil"/>
              <w:left w:val="nil"/>
              <w:bottom w:val="nil"/>
              <w:right w:val="nil"/>
            </w:tcBorders>
            <w:shd w:val="clear" w:color="000000" w:fill="FFFFFF"/>
            <w:vAlign w:val="center"/>
            <w:hideMark/>
          </w:tcPr>
          <w:p w14:paraId="7511984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8.67</w:t>
            </w:r>
          </w:p>
        </w:tc>
      </w:tr>
      <w:tr w:rsidR="00486901" w:rsidRPr="00486901" w14:paraId="7AF48613" w14:textId="77777777" w:rsidTr="00722402">
        <w:trPr>
          <w:trHeight w:val="310"/>
          <w:jc w:val="center"/>
        </w:trPr>
        <w:tc>
          <w:tcPr>
            <w:tcW w:w="1551" w:type="dxa"/>
            <w:tcBorders>
              <w:top w:val="nil"/>
              <w:left w:val="nil"/>
              <w:bottom w:val="nil"/>
              <w:right w:val="nil"/>
            </w:tcBorders>
            <w:shd w:val="clear" w:color="000000" w:fill="FFFFFF"/>
            <w:vAlign w:val="center"/>
            <w:hideMark/>
          </w:tcPr>
          <w:p w14:paraId="44EC986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Austria</w:t>
            </w:r>
          </w:p>
        </w:tc>
        <w:tc>
          <w:tcPr>
            <w:tcW w:w="1400" w:type="dxa"/>
            <w:tcBorders>
              <w:top w:val="nil"/>
              <w:left w:val="nil"/>
              <w:bottom w:val="nil"/>
              <w:right w:val="nil"/>
            </w:tcBorders>
            <w:shd w:val="clear" w:color="000000" w:fill="FFFFFF"/>
            <w:vAlign w:val="center"/>
            <w:hideMark/>
          </w:tcPr>
          <w:p w14:paraId="43A01BD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13.61</w:t>
            </w:r>
          </w:p>
        </w:tc>
        <w:tc>
          <w:tcPr>
            <w:tcW w:w="960" w:type="dxa"/>
            <w:tcBorders>
              <w:top w:val="nil"/>
              <w:left w:val="nil"/>
              <w:bottom w:val="nil"/>
              <w:right w:val="nil"/>
            </w:tcBorders>
            <w:shd w:val="clear" w:color="000000" w:fill="FFFFFF"/>
            <w:vAlign w:val="center"/>
            <w:hideMark/>
          </w:tcPr>
          <w:p w14:paraId="7058A7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11.4</w:t>
            </w:r>
          </w:p>
        </w:tc>
        <w:tc>
          <w:tcPr>
            <w:tcW w:w="960" w:type="dxa"/>
            <w:tcBorders>
              <w:top w:val="nil"/>
              <w:left w:val="nil"/>
              <w:bottom w:val="nil"/>
              <w:right w:val="nil"/>
            </w:tcBorders>
            <w:shd w:val="clear" w:color="000000" w:fill="FFFFFF"/>
            <w:vAlign w:val="center"/>
            <w:hideMark/>
          </w:tcPr>
          <w:p w14:paraId="142C182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16.16</w:t>
            </w:r>
          </w:p>
        </w:tc>
        <w:tc>
          <w:tcPr>
            <w:tcW w:w="1380" w:type="dxa"/>
            <w:tcBorders>
              <w:top w:val="nil"/>
              <w:left w:val="nil"/>
              <w:bottom w:val="nil"/>
              <w:right w:val="nil"/>
            </w:tcBorders>
            <w:shd w:val="clear" w:color="000000" w:fill="FFFFFF"/>
            <w:vAlign w:val="center"/>
            <w:hideMark/>
          </w:tcPr>
          <w:p w14:paraId="7AA6A43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17.53</w:t>
            </w:r>
          </w:p>
        </w:tc>
        <w:tc>
          <w:tcPr>
            <w:tcW w:w="960" w:type="dxa"/>
            <w:tcBorders>
              <w:top w:val="nil"/>
              <w:left w:val="nil"/>
              <w:bottom w:val="nil"/>
              <w:right w:val="nil"/>
            </w:tcBorders>
            <w:shd w:val="clear" w:color="000000" w:fill="FFFFFF"/>
            <w:vAlign w:val="center"/>
            <w:hideMark/>
          </w:tcPr>
          <w:p w14:paraId="65F5F5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15.25</w:t>
            </w:r>
          </w:p>
        </w:tc>
        <w:tc>
          <w:tcPr>
            <w:tcW w:w="960" w:type="dxa"/>
            <w:tcBorders>
              <w:top w:val="nil"/>
              <w:left w:val="nil"/>
              <w:bottom w:val="nil"/>
              <w:right w:val="nil"/>
            </w:tcBorders>
            <w:shd w:val="clear" w:color="000000" w:fill="FFFFFF"/>
            <w:vAlign w:val="center"/>
            <w:hideMark/>
          </w:tcPr>
          <w:p w14:paraId="27E4433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20.07</w:t>
            </w:r>
          </w:p>
        </w:tc>
      </w:tr>
      <w:tr w:rsidR="00486901" w:rsidRPr="00486901" w14:paraId="4730EF28" w14:textId="77777777" w:rsidTr="00722402">
        <w:trPr>
          <w:trHeight w:val="310"/>
          <w:jc w:val="center"/>
        </w:trPr>
        <w:tc>
          <w:tcPr>
            <w:tcW w:w="1551" w:type="dxa"/>
            <w:tcBorders>
              <w:top w:val="nil"/>
              <w:left w:val="nil"/>
              <w:bottom w:val="nil"/>
              <w:right w:val="nil"/>
            </w:tcBorders>
            <w:shd w:val="clear" w:color="000000" w:fill="FFFFFF"/>
            <w:vAlign w:val="center"/>
            <w:hideMark/>
          </w:tcPr>
          <w:p w14:paraId="11C87DF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Belgium</w:t>
            </w:r>
          </w:p>
        </w:tc>
        <w:tc>
          <w:tcPr>
            <w:tcW w:w="1400" w:type="dxa"/>
            <w:tcBorders>
              <w:top w:val="nil"/>
              <w:left w:val="nil"/>
              <w:bottom w:val="nil"/>
              <w:right w:val="nil"/>
            </w:tcBorders>
            <w:shd w:val="clear" w:color="000000" w:fill="FFFFFF"/>
            <w:vAlign w:val="center"/>
            <w:hideMark/>
          </w:tcPr>
          <w:p w14:paraId="5395385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17.01</w:t>
            </w:r>
          </w:p>
        </w:tc>
        <w:tc>
          <w:tcPr>
            <w:tcW w:w="960" w:type="dxa"/>
            <w:tcBorders>
              <w:top w:val="nil"/>
              <w:left w:val="nil"/>
              <w:bottom w:val="nil"/>
              <w:right w:val="nil"/>
            </w:tcBorders>
            <w:shd w:val="clear" w:color="000000" w:fill="FFFFFF"/>
            <w:vAlign w:val="center"/>
            <w:hideMark/>
          </w:tcPr>
          <w:p w14:paraId="1E9EF94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15.04</w:t>
            </w:r>
          </w:p>
        </w:tc>
        <w:tc>
          <w:tcPr>
            <w:tcW w:w="960" w:type="dxa"/>
            <w:tcBorders>
              <w:top w:val="nil"/>
              <w:left w:val="nil"/>
              <w:bottom w:val="nil"/>
              <w:right w:val="nil"/>
            </w:tcBorders>
            <w:shd w:val="clear" w:color="000000" w:fill="FFFFFF"/>
            <w:vAlign w:val="center"/>
            <w:hideMark/>
          </w:tcPr>
          <w:p w14:paraId="53CE284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19.17</w:t>
            </w:r>
          </w:p>
        </w:tc>
        <w:tc>
          <w:tcPr>
            <w:tcW w:w="1380" w:type="dxa"/>
            <w:tcBorders>
              <w:top w:val="nil"/>
              <w:left w:val="nil"/>
              <w:bottom w:val="nil"/>
              <w:right w:val="nil"/>
            </w:tcBorders>
            <w:shd w:val="clear" w:color="000000" w:fill="FFFFFF"/>
            <w:vAlign w:val="center"/>
            <w:hideMark/>
          </w:tcPr>
          <w:p w14:paraId="26EC25E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25.08</w:t>
            </w:r>
          </w:p>
        </w:tc>
        <w:tc>
          <w:tcPr>
            <w:tcW w:w="960" w:type="dxa"/>
            <w:tcBorders>
              <w:top w:val="nil"/>
              <w:left w:val="nil"/>
              <w:bottom w:val="nil"/>
              <w:right w:val="nil"/>
            </w:tcBorders>
            <w:shd w:val="clear" w:color="000000" w:fill="FFFFFF"/>
            <w:vAlign w:val="center"/>
            <w:hideMark/>
          </w:tcPr>
          <w:p w14:paraId="4C77D1C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22.95</w:t>
            </w:r>
          </w:p>
        </w:tc>
        <w:tc>
          <w:tcPr>
            <w:tcW w:w="960" w:type="dxa"/>
            <w:tcBorders>
              <w:top w:val="nil"/>
              <w:left w:val="nil"/>
              <w:bottom w:val="nil"/>
              <w:right w:val="nil"/>
            </w:tcBorders>
            <w:shd w:val="clear" w:color="000000" w:fill="FFFFFF"/>
            <w:vAlign w:val="center"/>
            <w:hideMark/>
          </w:tcPr>
          <w:p w14:paraId="2BB7D9F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27.34</w:t>
            </w:r>
          </w:p>
        </w:tc>
      </w:tr>
      <w:tr w:rsidR="00486901" w:rsidRPr="00486901" w14:paraId="36A081B6" w14:textId="77777777" w:rsidTr="00722402">
        <w:trPr>
          <w:trHeight w:val="310"/>
          <w:jc w:val="center"/>
        </w:trPr>
        <w:tc>
          <w:tcPr>
            <w:tcW w:w="1551" w:type="dxa"/>
            <w:tcBorders>
              <w:top w:val="nil"/>
              <w:left w:val="nil"/>
              <w:bottom w:val="nil"/>
              <w:right w:val="nil"/>
            </w:tcBorders>
            <w:shd w:val="clear" w:color="000000" w:fill="FFFFFF"/>
            <w:vAlign w:val="center"/>
            <w:hideMark/>
          </w:tcPr>
          <w:p w14:paraId="3B53ADF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Croatia</w:t>
            </w:r>
          </w:p>
        </w:tc>
        <w:tc>
          <w:tcPr>
            <w:tcW w:w="1400" w:type="dxa"/>
            <w:tcBorders>
              <w:top w:val="nil"/>
              <w:left w:val="nil"/>
              <w:bottom w:val="nil"/>
              <w:right w:val="nil"/>
            </w:tcBorders>
            <w:shd w:val="clear" w:color="000000" w:fill="FFFFFF"/>
            <w:vAlign w:val="center"/>
            <w:hideMark/>
          </w:tcPr>
          <w:p w14:paraId="1446C8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10.73</w:t>
            </w:r>
          </w:p>
        </w:tc>
        <w:tc>
          <w:tcPr>
            <w:tcW w:w="960" w:type="dxa"/>
            <w:tcBorders>
              <w:top w:val="nil"/>
              <w:left w:val="nil"/>
              <w:bottom w:val="nil"/>
              <w:right w:val="nil"/>
            </w:tcBorders>
            <w:shd w:val="clear" w:color="000000" w:fill="FFFFFF"/>
            <w:vAlign w:val="center"/>
            <w:hideMark/>
          </w:tcPr>
          <w:p w14:paraId="7A8CB7A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8.03</w:t>
            </w:r>
          </w:p>
        </w:tc>
        <w:tc>
          <w:tcPr>
            <w:tcW w:w="960" w:type="dxa"/>
            <w:tcBorders>
              <w:top w:val="nil"/>
              <w:left w:val="nil"/>
              <w:bottom w:val="nil"/>
              <w:right w:val="nil"/>
            </w:tcBorders>
            <w:shd w:val="clear" w:color="000000" w:fill="FFFFFF"/>
            <w:vAlign w:val="center"/>
            <w:hideMark/>
          </w:tcPr>
          <w:p w14:paraId="036DC38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14.19</w:t>
            </w:r>
          </w:p>
        </w:tc>
        <w:tc>
          <w:tcPr>
            <w:tcW w:w="1380" w:type="dxa"/>
            <w:tcBorders>
              <w:top w:val="nil"/>
              <w:left w:val="nil"/>
              <w:bottom w:val="nil"/>
              <w:right w:val="nil"/>
            </w:tcBorders>
            <w:shd w:val="clear" w:color="000000" w:fill="FFFFFF"/>
            <w:vAlign w:val="center"/>
            <w:hideMark/>
          </w:tcPr>
          <w:p w14:paraId="24F3E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19.6</w:t>
            </w:r>
          </w:p>
        </w:tc>
        <w:tc>
          <w:tcPr>
            <w:tcW w:w="960" w:type="dxa"/>
            <w:tcBorders>
              <w:top w:val="nil"/>
              <w:left w:val="nil"/>
              <w:bottom w:val="nil"/>
              <w:right w:val="nil"/>
            </w:tcBorders>
            <w:shd w:val="clear" w:color="000000" w:fill="FFFFFF"/>
            <w:vAlign w:val="center"/>
            <w:hideMark/>
          </w:tcPr>
          <w:p w14:paraId="3B3B65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16.19</w:t>
            </w:r>
          </w:p>
        </w:tc>
        <w:tc>
          <w:tcPr>
            <w:tcW w:w="960" w:type="dxa"/>
            <w:tcBorders>
              <w:top w:val="nil"/>
              <w:left w:val="nil"/>
              <w:bottom w:val="nil"/>
              <w:right w:val="nil"/>
            </w:tcBorders>
            <w:shd w:val="clear" w:color="000000" w:fill="FFFFFF"/>
            <w:vAlign w:val="center"/>
            <w:hideMark/>
          </w:tcPr>
          <w:p w14:paraId="70B3A3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23.54</w:t>
            </w:r>
          </w:p>
        </w:tc>
      </w:tr>
      <w:tr w:rsidR="00486901" w:rsidRPr="00486901" w14:paraId="7C40FC31" w14:textId="77777777" w:rsidTr="00722402">
        <w:trPr>
          <w:trHeight w:val="620"/>
          <w:jc w:val="center"/>
        </w:trPr>
        <w:tc>
          <w:tcPr>
            <w:tcW w:w="1551" w:type="dxa"/>
            <w:tcBorders>
              <w:top w:val="nil"/>
              <w:left w:val="nil"/>
              <w:bottom w:val="nil"/>
              <w:right w:val="nil"/>
            </w:tcBorders>
            <w:shd w:val="clear" w:color="000000" w:fill="FFFFFF"/>
            <w:vAlign w:val="center"/>
            <w:hideMark/>
          </w:tcPr>
          <w:p w14:paraId="469CF57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Czech Republic</w:t>
            </w:r>
          </w:p>
        </w:tc>
        <w:tc>
          <w:tcPr>
            <w:tcW w:w="1400" w:type="dxa"/>
            <w:tcBorders>
              <w:top w:val="nil"/>
              <w:left w:val="nil"/>
              <w:bottom w:val="nil"/>
              <w:right w:val="nil"/>
            </w:tcBorders>
            <w:shd w:val="clear" w:color="000000" w:fill="FFFFFF"/>
            <w:vAlign w:val="center"/>
            <w:hideMark/>
          </w:tcPr>
          <w:p w14:paraId="0E81A19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c>
          <w:tcPr>
            <w:tcW w:w="960" w:type="dxa"/>
            <w:tcBorders>
              <w:top w:val="nil"/>
              <w:left w:val="nil"/>
              <w:bottom w:val="nil"/>
              <w:right w:val="nil"/>
            </w:tcBorders>
            <w:shd w:val="clear" w:color="000000" w:fill="FFFFFF"/>
            <w:vAlign w:val="center"/>
            <w:hideMark/>
          </w:tcPr>
          <w:p w14:paraId="1E21AD2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11.21</w:t>
            </w:r>
          </w:p>
        </w:tc>
        <w:tc>
          <w:tcPr>
            <w:tcW w:w="960" w:type="dxa"/>
            <w:tcBorders>
              <w:top w:val="nil"/>
              <w:left w:val="nil"/>
              <w:bottom w:val="nil"/>
              <w:right w:val="nil"/>
            </w:tcBorders>
            <w:shd w:val="clear" w:color="000000" w:fill="FFFFFF"/>
            <w:vAlign w:val="center"/>
            <w:hideMark/>
          </w:tcPr>
          <w:p w14:paraId="0CFD40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15.67</w:t>
            </w:r>
          </w:p>
        </w:tc>
        <w:tc>
          <w:tcPr>
            <w:tcW w:w="1380" w:type="dxa"/>
            <w:tcBorders>
              <w:top w:val="nil"/>
              <w:left w:val="nil"/>
              <w:bottom w:val="nil"/>
              <w:right w:val="nil"/>
            </w:tcBorders>
            <w:shd w:val="clear" w:color="000000" w:fill="FFFFFF"/>
            <w:vAlign w:val="center"/>
            <w:hideMark/>
          </w:tcPr>
          <w:p w14:paraId="6A9144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18.01</w:t>
            </w:r>
          </w:p>
        </w:tc>
        <w:tc>
          <w:tcPr>
            <w:tcW w:w="960" w:type="dxa"/>
            <w:tcBorders>
              <w:top w:val="nil"/>
              <w:left w:val="nil"/>
              <w:bottom w:val="nil"/>
              <w:right w:val="nil"/>
            </w:tcBorders>
            <w:shd w:val="clear" w:color="000000" w:fill="FFFFFF"/>
            <w:vAlign w:val="center"/>
            <w:hideMark/>
          </w:tcPr>
          <w:p w14:paraId="6209ED2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15.85</w:t>
            </w:r>
          </w:p>
        </w:tc>
        <w:tc>
          <w:tcPr>
            <w:tcW w:w="960" w:type="dxa"/>
            <w:tcBorders>
              <w:top w:val="nil"/>
              <w:left w:val="nil"/>
              <w:bottom w:val="nil"/>
              <w:right w:val="nil"/>
            </w:tcBorders>
            <w:shd w:val="clear" w:color="000000" w:fill="FFFFFF"/>
            <w:vAlign w:val="center"/>
            <w:hideMark/>
          </w:tcPr>
          <w:p w14:paraId="31DCBCB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20.41</w:t>
            </w:r>
          </w:p>
        </w:tc>
      </w:tr>
      <w:tr w:rsidR="00486901" w:rsidRPr="00486901" w14:paraId="47AF4169" w14:textId="77777777" w:rsidTr="00722402">
        <w:trPr>
          <w:trHeight w:val="310"/>
          <w:jc w:val="center"/>
        </w:trPr>
        <w:tc>
          <w:tcPr>
            <w:tcW w:w="1551" w:type="dxa"/>
            <w:tcBorders>
              <w:top w:val="nil"/>
              <w:left w:val="nil"/>
              <w:bottom w:val="nil"/>
              <w:right w:val="nil"/>
            </w:tcBorders>
            <w:shd w:val="clear" w:color="000000" w:fill="FFFFFF"/>
            <w:vAlign w:val="center"/>
            <w:hideMark/>
          </w:tcPr>
          <w:p w14:paraId="6417CEB9"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Denmark</w:t>
            </w:r>
          </w:p>
        </w:tc>
        <w:tc>
          <w:tcPr>
            <w:tcW w:w="1400" w:type="dxa"/>
            <w:tcBorders>
              <w:top w:val="nil"/>
              <w:left w:val="nil"/>
              <w:bottom w:val="nil"/>
              <w:right w:val="nil"/>
            </w:tcBorders>
            <w:shd w:val="clear" w:color="000000" w:fill="FFFFFF"/>
            <w:vAlign w:val="center"/>
            <w:hideMark/>
          </w:tcPr>
          <w:p w14:paraId="006270D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12.03</w:t>
            </w:r>
          </w:p>
        </w:tc>
        <w:tc>
          <w:tcPr>
            <w:tcW w:w="960" w:type="dxa"/>
            <w:tcBorders>
              <w:top w:val="nil"/>
              <w:left w:val="nil"/>
              <w:bottom w:val="nil"/>
              <w:right w:val="nil"/>
            </w:tcBorders>
            <w:shd w:val="clear" w:color="000000" w:fill="FFFFFF"/>
            <w:vAlign w:val="center"/>
            <w:hideMark/>
          </w:tcPr>
          <w:p w14:paraId="5B8FB59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9.92</w:t>
            </w:r>
          </w:p>
        </w:tc>
        <w:tc>
          <w:tcPr>
            <w:tcW w:w="960" w:type="dxa"/>
            <w:tcBorders>
              <w:top w:val="nil"/>
              <w:left w:val="nil"/>
              <w:bottom w:val="nil"/>
              <w:right w:val="nil"/>
            </w:tcBorders>
            <w:shd w:val="clear" w:color="000000" w:fill="FFFFFF"/>
            <w:vAlign w:val="center"/>
            <w:hideMark/>
          </w:tcPr>
          <w:p w14:paraId="3335E7E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14.52</w:t>
            </w:r>
          </w:p>
        </w:tc>
        <w:tc>
          <w:tcPr>
            <w:tcW w:w="1380" w:type="dxa"/>
            <w:tcBorders>
              <w:top w:val="nil"/>
              <w:left w:val="nil"/>
              <w:bottom w:val="nil"/>
              <w:right w:val="nil"/>
            </w:tcBorders>
            <w:shd w:val="clear" w:color="000000" w:fill="FFFFFF"/>
            <w:vAlign w:val="center"/>
            <w:hideMark/>
          </w:tcPr>
          <w:p w14:paraId="360F4C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11.25</w:t>
            </w:r>
          </w:p>
        </w:tc>
        <w:tc>
          <w:tcPr>
            <w:tcW w:w="960" w:type="dxa"/>
            <w:tcBorders>
              <w:top w:val="nil"/>
              <w:left w:val="nil"/>
              <w:bottom w:val="nil"/>
              <w:right w:val="nil"/>
            </w:tcBorders>
            <w:shd w:val="clear" w:color="000000" w:fill="FFFFFF"/>
            <w:vAlign w:val="center"/>
            <w:hideMark/>
          </w:tcPr>
          <w:p w14:paraId="03EF4B0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9.31</w:t>
            </w:r>
          </w:p>
        </w:tc>
        <w:tc>
          <w:tcPr>
            <w:tcW w:w="960" w:type="dxa"/>
            <w:tcBorders>
              <w:top w:val="nil"/>
              <w:left w:val="nil"/>
              <w:bottom w:val="nil"/>
              <w:right w:val="nil"/>
            </w:tcBorders>
            <w:shd w:val="clear" w:color="000000" w:fill="FFFFFF"/>
            <w:vAlign w:val="center"/>
            <w:hideMark/>
          </w:tcPr>
          <w:p w14:paraId="0E1E9E6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13.54</w:t>
            </w:r>
          </w:p>
        </w:tc>
      </w:tr>
      <w:tr w:rsidR="00486901" w:rsidRPr="00486901" w14:paraId="275DB951" w14:textId="77777777" w:rsidTr="00722402">
        <w:trPr>
          <w:trHeight w:val="310"/>
          <w:jc w:val="center"/>
        </w:trPr>
        <w:tc>
          <w:tcPr>
            <w:tcW w:w="1551" w:type="dxa"/>
            <w:tcBorders>
              <w:top w:val="nil"/>
              <w:left w:val="nil"/>
              <w:bottom w:val="nil"/>
              <w:right w:val="nil"/>
            </w:tcBorders>
            <w:shd w:val="clear" w:color="000000" w:fill="FFFFFF"/>
            <w:vAlign w:val="center"/>
            <w:hideMark/>
          </w:tcPr>
          <w:p w14:paraId="296D463E"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Estonia</w:t>
            </w:r>
          </w:p>
        </w:tc>
        <w:tc>
          <w:tcPr>
            <w:tcW w:w="1400" w:type="dxa"/>
            <w:tcBorders>
              <w:top w:val="nil"/>
              <w:left w:val="nil"/>
              <w:bottom w:val="nil"/>
              <w:right w:val="nil"/>
            </w:tcBorders>
            <w:shd w:val="clear" w:color="000000" w:fill="FFFFFF"/>
            <w:vAlign w:val="center"/>
            <w:hideMark/>
          </w:tcPr>
          <w:p w14:paraId="602C7DF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15.47</w:t>
            </w:r>
          </w:p>
        </w:tc>
        <w:tc>
          <w:tcPr>
            <w:tcW w:w="960" w:type="dxa"/>
            <w:tcBorders>
              <w:top w:val="nil"/>
              <w:left w:val="nil"/>
              <w:bottom w:val="nil"/>
              <w:right w:val="nil"/>
            </w:tcBorders>
            <w:shd w:val="clear" w:color="000000" w:fill="FFFFFF"/>
            <w:vAlign w:val="center"/>
            <w:hideMark/>
          </w:tcPr>
          <w:p w14:paraId="25E9E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13.49</w:t>
            </w:r>
          </w:p>
        </w:tc>
        <w:tc>
          <w:tcPr>
            <w:tcW w:w="960" w:type="dxa"/>
            <w:tcBorders>
              <w:top w:val="nil"/>
              <w:left w:val="nil"/>
              <w:bottom w:val="nil"/>
              <w:right w:val="nil"/>
            </w:tcBorders>
            <w:shd w:val="clear" w:color="000000" w:fill="FFFFFF"/>
            <w:vAlign w:val="center"/>
            <w:hideMark/>
          </w:tcPr>
          <w:p w14:paraId="1A749EA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17.68</w:t>
            </w:r>
          </w:p>
        </w:tc>
        <w:tc>
          <w:tcPr>
            <w:tcW w:w="1380" w:type="dxa"/>
            <w:tcBorders>
              <w:top w:val="nil"/>
              <w:left w:val="nil"/>
              <w:bottom w:val="nil"/>
              <w:right w:val="nil"/>
            </w:tcBorders>
            <w:shd w:val="clear" w:color="000000" w:fill="FFFFFF"/>
            <w:vAlign w:val="center"/>
            <w:hideMark/>
          </w:tcPr>
          <w:p w14:paraId="06F6884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20.56</w:t>
            </w:r>
          </w:p>
        </w:tc>
        <w:tc>
          <w:tcPr>
            <w:tcW w:w="960" w:type="dxa"/>
            <w:tcBorders>
              <w:top w:val="nil"/>
              <w:left w:val="nil"/>
              <w:bottom w:val="nil"/>
              <w:right w:val="nil"/>
            </w:tcBorders>
            <w:shd w:val="clear" w:color="000000" w:fill="FFFFFF"/>
            <w:vAlign w:val="center"/>
            <w:hideMark/>
          </w:tcPr>
          <w:p w14:paraId="3AD6634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18.76</w:t>
            </w:r>
          </w:p>
        </w:tc>
        <w:tc>
          <w:tcPr>
            <w:tcW w:w="960" w:type="dxa"/>
            <w:tcBorders>
              <w:top w:val="nil"/>
              <w:left w:val="nil"/>
              <w:bottom w:val="nil"/>
              <w:right w:val="nil"/>
            </w:tcBorders>
            <w:shd w:val="clear" w:color="000000" w:fill="FFFFFF"/>
            <w:vAlign w:val="center"/>
            <w:hideMark/>
          </w:tcPr>
          <w:p w14:paraId="4DAAAA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22.48</w:t>
            </w:r>
          </w:p>
        </w:tc>
      </w:tr>
      <w:tr w:rsidR="00486901" w:rsidRPr="00486901" w14:paraId="2FEF4999" w14:textId="77777777" w:rsidTr="00722402">
        <w:trPr>
          <w:trHeight w:val="310"/>
          <w:jc w:val="center"/>
        </w:trPr>
        <w:tc>
          <w:tcPr>
            <w:tcW w:w="1551" w:type="dxa"/>
            <w:tcBorders>
              <w:top w:val="nil"/>
              <w:left w:val="nil"/>
              <w:bottom w:val="nil"/>
              <w:right w:val="nil"/>
            </w:tcBorders>
            <w:shd w:val="clear" w:color="000000" w:fill="FFFFFF"/>
            <w:vAlign w:val="center"/>
            <w:hideMark/>
          </w:tcPr>
          <w:p w14:paraId="519B26F3"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France</w:t>
            </w:r>
          </w:p>
        </w:tc>
        <w:tc>
          <w:tcPr>
            <w:tcW w:w="1400" w:type="dxa"/>
            <w:tcBorders>
              <w:top w:val="nil"/>
              <w:left w:val="nil"/>
              <w:bottom w:val="nil"/>
              <w:right w:val="nil"/>
            </w:tcBorders>
            <w:shd w:val="clear" w:color="000000" w:fill="FFFFFF"/>
            <w:vAlign w:val="center"/>
            <w:hideMark/>
          </w:tcPr>
          <w:p w14:paraId="48321FE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18.51</w:t>
            </w:r>
          </w:p>
        </w:tc>
        <w:tc>
          <w:tcPr>
            <w:tcW w:w="960" w:type="dxa"/>
            <w:tcBorders>
              <w:top w:val="nil"/>
              <w:left w:val="nil"/>
              <w:bottom w:val="nil"/>
              <w:right w:val="nil"/>
            </w:tcBorders>
            <w:shd w:val="clear" w:color="000000" w:fill="FFFFFF"/>
            <w:vAlign w:val="center"/>
            <w:hideMark/>
          </w:tcPr>
          <w:p w14:paraId="45FEC2C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16.05</w:t>
            </w:r>
          </w:p>
        </w:tc>
        <w:tc>
          <w:tcPr>
            <w:tcW w:w="960" w:type="dxa"/>
            <w:tcBorders>
              <w:top w:val="nil"/>
              <w:left w:val="nil"/>
              <w:bottom w:val="nil"/>
              <w:right w:val="nil"/>
            </w:tcBorders>
            <w:shd w:val="clear" w:color="000000" w:fill="FFFFFF"/>
            <w:vAlign w:val="center"/>
            <w:hideMark/>
          </w:tcPr>
          <w:p w14:paraId="5983084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21.26</w:t>
            </w:r>
          </w:p>
        </w:tc>
        <w:tc>
          <w:tcPr>
            <w:tcW w:w="1380" w:type="dxa"/>
            <w:tcBorders>
              <w:top w:val="nil"/>
              <w:left w:val="nil"/>
              <w:bottom w:val="nil"/>
              <w:right w:val="nil"/>
            </w:tcBorders>
            <w:shd w:val="clear" w:color="000000" w:fill="FFFFFF"/>
            <w:vAlign w:val="center"/>
            <w:hideMark/>
          </w:tcPr>
          <w:p w14:paraId="12E2AB8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19.94</w:t>
            </w:r>
          </w:p>
        </w:tc>
        <w:tc>
          <w:tcPr>
            <w:tcW w:w="960" w:type="dxa"/>
            <w:tcBorders>
              <w:top w:val="nil"/>
              <w:left w:val="nil"/>
              <w:bottom w:val="nil"/>
              <w:right w:val="nil"/>
            </w:tcBorders>
            <w:shd w:val="clear" w:color="000000" w:fill="FFFFFF"/>
            <w:vAlign w:val="center"/>
            <w:hideMark/>
          </w:tcPr>
          <w:p w14:paraId="1CD9F71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960" w:type="dxa"/>
            <w:tcBorders>
              <w:top w:val="nil"/>
              <w:left w:val="nil"/>
              <w:bottom w:val="nil"/>
              <w:right w:val="nil"/>
            </w:tcBorders>
            <w:shd w:val="clear" w:color="000000" w:fill="FFFFFF"/>
            <w:vAlign w:val="center"/>
            <w:hideMark/>
          </w:tcPr>
          <w:p w14:paraId="70E8D98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0000C77E" w14:textId="77777777" w:rsidTr="00722402">
        <w:trPr>
          <w:trHeight w:val="310"/>
          <w:jc w:val="center"/>
        </w:trPr>
        <w:tc>
          <w:tcPr>
            <w:tcW w:w="1551" w:type="dxa"/>
            <w:tcBorders>
              <w:top w:val="nil"/>
              <w:left w:val="nil"/>
              <w:bottom w:val="nil"/>
              <w:right w:val="nil"/>
            </w:tcBorders>
            <w:shd w:val="clear" w:color="000000" w:fill="FFFFFF"/>
            <w:vAlign w:val="center"/>
            <w:hideMark/>
          </w:tcPr>
          <w:p w14:paraId="09E735CC"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Germany</w:t>
            </w:r>
          </w:p>
        </w:tc>
        <w:tc>
          <w:tcPr>
            <w:tcW w:w="1400" w:type="dxa"/>
            <w:tcBorders>
              <w:top w:val="nil"/>
              <w:left w:val="nil"/>
              <w:bottom w:val="nil"/>
              <w:right w:val="nil"/>
            </w:tcBorders>
            <w:shd w:val="clear" w:color="000000" w:fill="FFFFFF"/>
            <w:vAlign w:val="center"/>
            <w:hideMark/>
          </w:tcPr>
          <w:p w14:paraId="060783F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15.29</w:t>
            </w:r>
          </w:p>
        </w:tc>
        <w:tc>
          <w:tcPr>
            <w:tcW w:w="960" w:type="dxa"/>
            <w:tcBorders>
              <w:top w:val="nil"/>
              <w:left w:val="nil"/>
              <w:bottom w:val="nil"/>
              <w:right w:val="nil"/>
            </w:tcBorders>
            <w:shd w:val="clear" w:color="000000" w:fill="FFFFFF"/>
            <w:vAlign w:val="center"/>
            <w:hideMark/>
          </w:tcPr>
          <w:p w14:paraId="695E5EB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13.12</w:t>
            </w:r>
          </w:p>
        </w:tc>
        <w:tc>
          <w:tcPr>
            <w:tcW w:w="960" w:type="dxa"/>
            <w:tcBorders>
              <w:top w:val="nil"/>
              <w:left w:val="nil"/>
              <w:bottom w:val="nil"/>
              <w:right w:val="nil"/>
            </w:tcBorders>
            <w:shd w:val="clear" w:color="000000" w:fill="FFFFFF"/>
            <w:vAlign w:val="center"/>
            <w:hideMark/>
          </w:tcPr>
          <w:p w14:paraId="64637C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17.75</w:t>
            </w:r>
          </w:p>
        </w:tc>
        <w:tc>
          <w:tcPr>
            <w:tcW w:w="1380" w:type="dxa"/>
            <w:tcBorders>
              <w:top w:val="nil"/>
              <w:left w:val="nil"/>
              <w:bottom w:val="nil"/>
              <w:right w:val="nil"/>
            </w:tcBorders>
            <w:shd w:val="clear" w:color="000000" w:fill="FFFFFF"/>
            <w:vAlign w:val="center"/>
            <w:hideMark/>
          </w:tcPr>
          <w:p w14:paraId="57AB156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19.35</w:t>
            </w:r>
          </w:p>
        </w:tc>
        <w:tc>
          <w:tcPr>
            <w:tcW w:w="960" w:type="dxa"/>
            <w:tcBorders>
              <w:top w:val="nil"/>
              <w:left w:val="nil"/>
              <w:bottom w:val="nil"/>
              <w:right w:val="nil"/>
            </w:tcBorders>
            <w:shd w:val="clear" w:color="000000" w:fill="FFFFFF"/>
            <w:vAlign w:val="center"/>
            <w:hideMark/>
          </w:tcPr>
          <w:p w14:paraId="5962173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16.69</w:t>
            </w:r>
          </w:p>
        </w:tc>
        <w:tc>
          <w:tcPr>
            <w:tcW w:w="960" w:type="dxa"/>
            <w:tcBorders>
              <w:top w:val="nil"/>
              <w:left w:val="nil"/>
              <w:bottom w:val="nil"/>
              <w:right w:val="nil"/>
            </w:tcBorders>
            <w:shd w:val="clear" w:color="000000" w:fill="FFFFFF"/>
            <w:vAlign w:val="center"/>
            <w:hideMark/>
          </w:tcPr>
          <w:p w14:paraId="2322902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22.33</w:t>
            </w:r>
          </w:p>
        </w:tc>
      </w:tr>
      <w:tr w:rsidR="00486901" w:rsidRPr="00486901" w14:paraId="6F27BE5D" w14:textId="77777777" w:rsidTr="00722402">
        <w:trPr>
          <w:trHeight w:val="310"/>
          <w:jc w:val="center"/>
        </w:trPr>
        <w:tc>
          <w:tcPr>
            <w:tcW w:w="1551" w:type="dxa"/>
            <w:tcBorders>
              <w:top w:val="nil"/>
              <w:left w:val="nil"/>
              <w:bottom w:val="nil"/>
              <w:right w:val="nil"/>
            </w:tcBorders>
            <w:shd w:val="clear" w:color="000000" w:fill="FFFFFF"/>
            <w:vAlign w:val="center"/>
            <w:hideMark/>
          </w:tcPr>
          <w:p w14:paraId="38F1DD67"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Greece</w:t>
            </w:r>
          </w:p>
        </w:tc>
        <w:tc>
          <w:tcPr>
            <w:tcW w:w="1400" w:type="dxa"/>
            <w:tcBorders>
              <w:top w:val="nil"/>
              <w:left w:val="nil"/>
              <w:bottom w:val="nil"/>
              <w:right w:val="nil"/>
            </w:tcBorders>
            <w:shd w:val="clear" w:color="000000" w:fill="FFFFFF"/>
            <w:vAlign w:val="center"/>
            <w:hideMark/>
          </w:tcPr>
          <w:p w14:paraId="31C78DD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10.01</w:t>
            </w:r>
          </w:p>
        </w:tc>
        <w:tc>
          <w:tcPr>
            <w:tcW w:w="960" w:type="dxa"/>
            <w:tcBorders>
              <w:top w:val="nil"/>
              <w:left w:val="nil"/>
              <w:bottom w:val="nil"/>
              <w:right w:val="nil"/>
            </w:tcBorders>
            <w:shd w:val="clear" w:color="000000" w:fill="FFFFFF"/>
            <w:vAlign w:val="center"/>
            <w:hideMark/>
          </w:tcPr>
          <w:p w14:paraId="4F9935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8.35</w:t>
            </w:r>
          </w:p>
        </w:tc>
        <w:tc>
          <w:tcPr>
            <w:tcW w:w="960" w:type="dxa"/>
            <w:tcBorders>
              <w:top w:val="nil"/>
              <w:left w:val="nil"/>
              <w:bottom w:val="nil"/>
              <w:right w:val="nil"/>
            </w:tcBorders>
            <w:shd w:val="clear" w:color="000000" w:fill="FFFFFF"/>
            <w:vAlign w:val="center"/>
            <w:hideMark/>
          </w:tcPr>
          <w:p w14:paraId="43959D5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11.96</w:t>
            </w:r>
          </w:p>
        </w:tc>
        <w:tc>
          <w:tcPr>
            <w:tcW w:w="1380" w:type="dxa"/>
            <w:tcBorders>
              <w:top w:val="nil"/>
              <w:left w:val="nil"/>
              <w:bottom w:val="nil"/>
              <w:right w:val="nil"/>
            </w:tcBorders>
            <w:shd w:val="clear" w:color="000000" w:fill="FFFFFF"/>
            <w:vAlign w:val="center"/>
            <w:hideMark/>
          </w:tcPr>
          <w:p w14:paraId="5DC246C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0123472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11.29</w:t>
            </w:r>
          </w:p>
        </w:tc>
        <w:tc>
          <w:tcPr>
            <w:tcW w:w="960" w:type="dxa"/>
            <w:tcBorders>
              <w:top w:val="nil"/>
              <w:left w:val="nil"/>
              <w:bottom w:val="nil"/>
              <w:right w:val="nil"/>
            </w:tcBorders>
            <w:shd w:val="clear" w:color="000000" w:fill="FFFFFF"/>
            <w:vAlign w:val="center"/>
            <w:hideMark/>
          </w:tcPr>
          <w:p w14:paraId="416C348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15.13</w:t>
            </w:r>
          </w:p>
        </w:tc>
      </w:tr>
      <w:tr w:rsidR="00486901" w:rsidRPr="00486901" w14:paraId="73DDC3FE" w14:textId="77777777" w:rsidTr="00722402">
        <w:trPr>
          <w:trHeight w:val="310"/>
          <w:jc w:val="center"/>
        </w:trPr>
        <w:tc>
          <w:tcPr>
            <w:tcW w:w="1551" w:type="dxa"/>
            <w:tcBorders>
              <w:top w:val="nil"/>
              <w:left w:val="nil"/>
              <w:bottom w:val="nil"/>
              <w:right w:val="nil"/>
            </w:tcBorders>
            <w:shd w:val="clear" w:color="000000" w:fill="FFFFFF"/>
            <w:vAlign w:val="center"/>
            <w:hideMark/>
          </w:tcPr>
          <w:p w14:paraId="62BED8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Israel</w:t>
            </w:r>
          </w:p>
        </w:tc>
        <w:tc>
          <w:tcPr>
            <w:tcW w:w="1400" w:type="dxa"/>
            <w:tcBorders>
              <w:top w:val="nil"/>
              <w:left w:val="nil"/>
              <w:bottom w:val="nil"/>
              <w:right w:val="nil"/>
            </w:tcBorders>
            <w:shd w:val="clear" w:color="000000" w:fill="FFFFFF"/>
            <w:vAlign w:val="center"/>
            <w:hideMark/>
          </w:tcPr>
          <w:p w14:paraId="4E7A901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15.32</w:t>
            </w:r>
          </w:p>
        </w:tc>
        <w:tc>
          <w:tcPr>
            <w:tcW w:w="960" w:type="dxa"/>
            <w:tcBorders>
              <w:top w:val="nil"/>
              <w:left w:val="nil"/>
              <w:bottom w:val="nil"/>
              <w:right w:val="nil"/>
            </w:tcBorders>
            <w:shd w:val="clear" w:color="000000" w:fill="FFFFFF"/>
            <w:vAlign w:val="center"/>
            <w:hideMark/>
          </w:tcPr>
          <w:p w14:paraId="4EF602A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12.35</w:t>
            </w:r>
          </w:p>
        </w:tc>
        <w:tc>
          <w:tcPr>
            <w:tcW w:w="960" w:type="dxa"/>
            <w:tcBorders>
              <w:top w:val="nil"/>
              <w:left w:val="nil"/>
              <w:bottom w:val="nil"/>
              <w:right w:val="nil"/>
            </w:tcBorders>
            <w:shd w:val="clear" w:color="000000" w:fill="FFFFFF"/>
            <w:vAlign w:val="center"/>
            <w:hideMark/>
          </w:tcPr>
          <w:p w14:paraId="4ED124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18.86</w:t>
            </w:r>
          </w:p>
        </w:tc>
        <w:tc>
          <w:tcPr>
            <w:tcW w:w="1380" w:type="dxa"/>
            <w:tcBorders>
              <w:top w:val="nil"/>
              <w:left w:val="nil"/>
              <w:bottom w:val="nil"/>
              <w:right w:val="nil"/>
            </w:tcBorders>
            <w:shd w:val="clear" w:color="000000" w:fill="FFFFFF"/>
            <w:vAlign w:val="center"/>
            <w:hideMark/>
          </w:tcPr>
          <w:p w14:paraId="487E902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19.22</w:t>
            </w:r>
          </w:p>
        </w:tc>
        <w:tc>
          <w:tcPr>
            <w:tcW w:w="960" w:type="dxa"/>
            <w:tcBorders>
              <w:top w:val="nil"/>
              <w:left w:val="nil"/>
              <w:bottom w:val="nil"/>
              <w:right w:val="nil"/>
            </w:tcBorders>
            <w:shd w:val="clear" w:color="000000" w:fill="FFFFFF"/>
            <w:vAlign w:val="center"/>
            <w:hideMark/>
          </w:tcPr>
          <w:p w14:paraId="3A6D691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16.25</w:t>
            </w:r>
          </w:p>
        </w:tc>
        <w:tc>
          <w:tcPr>
            <w:tcW w:w="960" w:type="dxa"/>
            <w:tcBorders>
              <w:top w:val="nil"/>
              <w:left w:val="nil"/>
              <w:bottom w:val="nil"/>
              <w:right w:val="nil"/>
            </w:tcBorders>
            <w:shd w:val="clear" w:color="000000" w:fill="FFFFFF"/>
            <w:vAlign w:val="center"/>
            <w:hideMark/>
          </w:tcPr>
          <w:p w14:paraId="1266267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22.6</w:t>
            </w:r>
          </w:p>
        </w:tc>
      </w:tr>
      <w:tr w:rsidR="00486901" w:rsidRPr="00486901" w14:paraId="1F6F6C1C" w14:textId="77777777" w:rsidTr="00722402">
        <w:trPr>
          <w:trHeight w:val="310"/>
          <w:jc w:val="center"/>
        </w:trPr>
        <w:tc>
          <w:tcPr>
            <w:tcW w:w="1551" w:type="dxa"/>
            <w:tcBorders>
              <w:top w:val="nil"/>
              <w:left w:val="nil"/>
              <w:bottom w:val="nil"/>
              <w:right w:val="nil"/>
            </w:tcBorders>
            <w:shd w:val="clear" w:color="000000" w:fill="FFFFFF"/>
            <w:vAlign w:val="center"/>
            <w:hideMark/>
          </w:tcPr>
          <w:p w14:paraId="1DB4ECA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Italy</w:t>
            </w:r>
          </w:p>
        </w:tc>
        <w:tc>
          <w:tcPr>
            <w:tcW w:w="1400" w:type="dxa"/>
            <w:tcBorders>
              <w:top w:val="nil"/>
              <w:left w:val="nil"/>
              <w:bottom w:val="nil"/>
              <w:right w:val="nil"/>
            </w:tcBorders>
            <w:shd w:val="clear" w:color="000000" w:fill="FFFFFF"/>
            <w:vAlign w:val="center"/>
            <w:hideMark/>
          </w:tcPr>
          <w:p w14:paraId="40E75C1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12.49</w:t>
            </w:r>
          </w:p>
        </w:tc>
        <w:tc>
          <w:tcPr>
            <w:tcW w:w="960" w:type="dxa"/>
            <w:tcBorders>
              <w:top w:val="nil"/>
              <w:left w:val="nil"/>
              <w:bottom w:val="nil"/>
              <w:right w:val="nil"/>
            </w:tcBorders>
            <w:shd w:val="clear" w:color="000000" w:fill="FFFFFF"/>
            <w:vAlign w:val="center"/>
            <w:hideMark/>
          </w:tcPr>
          <w:p w14:paraId="06C3E81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10.67</w:t>
            </w:r>
          </w:p>
        </w:tc>
        <w:tc>
          <w:tcPr>
            <w:tcW w:w="960" w:type="dxa"/>
            <w:tcBorders>
              <w:top w:val="nil"/>
              <w:left w:val="nil"/>
              <w:bottom w:val="nil"/>
              <w:right w:val="nil"/>
            </w:tcBorders>
            <w:shd w:val="clear" w:color="000000" w:fill="FFFFFF"/>
            <w:vAlign w:val="center"/>
            <w:hideMark/>
          </w:tcPr>
          <w:p w14:paraId="24ACAE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14.56</w:t>
            </w:r>
          </w:p>
        </w:tc>
        <w:tc>
          <w:tcPr>
            <w:tcW w:w="1380" w:type="dxa"/>
            <w:tcBorders>
              <w:top w:val="nil"/>
              <w:left w:val="nil"/>
              <w:bottom w:val="nil"/>
              <w:right w:val="nil"/>
            </w:tcBorders>
            <w:shd w:val="clear" w:color="000000" w:fill="FFFFFF"/>
            <w:vAlign w:val="center"/>
            <w:hideMark/>
          </w:tcPr>
          <w:p w14:paraId="0FC16BC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22.12</w:t>
            </w:r>
          </w:p>
        </w:tc>
        <w:tc>
          <w:tcPr>
            <w:tcW w:w="960" w:type="dxa"/>
            <w:tcBorders>
              <w:top w:val="nil"/>
              <w:left w:val="nil"/>
              <w:bottom w:val="nil"/>
              <w:right w:val="nil"/>
            </w:tcBorders>
            <w:shd w:val="clear" w:color="000000" w:fill="FFFFFF"/>
            <w:vAlign w:val="center"/>
            <w:hideMark/>
          </w:tcPr>
          <w:p w14:paraId="0A4FE17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19.71</w:t>
            </w:r>
          </w:p>
        </w:tc>
        <w:tc>
          <w:tcPr>
            <w:tcW w:w="960" w:type="dxa"/>
            <w:tcBorders>
              <w:top w:val="nil"/>
              <w:left w:val="nil"/>
              <w:bottom w:val="nil"/>
              <w:right w:val="nil"/>
            </w:tcBorders>
            <w:shd w:val="clear" w:color="000000" w:fill="FFFFFF"/>
            <w:vAlign w:val="center"/>
            <w:hideMark/>
          </w:tcPr>
          <w:p w14:paraId="358A8DD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24.74</w:t>
            </w:r>
          </w:p>
        </w:tc>
      </w:tr>
      <w:tr w:rsidR="00486901" w:rsidRPr="00486901" w14:paraId="46A6E4B5" w14:textId="77777777" w:rsidTr="00722402">
        <w:trPr>
          <w:trHeight w:val="310"/>
          <w:jc w:val="center"/>
        </w:trPr>
        <w:tc>
          <w:tcPr>
            <w:tcW w:w="1551" w:type="dxa"/>
            <w:tcBorders>
              <w:top w:val="nil"/>
              <w:left w:val="nil"/>
              <w:bottom w:val="nil"/>
              <w:right w:val="nil"/>
            </w:tcBorders>
            <w:shd w:val="clear" w:color="000000" w:fill="FFFFFF"/>
            <w:vAlign w:val="center"/>
            <w:hideMark/>
          </w:tcPr>
          <w:p w14:paraId="10933834"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Luxembourg</w:t>
            </w:r>
          </w:p>
        </w:tc>
        <w:tc>
          <w:tcPr>
            <w:tcW w:w="1400" w:type="dxa"/>
            <w:tcBorders>
              <w:top w:val="nil"/>
              <w:left w:val="nil"/>
              <w:bottom w:val="nil"/>
              <w:right w:val="nil"/>
            </w:tcBorders>
            <w:shd w:val="clear" w:color="000000" w:fill="FFFFFF"/>
            <w:vAlign w:val="center"/>
            <w:hideMark/>
          </w:tcPr>
          <w:p w14:paraId="7ADFE80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12.78</w:t>
            </w:r>
          </w:p>
        </w:tc>
        <w:tc>
          <w:tcPr>
            <w:tcW w:w="960" w:type="dxa"/>
            <w:tcBorders>
              <w:top w:val="nil"/>
              <w:left w:val="nil"/>
              <w:bottom w:val="nil"/>
              <w:right w:val="nil"/>
            </w:tcBorders>
            <w:shd w:val="clear" w:color="000000" w:fill="FFFFFF"/>
            <w:vAlign w:val="center"/>
            <w:hideMark/>
          </w:tcPr>
          <w:p w14:paraId="7AD6074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9.37</w:t>
            </w:r>
          </w:p>
        </w:tc>
        <w:tc>
          <w:tcPr>
            <w:tcW w:w="960" w:type="dxa"/>
            <w:tcBorders>
              <w:top w:val="nil"/>
              <w:left w:val="nil"/>
              <w:bottom w:val="nil"/>
              <w:right w:val="nil"/>
            </w:tcBorders>
            <w:shd w:val="clear" w:color="000000" w:fill="FFFFFF"/>
            <w:vAlign w:val="center"/>
            <w:hideMark/>
          </w:tcPr>
          <w:p w14:paraId="7FE2E10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17.19</w:t>
            </w:r>
          </w:p>
        </w:tc>
        <w:tc>
          <w:tcPr>
            <w:tcW w:w="1380" w:type="dxa"/>
            <w:tcBorders>
              <w:top w:val="nil"/>
              <w:left w:val="nil"/>
              <w:bottom w:val="nil"/>
              <w:right w:val="nil"/>
            </w:tcBorders>
            <w:shd w:val="clear" w:color="000000" w:fill="FFFFFF"/>
            <w:vAlign w:val="center"/>
            <w:hideMark/>
          </w:tcPr>
          <w:p w14:paraId="3DDF8B1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17.09</w:t>
            </w:r>
          </w:p>
        </w:tc>
        <w:tc>
          <w:tcPr>
            <w:tcW w:w="960" w:type="dxa"/>
            <w:tcBorders>
              <w:top w:val="nil"/>
              <w:left w:val="nil"/>
              <w:bottom w:val="nil"/>
              <w:right w:val="nil"/>
            </w:tcBorders>
            <w:shd w:val="clear" w:color="000000" w:fill="FFFFFF"/>
            <w:vAlign w:val="center"/>
            <w:hideMark/>
          </w:tcPr>
          <w:p w14:paraId="43E86240"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13.09</w:t>
            </w:r>
          </w:p>
        </w:tc>
        <w:tc>
          <w:tcPr>
            <w:tcW w:w="960" w:type="dxa"/>
            <w:tcBorders>
              <w:top w:val="nil"/>
              <w:left w:val="nil"/>
              <w:bottom w:val="nil"/>
              <w:right w:val="nil"/>
            </w:tcBorders>
            <w:shd w:val="clear" w:color="000000" w:fill="FFFFFF"/>
            <w:vAlign w:val="center"/>
            <w:hideMark/>
          </w:tcPr>
          <w:p w14:paraId="450E0A1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22.01</w:t>
            </w:r>
          </w:p>
        </w:tc>
      </w:tr>
      <w:tr w:rsidR="00486901" w:rsidRPr="00486901" w14:paraId="54A304BA" w14:textId="77777777" w:rsidTr="00722402">
        <w:trPr>
          <w:trHeight w:val="310"/>
          <w:jc w:val="center"/>
        </w:trPr>
        <w:tc>
          <w:tcPr>
            <w:tcW w:w="1551" w:type="dxa"/>
            <w:tcBorders>
              <w:top w:val="nil"/>
              <w:left w:val="nil"/>
              <w:bottom w:val="nil"/>
              <w:right w:val="nil"/>
            </w:tcBorders>
            <w:shd w:val="clear" w:color="000000" w:fill="FFFFFF"/>
            <w:vAlign w:val="center"/>
            <w:hideMark/>
          </w:tcPr>
          <w:p w14:paraId="0BA0DC5B"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Poland</w:t>
            </w:r>
          </w:p>
        </w:tc>
        <w:tc>
          <w:tcPr>
            <w:tcW w:w="1400" w:type="dxa"/>
            <w:tcBorders>
              <w:top w:val="nil"/>
              <w:left w:val="nil"/>
              <w:bottom w:val="nil"/>
              <w:right w:val="nil"/>
            </w:tcBorders>
            <w:shd w:val="clear" w:color="000000" w:fill="FFFFFF"/>
            <w:vAlign w:val="center"/>
            <w:hideMark/>
          </w:tcPr>
          <w:p w14:paraId="3532586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17.35</w:t>
            </w:r>
          </w:p>
        </w:tc>
        <w:tc>
          <w:tcPr>
            <w:tcW w:w="960" w:type="dxa"/>
            <w:tcBorders>
              <w:top w:val="nil"/>
              <w:left w:val="nil"/>
              <w:bottom w:val="nil"/>
              <w:right w:val="nil"/>
            </w:tcBorders>
            <w:shd w:val="clear" w:color="000000" w:fill="FFFFFF"/>
            <w:vAlign w:val="center"/>
            <w:hideMark/>
          </w:tcPr>
          <w:p w14:paraId="6776ADA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13.72</w:t>
            </w:r>
          </w:p>
        </w:tc>
        <w:tc>
          <w:tcPr>
            <w:tcW w:w="960" w:type="dxa"/>
            <w:tcBorders>
              <w:top w:val="nil"/>
              <w:left w:val="nil"/>
              <w:bottom w:val="nil"/>
              <w:right w:val="nil"/>
            </w:tcBorders>
            <w:shd w:val="clear" w:color="000000" w:fill="FFFFFF"/>
            <w:vAlign w:val="center"/>
            <w:hideMark/>
          </w:tcPr>
          <w:p w14:paraId="4EF1B78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21.69</w:t>
            </w:r>
          </w:p>
        </w:tc>
        <w:tc>
          <w:tcPr>
            <w:tcW w:w="1380" w:type="dxa"/>
            <w:tcBorders>
              <w:top w:val="nil"/>
              <w:left w:val="nil"/>
              <w:bottom w:val="nil"/>
              <w:right w:val="nil"/>
            </w:tcBorders>
            <w:shd w:val="clear" w:color="000000" w:fill="FFFFFF"/>
            <w:vAlign w:val="center"/>
            <w:hideMark/>
          </w:tcPr>
          <w:p w14:paraId="2A1A0B7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22.96</w:t>
            </w:r>
          </w:p>
        </w:tc>
        <w:tc>
          <w:tcPr>
            <w:tcW w:w="960" w:type="dxa"/>
            <w:tcBorders>
              <w:top w:val="nil"/>
              <w:left w:val="nil"/>
              <w:bottom w:val="nil"/>
              <w:right w:val="nil"/>
            </w:tcBorders>
            <w:shd w:val="clear" w:color="000000" w:fill="FFFFFF"/>
            <w:vAlign w:val="center"/>
            <w:hideMark/>
          </w:tcPr>
          <w:p w14:paraId="4437674B"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19.21</w:t>
            </w:r>
          </w:p>
        </w:tc>
        <w:tc>
          <w:tcPr>
            <w:tcW w:w="960" w:type="dxa"/>
            <w:tcBorders>
              <w:top w:val="nil"/>
              <w:left w:val="nil"/>
              <w:bottom w:val="nil"/>
              <w:right w:val="nil"/>
            </w:tcBorders>
            <w:shd w:val="clear" w:color="000000" w:fill="FFFFFF"/>
            <w:vAlign w:val="center"/>
            <w:hideMark/>
          </w:tcPr>
          <w:p w14:paraId="1C827A85"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27.2</w:t>
            </w:r>
          </w:p>
        </w:tc>
      </w:tr>
      <w:tr w:rsidR="00486901" w:rsidRPr="00486901" w14:paraId="7ECF3D66" w14:textId="77777777" w:rsidTr="00722402">
        <w:trPr>
          <w:trHeight w:val="310"/>
          <w:jc w:val="center"/>
        </w:trPr>
        <w:tc>
          <w:tcPr>
            <w:tcW w:w="1551" w:type="dxa"/>
            <w:tcBorders>
              <w:top w:val="nil"/>
              <w:left w:val="nil"/>
              <w:bottom w:val="nil"/>
              <w:right w:val="nil"/>
            </w:tcBorders>
            <w:shd w:val="clear" w:color="000000" w:fill="FFFFFF"/>
            <w:vAlign w:val="center"/>
            <w:hideMark/>
          </w:tcPr>
          <w:p w14:paraId="0CF92732"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Portugal</w:t>
            </w:r>
          </w:p>
        </w:tc>
        <w:tc>
          <w:tcPr>
            <w:tcW w:w="1400" w:type="dxa"/>
            <w:tcBorders>
              <w:top w:val="nil"/>
              <w:left w:val="nil"/>
              <w:bottom w:val="nil"/>
              <w:right w:val="nil"/>
            </w:tcBorders>
            <w:shd w:val="clear" w:color="000000" w:fill="FFFFFF"/>
            <w:vAlign w:val="center"/>
            <w:hideMark/>
          </w:tcPr>
          <w:p w14:paraId="4D61518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22.28</w:t>
            </w:r>
          </w:p>
        </w:tc>
        <w:tc>
          <w:tcPr>
            <w:tcW w:w="960" w:type="dxa"/>
            <w:tcBorders>
              <w:top w:val="nil"/>
              <w:left w:val="nil"/>
              <w:bottom w:val="nil"/>
              <w:right w:val="nil"/>
            </w:tcBorders>
            <w:shd w:val="clear" w:color="000000" w:fill="FFFFFF"/>
            <w:vAlign w:val="center"/>
            <w:hideMark/>
          </w:tcPr>
          <w:p w14:paraId="29826464"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15.41</w:t>
            </w:r>
          </w:p>
        </w:tc>
        <w:tc>
          <w:tcPr>
            <w:tcW w:w="960" w:type="dxa"/>
            <w:tcBorders>
              <w:top w:val="nil"/>
              <w:left w:val="nil"/>
              <w:bottom w:val="nil"/>
              <w:right w:val="nil"/>
            </w:tcBorders>
            <w:shd w:val="clear" w:color="000000" w:fill="FFFFFF"/>
            <w:vAlign w:val="center"/>
            <w:hideMark/>
          </w:tcPr>
          <w:p w14:paraId="0A5225D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31.08</w:t>
            </w:r>
          </w:p>
        </w:tc>
        <w:tc>
          <w:tcPr>
            <w:tcW w:w="1380" w:type="dxa"/>
            <w:tcBorders>
              <w:top w:val="nil"/>
              <w:left w:val="nil"/>
              <w:bottom w:val="nil"/>
              <w:right w:val="nil"/>
            </w:tcBorders>
            <w:shd w:val="clear" w:color="000000" w:fill="FFFFFF"/>
            <w:vAlign w:val="center"/>
            <w:hideMark/>
          </w:tcPr>
          <w:p w14:paraId="0C81CCC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31.57</w:t>
            </w:r>
          </w:p>
        </w:tc>
        <w:tc>
          <w:tcPr>
            <w:tcW w:w="960" w:type="dxa"/>
            <w:tcBorders>
              <w:top w:val="nil"/>
              <w:left w:val="nil"/>
              <w:bottom w:val="nil"/>
              <w:right w:val="nil"/>
            </w:tcBorders>
            <w:shd w:val="clear" w:color="000000" w:fill="FFFFFF"/>
            <w:vAlign w:val="center"/>
            <w:hideMark/>
          </w:tcPr>
          <w:p w14:paraId="6A9A69FA"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24.47</w:t>
            </w:r>
          </w:p>
        </w:tc>
        <w:tc>
          <w:tcPr>
            <w:tcW w:w="960" w:type="dxa"/>
            <w:tcBorders>
              <w:top w:val="nil"/>
              <w:left w:val="nil"/>
              <w:bottom w:val="nil"/>
              <w:right w:val="nil"/>
            </w:tcBorders>
            <w:shd w:val="clear" w:color="000000" w:fill="FFFFFF"/>
            <w:vAlign w:val="center"/>
            <w:hideMark/>
          </w:tcPr>
          <w:p w14:paraId="40E07AA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39.66</w:t>
            </w:r>
          </w:p>
        </w:tc>
      </w:tr>
      <w:tr w:rsidR="00486901" w:rsidRPr="00486901" w14:paraId="3A83E708" w14:textId="77777777" w:rsidTr="00722402">
        <w:trPr>
          <w:trHeight w:val="310"/>
          <w:jc w:val="center"/>
        </w:trPr>
        <w:tc>
          <w:tcPr>
            <w:tcW w:w="1551" w:type="dxa"/>
            <w:tcBorders>
              <w:top w:val="nil"/>
              <w:left w:val="nil"/>
              <w:bottom w:val="nil"/>
              <w:right w:val="nil"/>
            </w:tcBorders>
            <w:shd w:val="clear" w:color="000000" w:fill="FFFFFF"/>
            <w:vAlign w:val="center"/>
            <w:hideMark/>
          </w:tcPr>
          <w:p w14:paraId="6F736A3D"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Slovenia</w:t>
            </w:r>
          </w:p>
        </w:tc>
        <w:tc>
          <w:tcPr>
            <w:tcW w:w="1400" w:type="dxa"/>
            <w:tcBorders>
              <w:top w:val="nil"/>
              <w:left w:val="nil"/>
              <w:bottom w:val="nil"/>
              <w:right w:val="nil"/>
            </w:tcBorders>
            <w:shd w:val="clear" w:color="000000" w:fill="FFFFFF"/>
            <w:vAlign w:val="center"/>
            <w:hideMark/>
          </w:tcPr>
          <w:p w14:paraId="39BF8D7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15.48</w:t>
            </w:r>
          </w:p>
        </w:tc>
        <w:tc>
          <w:tcPr>
            <w:tcW w:w="960" w:type="dxa"/>
            <w:tcBorders>
              <w:top w:val="nil"/>
              <w:left w:val="nil"/>
              <w:bottom w:val="nil"/>
              <w:right w:val="nil"/>
            </w:tcBorders>
            <w:shd w:val="clear" w:color="000000" w:fill="FFFFFF"/>
            <w:vAlign w:val="center"/>
            <w:hideMark/>
          </w:tcPr>
          <w:p w14:paraId="04A3BA7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13.27</w:t>
            </w:r>
          </w:p>
        </w:tc>
        <w:tc>
          <w:tcPr>
            <w:tcW w:w="960" w:type="dxa"/>
            <w:tcBorders>
              <w:top w:val="nil"/>
              <w:left w:val="nil"/>
              <w:bottom w:val="nil"/>
              <w:right w:val="nil"/>
            </w:tcBorders>
            <w:shd w:val="clear" w:color="000000" w:fill="FFFFFF"/>
            <w:vAlign w:val="center"/>
            <w:hideMark/>
          </w:tcPr>
          <w:p w14:paraId="1835611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17.98</w:t>
            </w:r>
          </w:p>
        </w:tc>
        <w:tc>
          <w:tcPr>
            <w:tcW w:w="1380" w:type="dxa"/>
            <w:tcBorders>
              <w:top w:val="nil"/>
              <w:left w:val="nil"/>
              <w:bottom w:val="nil"/>
              <w:right w:val="nil"/>
            </w:tcBorders>
            <w:shd w:val="clear" w:color="000000" w:fill="FFFFFF"/>
            <w:vAlign w:val="center"/>
            <w:hideMark/>
          </w:tcPr>
          <w:p w14:paraId="52D989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17.41</w:t>
            </w:r>
          </w:p>
        </w:tc>
        <w:tc>
          <w:tcPr>
            <w:tcW w:w="960" w:type="dxa"/>
            <w:tcBorders>
              <w:top w:val="nil"/>
              <w:left w:val="nil"/>
              <w:bottom w:val="nil"/>
              <w:right w:val="nil"/>
            </w:tcBorders>
            <w:shd w:val="clear" w:color="000000" w:fill="FFFFFF"/>
            <w:vAlign w:val="center"/>
            <w:hideMark/>
          </w:tcPr>
          <w:p w14:paraId="7E8F8D51"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15.22</w:t>
            </w:r>
          </w:p>
        </w:tc>
        <w:tc>
          <w:tcPr>
            <w:tcW w:w="960" w:type="dxa"/>
            <w:tcBorders>
              <w:top w:val="nil"/>
              <w:left w:val="nil"/>
              <w:bottom w:val="nil"/>
              <w:right w:val="nil"/>
            </w:tcBorders>
            <w:shd w:val="clear" w:color="000000" w:fill="FFFFFF"/>
            <w:vAlign w:val="center"/>
            <w:hideMark/>
          </w:tcPr>
          <w:p w14:paraId="642D578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19.84</w:t>
            </w:r>
          </w:p>
        </w:tc>
      </w:tr>
      <w:tr w:rsidR="00486901" w:rsidRPr="00486901" w14:paraId="2E4FFFAB" w14:textId="77777777" w:rsidTr="00722402">
        <w:trPr>
          <w:trHeight w:val="310"/>
          <w:jc w:val="center"/>
        </w:trPr>
        <w:tc>
          <w:tcPr>
            <w:tcW w:w="1551" w:type="dxa"/>
            <w:tcBorders>
              <w:top w:val="nil"/>
              <w:left w:val="nil"/>
              <w:bottom w:val="nil"/>
              <w:right w:val="nil"/>
            </w:tcBorders>
            <w:shd w:val="clear" w:color="000000" w:fill="FFFFFF"/>
            <w:vAlign w:val="center"/>
            <w:hideMark/>
          </w:tcPr>
          <w:p w14:paraId="7142E396"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Spain</w:t>
            </w:r>
          </w:p>
        </w:tc>
        <w:tc>
          <w:tcPr>
            <w:tcW w:w="1400" w:type="dxa"/>
            <w:tcBorders>
              <w:top w:val="nil"/>
              <w:left w:val="nil"/>
              <w:bottom w:val="nil"/>
              <w:right w:val="nil"/>
            </w:tcBorders>
            <w:shd w:val="clear" w:color="000000" w:fill="FFFFFF"/>
            <w:vAlign w:val="center"/>
            <w:hideMark/>
          </w:tcPr>
          <w:p w14:paraId="2E21EED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13.81</w:t>
            </w:r>
          </w:p>
        </w:tc>
        <w:tc>
          <w:tcPr>
            <w:tcW w:w="960" w:type="dxa"/>
            <w:tcBorders>
              <w:top w:val="nil"/>
              <w:left w:val="nil"/>
              <w:bottom w:val="nil"/>
              <w:right w:val="nil"/>
            </w:tcBorders>
            <w:shd w:val="clear" w:color="000000" w:fill="FFFFFF"/>
            <w:vAlign w:val="center"/>
            <w:hideMark/>
          </w:tcPr>
          <w:p w14:paraId="66D4D05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11.54</w:t>
            </w:r>
          </w:p>
        </w:tc>
        <w:tc>
          <w:tcPr>
            <w:tcW w:w="960" w:type="dxa"/>
            <w:tcBorders>
              <w:top w:val="nil"/>
              <w:left w:val="nil"/>
              <w:bottom w:val="nil"/>
              <w:right w:val="nil"/>
            </w:tcBorders>
            <w:shd w:val="clear" w:color="000000" w:fill="FFFFFF"/>
            <w:vAlign w:val="center"/>
            <w:hideMark/>
          </w:tcPr>
          <w:p w14:paraId="0D48E3A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16.44</w:t>
            </w:r>
          </w:p>
        </w:tc>
        <w:tc>
          <w:tcPr>
            <w:tcW w:w="1380" w:type="dxa"/>
            <w:tcBorders>
              <w:top w:val="nil"/>
              <w:left w:val="nil"/>
              <w:bottom w:val="nil"/>
              <w:right w:val="nil"/>
            </w:tcBorders>
            <w:shd w:val="clear" w:color="000000" w:fill="FFFFFF"/>
            <w:vAlign w:val="center"/>
            <w:hideMark/>
          </w:tcPr>
          <w:p w14:paraId="4052864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21.01</w:t>
            </w:r>
          </w:p>
        </w:tc>
        <w:tc>
          <w:tcPr>
            <w:tcW w:w="960" w:type="dxa"/>
            <w:tcBorders>
              <w:top w:val="nil"/>
              <w:left w:val="nil"/>
              <w:bottom w:val="nil"/>
              <w:right w:val="nil"/>
            </w:tcBorders>
            <w:shd w:val="clear" w:color="000000" w:fill="FFFFFF"/>
            <w:vAlign w:val="center"/>
            <w:hideMark/>
          </w:tcPr>
          <w:p w14:paraId="38F5973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18.63</w:t>
            </w:r>
          </w:p>
        </w:tc>
        <w:tc>
          <w:tcPr>
            <w:tcW w:w="960" w:type="dxa"/>
            <w:tcBorders>
              <w:top w:val="nil"/>
              <w:left w:val="nil"/>
              <w:bottom w:val="nil"/>
              <w:right w:val="nil"/>
            </w:tcBorders>
            <w:shd w:val="clear" w:color="000000" w:fill="FFFFFF"/>
            <w:vAlign w:val="center"/>
            <w:hideMark/>
          </w:tcPr>
          <w:p w14:paraId="40B657B8"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23.61</w:t>
            </w:r>
          </w:p>
        </w:tc>
      </w:tr>
      <w:tr w:rsidR="00486901" w:rsidRPr="00486901" w14:paraId="42DE351E" w14:textId="77777777" w:rsidTr="00722402">
        <w:trPr>
          <w:trHeight w:val="310"/>
          <w:jc w:val="center"/>
        </w:trPr>
        <w:tc>
          <w:tcPr>
            <w:tcW w:w="1551" w:type="dxa"/>
            <w:tcBorders>
              <w:top w:val="nil"/>
              <w:left w:val="nil"/>
              <w:bottom w:val="nil"/>
              <w:right w:val="nil"/>
            </w:tcBorders>
            <w:shd w:val="clear" w:color="000000" w:fill="FFFFFF"/>
            <w:vAlign w:val="center"/>
            <w:hideMark/>
          </w:tcPr>
          <w:p w14:paraId="4E100415"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Sweden</w:t>
            </w:r>
          </w:p>
        </w:tc>
        <w:tc>
          <w:tcPr>
            <w:tcW w:w="1400" w:type="dxa"/>
            <w:tcBorders>
              <w:top w:val="nil"/>
              <w:left w:val="nil"/>
              <w:bottom w:val="nil"/>
              <w:right w:val="nil"/>
            </w:tcBorders>
            <w:shd w:val="clear" w:color="000000" w:fill="FFFFFF"/>
            <w:vAlign w:val="center"/>
            <w:hideMark/>
          </w:tcPr>
          <w:p w14:paraId="577985F9"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10.46</w:t>
            </w:r>
          </w:p>
        </w:tc>
        <w:tc>
          <w:tcPr>
            <w:tcW w:w="960" w:type="dxa"/>
            <w:tcBorders>
              <w:top w:val="nil"/>
              <w:left w:val="nil"/>
              <w:bottom w:val="nil"/>
              <w:right w:val="nil"/>
            </w:tcBorders>
            <w:shd w:val="clear" w:color="000000" w:fill="FFFFFF"/>
            <w:vAlign w:val="center"/>
            <w:hideMark/>
          </w:tcPr>
          <w:p w14:paraId="6C15945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8.83</w:t>
            </w:r>
          </w:p>
        </w:tc>
        <w:tc>
          <w:tcPr>
            <w:tcW w:w="960" w:type="dxa"/>
            <w:tcBorders>
              <w:top w:val="nil"/>
              <w:left w:val="nil"/>
              <w:bottom w:val="nil"/>
              <w:right w:val="nil"/>
            </w:tcBorders>
            <w:shd w:val="clear" w:color="000000" w:fill="FFFFFF"/>
            <w:vAlign w:val="center"/>
            <w:hideMark/>
          </w:tcPr>
          <w:p w14:paraId="12E7F917"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12.37</w:t>
            </w:r>
          </w:p>
        </w:tc>
        <w:tc>
          <w:tcPr>
            <w:tcW w:w="1380" w:type="dxa"/>
            <w:tcBorders>
              <w:top w:val="nil"/>
              <w:left w:val="nil"/>
              <w:bottom w:val="nil"/>
              <w:right w:val="nil"/>
            </w:tcBorders>
            <w:shd w:val="clear" w:color="000000" w:fill="FFFFFF"/>
            <w:vAlign w:val="center"/>
            <w:hideMark/>
          </w:tcPr>
          <w:p w14:paraId="684B9F0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11.09</w:t>
            </w:r>
          </w:p>
        </w:tc>
        <w:tc>
          <w:tcPr>
            <w:tcW w:w="960" w:type="dxa"/>
            <w:tcBorders>
              <w:top w:val="nil"/>
              <w:left w:val="nil"/>
              <w:bottom w:val="nil"/>
              <w:right w:val="nil"/>
            </w:tcBorders>
            <w:shd w:val="clear" w:color="000000" w:fill="FFFFFF"/>
            <w:vAlign w:val="center"/>
            <w:hideMark/>
          </w:tcPr>
          <w:p w14:paraId="3820A7C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9.4</w:t>
            </w:r>
          </w:p>
        </w:tc>
        <w:tc>
          <w:tcPr>
            <w:tcW w:w="960" w:type="dxa"/>
            <w:tcBorders>
              <w:top w:val="nil"/>
              <w:left w:val="nil"/>
              <w:bottom w:val="nil"/>
              <w:right w:val="nil"/>
            </w:tcBorders>
            <w:shd w:val="clear" w:color="000000" w:fill="FFFFFF"/>
            <w:vAlign w:val="center"/>
            <w:hideMark/>
          </w:tcPr>
          <w:p w14:paraId="57D288FD"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13.05</w:t>
            </w:r>
          </w:p>
        </w:tc>
      </w:tr>
      <w:tr w:rsidR="00486901" w:rsidRPr="00486901" w14:paraId="4BCA7CE7" w14:textId="77777777" w:rsidTr="00722402">
        <w:trPr>
          <w:trHeight w:val="310"/>
          <w:jc w:val="center"/>
        </w:trPr>
        <w:tc>
          <w:tcPr>
            <w:tcW w:w="1551" w:type="dxa"/>
            <w:tcBorders>
              <w:top w:val="nil"/>
              <w:left w:val="nil"/>
              <w:bottom w:val="single" w:sz="4" w:space="0" w:color="auto"/>
              <w:right w:val="nil"/>
            </w:tcBorders>
            <w:shd w:val="clear" w:color="000000" w:fill="FFFFFF"/>
            <w:vAlign w:val="center"/>
            <w:hideMark/>
          </w:tcPr>
          <w:p w14:paraId="61A88641" w14:textId="77777777" w:rsidR="00486901" w:rsidRPr="00486901" w:rsidRDefault="00486901" w:rsidP="00486901">
            <w:pPr>
              <w:spacing w:after="0" w:line="240" w:lineRule="auto"/>
              <w:rPr>
                <w:rFonts w:ascii="Arial" w:eastAsia="Times New Roman" w:hAnsi="Arial" w:cs="Arial"/>
                <w:color w:val="212529"/>
                <w:sz w:val="24"/>
                <w:szCs w:val="24"/>
              </w:rPr>
            </w:pPr>
            <w:r w:rsidRPr="00486901">
              <w:rPr>
                <w:rFonts w:ascii="Arial" w:eastAsia="Times New Roman" w:hAnsi="Arial" w:cs="Arial"/>
                <w:color w:val="212529"/>
                <w:sz w:val="24"/>
                <w:szCs w:val="24"/>
              </w:rPr>
              <w:t>Switzerland</w:t>
            </w:r>
          </w:p>
        </w:tc>
        <w:tc>
          <w:tcPr>
            <w:tcW w:w="1400" w:type="dxa"/>
            <w:tcBorders>
              <w:top w:val="nil"/>
              <w:left w:val="nil"/>
              <w:bottom w:val="single" w:sz="4" w:space="0" w:color="auto"/>
              <w:right w:val="nil"/>
            </w:tcBorders>
            <w:shd w:val="clear" w:color="000000" w:fill="FFFFFF"/>
            <w:vAlign w:val="center"/>
            <w:hideMark/>
          </w:tcPr>
          <w:p w14:paraId="19335AF6"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8.51</w:t>
            </w:r>
          </w:p>
        </w:tc>
        <w:tc>
          <w:tcPr>
            <w:tcW w:w="960" w:type="dxa"/>
            <w:tcBorders>
              <w:top w:val="nil"/>
              <w:left w:val="nil"/>
              <w:bottom w:val="single" w:sz="4" w:space="0" w:color="auto"/>
              <w:right w:val="nil"/>
            </w:tcBorders>
            <w:shd w:val="clear" w:color="000000" w:fill="FFFFFF"/>
            <w:vAlign w:val="center"/>
            <w:hideMark/>
          </w:tcPr>
          <w:p w14:paraId="62353FB2"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6.73</w:t>
            </w:r>
          </w:p>
        </w:tc>
        <w:tc>
          <w:tcPr>
            <w:tcW w:w="960" w:type="dxa"/>
            <w:tcBorders>
              <w:top w:val="nil"/>
              <w:left w:val="nil"/>
              <w:bottom w:val="single" w:sz="4" w:space="0" w:color="auto"/>
              <w:right w:val="nil"/>
            </w:tcBorders>
            <w:shd w:val="clear" w:color="000000" w:fill="FFFFFF"/>
            <w:vAlign w:val="center"/>
            <w:hideMark/>
          </w:tcPr>
          <w:p w14:paraId="2FD96F93"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10.72</w:t>
            </w:r>
          </w:p>
        </w:tc>
        <w:tc>
          <w:tcPr>
            <w:tcW w:w="1380" w:type="dxa"/>
            <w:tcBorders>
              <w:top w:val="nil"/>
              <w:left w:val="nil"/>
              <w:bottom w:val="single" w:sz="4" w:space="0" w:color="auto"/>
              <w:right w:val="nil"/>
            </w:tcBorders>
            <w:shd w:val="clear" w:color="000000" w:fill="FFFFFF"/>
            <w:vAlign w:val="center"/>
            <w:hideMark/>
          </w:tcPr>
          <w:p w14:paraId="439A210F"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10.82</w:t>
            </w:r>
          </w:p>
        </w:tc>
        <w:tc>
          <w:tcPr>
            <w:tcW w:w="960" w:type="dxa"/>
            <w:tcBorders>
              <w:top w:val="nil"/>
              <w:left w:val="nil"/>
              <w:bottom w:val="single" w:sz="4" w:space="0" w:color="auto"/>
              <w:right w:val="nil"/>
            </w:tcBorders>
            <w:shd w:val="clear" w:color="000000" w:fill="FFFFFF"/>
            <w:vAlign w:val="center"/>
            <w:hideMark/>
          </w:tcPr>
          <w:p w14:paraId="0AF3214E"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8.77</w:t>
            </w:r>
          </w:p>
        </w:tc>
        <w:tc>
          <w:tcPr>
            <w:tcW w:w="960" w:type="dxa"/>
            <w:tcBorders>
              <w:top w:val="nil"/>
              <w:left w:val="nil"/>
              <w:bottom w:val="single" w:sz="4" w:space="0" w:color="auto"/>
              <w:right w:val="nil"/>
            </w:tcBorders>
            <w:shd w:val="clear" w:color="000000" w:fill="FFFFFF"/>
            <w:vAlign w:val="center"/>
            <w:hideMark/>
          </w:tcPr>
          <w:p w14:paraId="2C51738C" w14:textId="77777777" w:rsidR="00486901" w:rsidRPr="00486901" w:rsidRDefault="00486901" w:rsidP="00486901">
            <w:pPr>
              <w:spacing w:after="0" w:line="240" w:lineRule="auto"/>
              <w:jc w:val="center"/>
              <w:rPr>
                <w:rFonts w:ascii="Arial" w:eastAsia="Times New Roman" w:hAnsi="Arial" w:cs="Arial"/>
                <w:color w:val="212529"/>
                <w:sz w:val="24"/>
                <w:szCs w:val="24"/>
              </w:rPr>
            </w:pPr>
            <w:r w:rsidRPr="00486901">
              <w:rPr>
                <w:rFonts w:ascii="Arial" w:eastAsia="Times New Roman" w:hAnsi="Arial" w:cs="Arial"/>
                <w:color w:val="212529"/>
                <w:sz w:val="24"/>
                <w:szCs w:val="24"/>
              </w:rPr>
              <w:t>13.28</w:t>
            </w:r>
          </w:p>
        </w:tc>
      </w:tr>
      <w:tr w:rsidR="00486901" w:rsidRPr="00486901" w14:paraId="2B3232FC" w14:textId="77777777" w:rsidTr="00722402">
        <w:trPr>
          <w:trHeight w:val="290"/>
          <w:jc w:val="center"/>
        </w:trPr>
        <w:tc>
          <w:tcPr>
            <w:tcW w:w="1551" w:type="dxa"/>
            <w:tcBorders>
              <w:top w:val="nil"/>
              <w:left w:val="nil"/>
              <w:bottom w:val="nil"/>
              <w:right w:val="nil"/>
            </w:tcBorders>
            <w:shd w:val="clear" w:color="auto" w:fill="auto"/>
            <w:noWrap/>
            <w:vAlign w:val="bottom"/>
            <w:hideMark/>
          </w:tcPr>
          <w:p w14:paraId="322688DA" w14:textId="77777777" w:rsidR="00486901" w:rsidRPr="00486901" w:rsidRDefault="00486901" w:rsidP="00486901">
            <w:pPr>
              <w:spacing w:after="0" w:line="240" w:lineRule="auto"/>
              <w:jc w:val="center"/>
              <w:rPr>
                <w:rFonts w:ascii="Arial" w:eastAsia="Times New Roman" w:hAnsi="Arial" w:cs="Arial"/>
                <w:color w:val="212529"/>
                <w:sz w:val="24"/>
                <w:szCs w:val="24"/>
              </w:rPr>
            </w:pPr>
          </w:p>
        </w:tc>
        <w:tc>
          <w:tcPr>
            <w:tcW w:w="1400" w:type="dxa"/>
            <w:tcBorders>
              <w:top w:val="nil"/>
              <w:left w:val="nil"/>
              <w:bottom w:val="nil"/>
              <w:right w:val="nil"/>
            </w:tcBorders>
            <w:shd w:val="clear" w:color="auto" w:fill="auto"/>
            <w:noWrap/>
            <w:vAlign w:val="bottom"/>
            <w:hideMark/>
          </w:tcPr>
          <w:p w14:paraId="0B5CF25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CA5AC3"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908AC2D"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14:paraId="5CC2232C"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ECC2D52" w14:textId="77777777" w:rsidR="00486901" w:rsidRPr="00486901" w:rsidRDefault="00486901" w:rsidP="004869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F37091" w14:textId="77777777" w:rsidR="00486901" w:rsidRPr="00486901" w:rsidRDefault="00486901" w:rsidP="00486901">
            <w:pPr>
              <w:spacing w:after="0" w:line="240" w:lineRule="auto"/>
              <w:rPr>
                <w:rFonts w:ascii="Times New Roman" w:eastAsia="Times New Roman" w:hAnsi="Times New Roman" w:cs="Times New Roman"/>
                <w:sz w:val="20"/>
                <w:szCs w:val="20"/>
              </w:rPr>
            </w:pPr>
          </w:p>
        </w:tc>
      </w:tr>
    </w:tbl>
    <w:p w14:paraId="150E25E8" w14:textId="77777777" w:rsidR="00722402" w:rsidRPr="007525E6" w:rsidRDefault="00722402" w:rsidP="0072240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BD55D" w14:textId="0EDEAD42" w:rsidR="00F65F88" w:rsidRDefault="00E63853" w:rsidP="00897FFE">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As a second step,</w:t>
      </w:r>
      <w:r w:rsidR="004A7004">
        <w:rPr>
          <w:rFonts w:ascii="Arial" w:hAnsi="Arial" w:cs="Arial"/>
          <w:color w:val="000000"/>
          <w:sz w:val="24"/>
          <w:szCs w:val="24"/>
          <w:shd w:val="clear" w:color="auto" w:fill="FFFFFF"/>
        </w:rPr>
        <w:t xml:space="preserve"> we combine</w:t>
      </w:r>
      <w:r>
        <w:rPr>
          <w:rFonts w:ascii="Arial" w:hAnsi="Arial" w:cs="Arial"/>
          <w:color w:val="000000"/>
          <w:sz w:val="24"/>
          <w:szCs w:val="24"/>
          <w:shd w:val="clear" w:color="auto" w:fill="FFFFFF"/>
        </w:rPr>
        <w:t xml:space="preserve"> the age-specific prevalence with the respective lifetables for each country in order to derive disability-free life expectancy. Afterwards, the </w:t>
      </w:r>
      <w:r>
        <w:rPr>
          <w:rFonts w:ascii="Arial" w:hAnsi="Arial" w:cs="Arial"/>
          <w:color w:val="000000"/>
          <w:sz w:val="24"/>
          <w:szCs w:val="24"/>
          <w:shd w:val="clear" w:color="auto" w:fill="FFFFFF"/>
        </w:rPr>
        <w:lastRenderedPageBreak/>
        <w:t xml:space="preserve">decomposition will be applied </w:t>
      </w:r>
      <w:r w:rsidR="00897FFE">
        <w:rPr>
          <w:rFonts w:ascii="Arial" w:hAnsi="Arial" w:cs="Arial"/>
          <w:color w:val="000000"/>
          <w:sz w:val="24"/>
          <w:szCs w:val="24"/>
          <w:shd w:val="clear" w:color="auto" w:fill="FFFFFF"/>
        </w:rPr>
        <w:t xml:space="preserve">using </w:t>
      </w:r>
      <w:r w:rsidR="00897FFE" w:rsidRPr="00897FFE">
        <w:rPr>
          <w:rFonts w:ascii="Arial" w:hAnsi="Arial" w:cs="Arial"/>
          <w:color w:val="000000"/>
          <w:sz w:val="24"/>
          <w:szCs w:val="24"/>
          <w:shd w:val="clear" w:color="auto" w:fill="FFFFFF"/>
        </w:rPr>
        <w:t>the continuous change decomposition method (Horiuchi et al. 2008) implemented in R</w:t>
      </w:r>
      <w:r w:rsidR="00154660">
        <w:rPr>
          <w:rFonts w:ascii="Arial" w:hAnsi="Arial" w:cs="Arial"/>
          <w:color w:val="000000"/>
          <w:sz w:val="24"/>
          <w:szCs w:val="24"/>
          <w:shd w:val="clear" w:color="auto" w:fill="FFFFFF"/>
        </w:rPr>
        <w:t xml:space="preserve"> </w:t>
      </w:r>
      <w:r w:rsidR="00154660">
        <w:rPr>
          <w:rFonts w:ascii="Arial" w:hAnsi="Arial" w:cs="Arial"/>
          <w:color w:val="000000"/>
          <w:sz w:val="24"/>
          <w:szCs w:val="24"/>
          <w:shd w:val="clear" w:color="auto" w:fill="FFFFFF"/>
        </w:rPr>
        <w:fldChar w:fldCharType="begin" w:fldLock="1"/>
      </w:r>
      <w:r w:rsidR="00154660">
        <w:rPr>
          <w:rFonts w:ascii="Arial" w:hAnsi="Arial" w:cs="Arial"/>
          <w:color w:val="000000"/>
          <w:sz w:val="24"/>
          <w:szCs w:val="24"/>
          <w:shd w:val="clear" w:color="auto" w:fill="FFFFFF"/>
        </w:rPr>
        <w:instrText>ADDIN CSL_CITATION {"citationItems":[{"id":"ITEM-1","itemData":{"DOI":"10.1353/dem.0.0033","author":[{"dropping-particle":"","family":"Riffe","given":"Tim","non-dropping-particle":"","parse-names":false,"suffix":""}],"id":"ITEM-1","issued":{"date-parts":[["2018"]]},"title":"Package 'DemoDecomp' Type Package Title Decompose Demographic Functions","type":"article-journal"},"uris":["http://www.mendeley.com/documents/?uuid=c4f25388-2553-3bf6-8752-093bf4fed107"]}],"mendeley":{"formattedCitation":"(Riffe 2018)","plainTextFormattedCitation":"(Riffe 2018)"},"properties":{"noteIndex":0},"schema":"https://github.com/citation-style-language/schema/raw/master/csl-citation.json"}</w:instrText>
      </w:r>
      <w:r w:rsidR="00154660">
        <w:rPr>
          <w:rFonts w:ascii="Arial" w:hAnsi="Arial" w:cs="Arial"/>
          <w:color w:val="000000"/>
          <w:sz w:val="24"/>
          <w:szCs w:val="24"/>
          <w:shd w:val="clear" w:color="auto" w:fill="FFFFFF"/>
        </w:rPr>
        <w:fldChar w:fldCharType="separate"/>
      </w:r>
      <w:r w:rsidR="00154660" w:rsidRPr="00154660">
        <w:rPr>
          <w:rFonts w:ascii="Arial" w:hAnsi="Arial" w:cs="Arial"/>
          <w:noProof/>
          <w:color w:val="000000"/>
          <w:sz w:val="24"/>
          <w:szCs w:val="24"/>
          <w:shd w:val="clear" w:color="auto" w:fill="FFFFFF"/>
        </w:rPr>
        <w:t>(Riffe 2018)</w:t>
      </w:r>
      <w:r w:rsidR="00154660">
        <w:rPr>
          <w:rFonts w:ascii="Arial" w:hAnsi="Arial" w:cs="Arial"/>
          <w:color w:val="000000"/>
          <w:sz w:val="24"/>
          <w:szCs w:val="24"/>
          <w:shd w:val="clear" w:color="auto" w:fill="FFFFFF"/>
        </w:rPr>
        <w:fldChar w:fldCharType="end"/>
      </w:r>
      <w:r w:rsidR="00897FFE" w:rsidRPr="00897FFE">
        <w:rPr>
          <w:rFonts w:ascii="Arial" w:hAnsi="Arial" w:cs="Arial"/>
          <w:color w:val="000000"/>
          <w:sz w:val="24"/>
          <w:szCs w:val="24"/>
          <w:shd w:val="clear" w:color="auto" w:fill="FFFFFF"/>
        </w:rPr>
        <w:t>, so we can split gender differences in healthy life expectancy into mortality and disability/chronic disease effects by age</w:t>
      </w:r>
      <w:r w:rsidR="00897FFE">
        <w:rPr>
          <w:rFonts w:ascii="Arial" w:hAnsi="Arial" w:cs="Arial"/>
          <w:color w:val="000000"/>
          <w:sz w:val="24"/>
          <w:szCs w:val="24"/>
          <w:shd w:val="clear" w:color="auto" w:fill="FFFFFF"/>
        </w:rPr>
        <w:t>.</w:t>
      </w:r>
    </w:p>
    <w:p w14:paraId="0FA965F7" w14:textId="77777777" w:rsidR="004A7004" w:rsidRPr="00E63853" w:rsidRDefault="004A7004" w:rsidP="00897FFE">
      <w:pPr>
        <w:spacing w:line="360" w:lineRule="auto"/>
        <w:jc w:val="both"/>
        <w:rPr>
          <w:rFonts w:ascii="Arial" w:hAnsi="Arial" w:cs="Arial"/>
          <w:color w:val="000000"/>
          <w:sz w:val="24"/>
          <w:szCs w:val="24"/>
          <w:shd w:val="clear" w:color="auto" w:fill="FFFFFF"/>
        </w:rPr>
      </w:pPr>
    </w:p>
    <w:p w14:paraId="2FA6B6D6" w14:textId="69CEAFBF" w:rsidR="00F65F88" w:rsidRDefault="004A7004" w:rsidP="00761211">
      <w:pPr>
        <w:spacing w:line="240" w:lineRule="auto"/>
        <w:jc w:val="both"/>
        <w:rPr>
          <w:rFonts w:ascii="Arial" w:hAnsi="Arial" w:cs="Arial"/>
          <w:b/>
          <w:bCs/>
          <w:i/>
          <w:iCs/>
          <w:color w:val="000000"/>
          <w:sz w:val="24"/>
          <w:szCs w:val="24"/>
          <w:shd w:val="clear" w:color="auto" w:fill="FFFFFF"/>
        </w:rPr>
      </w:pPr>
      <w:r w:rsidRPr="004A7004">
        <w:rPr>
          <w:rFonts w:ascii="Arial" w:hAnsi="Arial" w:cs="Arial"/>
          <w:b/>
          <w:bCs/>
          <w:i/>
          <w:iCs/>
          <w:color w:val="000000"/>
          <w:sz w:val="24"/>
          <w:szCs w:val="24"/>
          <w:shd w:val="clear" w:color="auto" w:fill="FFFFFF"/>
        </w:rPr>
        <w:t>Decompos</w:t>
      </w:r>
      <w:r w:rsidR="00162609">
        <w:rPr>
          <w:rFonts w:ascii="Arial" w:hAnsi="Arial" w:cs="Arial"/>
          <w:b/>
          <w:bCs/>
          <w:i/>
          <w:iCs/>
          <w:color w:val="000000"/>
          <w:sz w:val="24"/>
          <w:szCs w:val="24"/>
          <w:shd w:val="clear" w:color="auto" w:fill="FFFFFF"/>
        </w:rPr>
        <w:t>ing</w:t>
      </w:r>
      <w:r w:rsidRPr="004A7004">
        <w:rPr>
          <w:rFonts w:ascii="Arial" w:hAnsi="Arial" w:cs="Arial"/>
          <w:b/>
          <w:bCs/>
          <w:i/>
          <w:iCs/>
          <w:color w:val="000000"/>
          <w:sz w:val="24"/>
          <w:szCs w:val="24"/>
          <w:shd w:val="clear" w:color="auto" w:fill="FFFFFF"/>
        </w:rPr>
        <w:t xml:space="preserve"> the gender gap into contributions of mortality and disability</w:t>
      </w:r>
    </w:p>
    <w:p w14:paraId="06F08A82" w14:textId="6C86534C" w:rsidR="00C16FBA" w:rsidRDefault="00C16FBA" w:rsidP="00C16FBA">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Figures 1-3 present the decomposition for selected countries in the sample. India and Portugal are the only countries where women have a disadvantage relative to men in terms of disability-free life expectancy. </w:t>
      </w:r>
    </w:p>
    <w:p w14:paraId="7547CE63" w14:textId="01070FAA" w:rsidR="00C16FBA" w:rsidRPr="00693EC7" w:rsidRDefault="00C16FBA" w:rsidP="00C16FBA">
      <w:pPr>
        <w:spacing w:line="240" w:lineRule="auto"/>
        <w:rPr>
          <w:rFonts w:ascii="Arial" w:hAnsi="Arial" w:cs="Arial"/>
          <w:color w:val="000000"/>
          <w:sz w:val="24"/>
          <w:szCs w:val="24"/>
          <w:shd w:val="clear" w:color="auto" w:fill="FFFFFF"/>
        </w:rPr>
      </w:pPr>
      <w:commentRangeStart w:id="4"/>
      <w:r>
        <w:rPr>
          <w:rFonts w:ascii="Arial" w:hAnsi="Arial" w:cs="Arial"/>
          <w:noProof/>
          <w:color w:val="000000"/>
          <w:sz w:val="24"/>
          <w:szCs w:val="24"/>
          <w:shd w:val="clear" w:color="auto" w:fill="FFFFFF"/>
        </w:rPr>
        <w:drawing>
          <wp:inline distT="0" distB="0" distL="0" distR="0" wp14:anchorId="08201AC4" wp14:editId="3F6DDD89">
            <wp:extent cx="6200189" cy="31935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4565" cy="3195830"/>
                    </a:xfrm>
                    <a:prstGeom prst="rect">
                      <a:avLst/>
                    </a:prstGeom>
                    <a:noFill/>
                  </pic:spPr>
                </pic:pic>
              </a:graphicData>
            </a:graphic>
          </wp:inline>
        </w:drawing>
      </w:r>
      <w:commentRangeEnd w:id="4"/>
      <w:r w:rsidR="00021F9A">
        <w:rPr>
          <w:rStyle w:val="CommentReference"/>
        </w:rPr>
        <w:commentReference w:id="4"/>
      </w:r>
    </w:p>
    <w:p w14:paraId="6DDA2404" w14:textId="77777777" w:rsidR="00C16FBA" w:rsidRPr="007525E6" w:rsidRDefault="00C16FBA" w:rsidP="00C16FBA">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46975693" w14:textId="0F5CD9D2" w:rsidR="006D69B1" w:rsidRPr="006D69B1" w:rsidRDefault="00C16FBA" w:rsidP="00677528">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In both countries, this is explained by a larger effect of disability.</w:t>
      </w:r>
      <w:r w:rsidR="006D69B1">
        <w:rPr>
          <w:rFonts w:ascii="Arial" w:hAnsi="Arial" w:cs="Arial"/>
          <w:color w:val="000000"/>
          <w:sz w:val="24"/>
          <w:szCs w:val="24"/>
          <w:shd w:val="clear" w:color="auto" w:fill="FFFFFF"/>
        </w:rPr>
        <w:t xml:space="preserve"> Korea is the country with one of the highest </w:t>
      </w:r>
      <w:r w:rsidR="00F24F5A">
        <w:rPr>
          <w:rFonts w:ascii="Arial" w:hAnsi="Arial" w:cs="Arial"/>
          <w:color w:val="000000"/>
          <w:sz w:val="24"/>
          <w:szCs w:val="24"/>
          <w:shd w:val="clear" w:color="auto" w:fill="FFFFFF"/>
        </w:rPr>
        <w:t>gaps</w:t>
      </w:r>
      <w:r w:rsidR="006D69B1">
        <w:rPr>
          <w:rFonts w:ascii="Arial" w:hAnsi="Arial" w:cs="Arial"/>
          <w:color w:val="000000"/>
          <w:sz w:val="24"/>
          <w:szCs w:val="24"/>
          <w:shd w:val="clear" w:color="auto" w:fill="FFFFFF"/>
        </w:rPr>
        <w:t xml:space="preserve"> in favor of women both in terms of life expectancy and disability-free life expectancy. </w:t>
      </w:r>
      <w:r w:rsidR="00F24F5A">
        <w:rPr>
          <w:rFonts w:ascii="Arial" w:hAnsi="Arial" w:cs="Arial"/>
          <w:color w:val="000000"/>
          <w:sz w:val="24"/>
          <w:szCs w:val="24"/>
          <w:shd w:val="clear" w:color="auto" w:fill="FFFFFF"/>
        </w:rPr>
        <w:t>The contribution stems mainly from the mortality advantage of women.</w:t>
      </w:r>
    </w:p>
    <w:p w14:paraId="35CAEF4F" w14:textId="34495D47" w:rsidR="006D6B2A" w:rsidRDefault="00C16FBA" w:rsidP="00C16FBA">
      <w:pPr>
        <w:spacing w:line="240" w:lineRule="auto"/>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lastRenderedPageBreak/>
        <w:drawing>
          <wp:inline distT="0" distB="0" distL="0" distR="0" wp14:anchorId="33C5020E" wp14:editId="1716D81C">
            <wp:extent cx="6272938" cy="31731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548"/>
                    <a:stretch/>
                  </pic:blipFill>
                  <pic:spPr bwMode="auto">
                    <a:xfrm>
                      <a:off x="0" y="0"/>
                      <a:ext cx="6307796" cy="3190737"/>
                    </a:xfrm>
                    <a:prstGeom prst="rect">
                      <a:avLst/>
                    </a:prstGeom>
                    <a:noFill/>
                    <a:ln>
                      <a:noFill/>
                    </a:ln>
                    <a:extLst>
                      <a:ext uri="{53640926-AAD7-44D8-BBD7-CCE9431645EC}">
                        <a14:shadowObscured xmlns:a14="http://schemas.microsoft.com/office/drawing/2010/main"/>
                      </a:ext>
                    </a:extLst>
                  </pic:spPr>
                </pic:pic>
              </a:graphicData>
            </a:graphic>
          </wp:inline>
        </w:drawing>
      </w:r>
    </w:p>
    <w:p w14:paraId="3DFF593E" w14:textId="080F6C41" w:rsidR="006D6B2A" w:rsidRDefault="006D6B2A" w:rsidP="00761211">
      <w:pPr>
        <w:spacing w:line="240" w:lineRule="auto"/>
        <w:jc w:val="both"/>
        <w:rPr>
          <w:rFonts w:ascii="Arial" w:hAnsi="Arial" w:cs="Arial"/>
          <w:b/>
          <w:bCs/>
          <w:i/>
          <w:iCs/>
          <w:color w:val="000000"/>
          <w:sz w:val="24"/>
          <w:szCs w:val="24"/>
          <w:shd w:val="clear" w:color="auto" w:fill="FFFFFF"/>
        </w:rPr>
      </w:pPr>
    </w:p>
    <w:p w14:paraId="52B8AD17" w14:textId="5CBAD0B0" w:rsidR="006D6B2A" w:rsidRDefault="00C16FBA" w:rsidP="00761211">
      <w:pPr>
        <w:spacing w:line="240" w:lineRule="auto"/>
        <w:jc w:val="both"/>
        <w:rPr>
          <w:rFonts w:ascii="Arial" w:hAnsi="Arial" w:cs="Arial"/>
          <w:b/>
          <w:bCs/>
          <w:i/>
          <w:iCs/>
          <w:color w:val="000000"/>
          <w:sz w:val="24"/>
          <w:szCs w:val="24"/>
          <w:shd w:val="clear" w:color="auto" w:fill="FFFFFF"/>
        </w:rPr>
      </w:pPr>
      <w:r>
        <w:rPr>
          <w:rFonts w:ascii="Arial" w:hAnsi="Arial" w:cs="Arial"/>
          <w:b/>
          <w:bCs/>
          <w:i/>
          <w:iCs/>
          <w:noProof/>
          <w:color w:val="000000"/>
          <w:sz w:val="24"/>
          <w:szCs w:val="24"/>
          <w:shd w:val="clear" w:color="auto" w:fill="FFFFFF"/>
        </w:rPr>
        <w:drawing>
          <wp:inline distT="0" distB="0" distL="0" distR="0" wp14:anchorId="06132F57" wp14:editId="215FD85D">
            <wp:extent cx="6421272" cy="332563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4088" cy="3337453"/>
                    </a:xfrm>
                    <a:prstGeom prst="rect">
                      <a:avLst/>
                    </a:prstGeom>
                    <a:noFill/>
                  </pic:spPr>
                </pic:pic>
              </a:graphicData>
            </a:graphic>
          </wp:inline>
        </w:drawing>
      </w:r>
    </w:p>
    <w:p w14:paraId="3CC5CC95" w14:textId="54A57B8F" w:rsidR="006019E1" w:rsidRDefault="00C16FBA" w:rsidP="00761211">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15BD612E" w14:textId="1A35E629" w:rsidR="006D6B2A" w:rsidRPr="008361EC" w:rsidRDefault="006019E1" w:rsidP="00761211">
      <w:pPr>
        <w:spacing w:line="240" w:lineRule="auto"/>
        <w:jc w:val="both"/>
        <w:rPr>
          <w:rFonts w:ascii="Arial" w:hAnsi="Arial" w:cs="Arial"/>
          <w:color w:val="000000"/>
          <w:sz w:val="16"/>
          <w:szCs w:val="16"/>
          <w:shd w:val="clear" w:color="auto" w:fill="FFFFFF"/>
        </w:rPr>
      </w:pPr>
      <w:r>
        <w:rPr>
          <w:rFonts w:ascii="Arial" w:hAnsi="Arial" w:cs="Arial"/>
          <w:color w:val="000000"/>
          <w:sz w:val="24"/>
          <w:szCs w:val="24"/>
          <w:shd w:val="clear" w:color="auto" w:fill="FFFFFF"/>
        </w:rPr>
        <w:t xml:space="preserve">An exception is Denmark, where the </w:t>
      </w:r>
      <w:r w:rsidR="008361EC">
        <w:rPr>
          <w:rFonts w:ascii="Arial" w:hAnsi="Arial" w:cs="Arial"/>
          <w:color w:val="000000"/>
          <w:sz w:val="24"/>
          <w:szCs w:val="24"/>
          <w:shd w:val="clear" w:color="auto" w:fill="FFFFFF"/>
        </w:rPr>
        <w:t>contribution of disability is positive for the gap, in favor of women. Table 3 shows results for all countries.</w:t>
      </w:r>
    </w:p>
    <w:tbl>
      <w:tblPr>
        <w:tblW w:w="9097" w:type="dxa"/>
        <w:tblLook w:val="04A0" w:firstRow="1" w:lastRow="0" w:firstColumn="1" w:lastColumn="0" w:noHBand="0" w:noVBand="1"/>
      </w:tblPr>
      <w:tblGrid>
        <w:gridCol w:w="1880"/>
        <w:gridCol w:w="636"/>
        <w:gridCol w:w="1099"/>
        <w:gridCol w:w="1123"/>
        <w:gridCol w:w="1163"/>
        <w:gridCol w:w="910"/>
        <w:gridCol w:w="1123"/>
        <w:gridCol w:w="1163"/>
      </w:tblGrid>
      <w:tr w:rsidR="006D6B2A" w:rsidRPr="006D6B2A" w14:paraId="59C67128" w14:textId="77777777" w:rsidTr="00203B42">
        <w:trPr>
          <w:trHeight w:val="1206"/>
        </w:trPr>
        <w:tc>
          <w:tcPr>
            <w:tcW w:w="9097" w:type="dxa"/>
            <w:gridSpan w:val="8"/>
            <w:tcBorders>
              <w:top w:val="nil"/>
              <w:left w:val="nil"/>
              <w:bottom w:val="single" w:sz="4" w:space="0" w:color="auto"/>
              <w:right w:val="nil"/>
            </w:tcBorders>
            <w:shd w:val="clear" w:color="000000" w:fill="FFFFFF"/>
            <w:vAlign w:val="center"/>
            <w:hideMark/>
          </w:tcPr>
          <w:p w14:paraId="66C2C9D9" w14:textId="3E0FDA38"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lastRenderedPageBreak/>
              <w:t xml:space="preserve">Table </w:t>
            </w:r>
            <w:r>
              <w:rPr>
                <w:rFonts w:ascii="Times New Roman" w:eastAsia="Times New Roman" w:hAnsi="Times New Roman" w:cs="Times New Roman"/>
                <w:color w:val="000000"/>
                <w:sz w:val="24"/>
                <w:szCs w:val="24"/>
              </w:rPr>
              <w:t>3</w:t>
            </w:r>
            <w:r w:rsidRPr="006D6B2A">
              <w:rPr>
                <w:rFonts w:ascii="Times New Roman" w:eastAsia="Times New Roman" w:hAnsi="Times New Roman" w:cs="Times New Roman"/>
                <w:color w:val="000000"/>
                <w:sz w:val="24"/>
                <w:szCs w:val="24"/>
              </w:rPr>
              <w:t xml:space="preserve"> - Decomposition of Gender Difference in Total Life Expectancy (LE), Life Expectancy Free of Disability (DFLE), and Life Expectancy With Disability (LEWD) into mortality and disability effect at age 60</w:t>
            </w:r>
          </w:p>
        </w:tc>
      </w:tr>
      <w:tr w:rsidR="006D6B2A" w:rsidRPr="006D6B2A" w14:paraId="18FE04C0" w14:textId="77777777" w:rsidTr="00203B42">
        <w:trPr>
          <w:trHeight w:val="283"/>
        </w:trPr>
        <w:tc>
          <w:tcPr>
            <w:tcW w:w="1880" w:type="dxa"/>
            <w:vMerge w:val="restart"/>
            <w:tcBorders>
              <w:top w:val="nil"/>
              <w:left w:val="nil"/>
              <w:bottom w:val="nil"/>
              <w:right w:val="nil"/>
            </w:tcBorders>
            <w:shd w:val="clear" w:color="000000" w:fill="FFFFFF"/>
            <w:noWrap/>
            <w:vAlign w:val="center"/>
            <w:hideMark/>
          </w:tcPr>
          <w:p w14:paraId="2CEFF7E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Country/Survey</w:t>
            </w:r>
          </w:p>
        </w:tc>
        <w:tc>
          <w:tcPr>
            <w:tcW w:w="636" w:type="dxa"/>
            <w:vMerge w:val="restart"/>
            <w:tcBorders>
              <w:top w:val="nil"/>
              <w:left w:val="nil"/>
              <w:bottom w:val="nil"/>
              <w:right w:val="nil"/>
            </w:tcBorders>
            <w:shd w:val="clear" w:color="000000" w:fill="FFFFFF"/>
            <w:noWrap/>
            <w:vAlign w:val="center"/>
            <w:hideMark/>
          </w:tcPr>
          <w:p w14:paraId="0D053F3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t>
            </w:r>
          </w:p>
        </w:tc>
        <w:tc>
          <w:tcPr>
            <w:tcW w:w="1099" w:type="dxa"/>
            <w:vMerge w:val="restart"/>
            <w:tcBorders>
              <w:top w:val="nil"/>
              <w:left w:val="nil"/>
              <w:bottom w:val="nil"/>
              <w:right w:val="nil"/>
            </w:tcBorders>
            <w:shd w:val="clear" w:color="000000" w:fill="FFFFFF"/>
            <w:vAlign w:val="center"/>
            <w:hideMark/>
          </w:tcPr>
          <w:p w14:paraId="1D57F27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DFLE</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51FD50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c>
          <w:tcPr>
            <w:tcW w:w="910" w:type="dxa"/>
            <w:vMerge w:val="restart"/>
            <w:tcBorders>
              <w:top w:val="nil"/>
              <w:left w:val="nil"/>
              <w:bottom w:val="nil"/>
              <w:right w:val="nil"/>
            </w:tcBorders>
            <w:shd w:val="clear" w:color="000000" w:fill="FFFFFF"/>
            <w:vAlign w:val="center"/>
            <w:hideMark/>
          </w:tcPr>
          <w:p w14:paraId="7E07966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LEWD</w:t>
            </w:r>
          </w:p>
        </w:tc>
        <w:tc>
          <w:tcPr>
            <w:tcW w:w="2286" w:type="dxa"/>
            <w:gridSpan w:val="2"/>
            <w:tcBorders>
              <w:top w:val="single" w:sz="4" w:space="0" w:color="auto"/>
              <w:left w:val="nil"/>
              <w:bottom w:val="single" w:sz="4" w:space="0" w:color="auto"/>
              <w:right w:val="nil"/>
            </w:tcBorders>
            <w:shd w:val="clear" w:color="auto" w:fill="auto"/>
            <w:noWrap/>
            <w:vAlign w:val="center"/>
            <w:hideMark/>
          </w:tcPr>
          <w:p w14:paraId="04219FD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Components</w:t>
            </w:r>
          </w:p>
        </w:tc>
      </w:tr>
      <w:tr w:rsidR="006D6B2A" w:rsidRPr="006D6B2A" w14:paraId="342C9627" w14:textId="77777777" w:rsidTr="00203B42">
        <w:trPr>
          <w:trHeight w:val="567"/>
        </w:trPr>
        <w:tc>
          <w:tcPr>
            <w:tcW w:w="1880" w:type="dxa"/>
            <w:vMerge/>
            <w:tcBorders>
              <w:top w:val="nil"/>
              <w:left w:val="nil"/>
              <w:bottom w:val="nil"/>
              <w:right w:val="nil"/>
            </w:tcBorders>
            <w:vAlign w:val="center"/>
            <w:hideMark/>
          </w:tcPr>
          <w:p w14:paraId="64090713"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636" w:type="dxa"/>
            <w:vMerge/>
            <w:tcBorders>
              <w:top w:val="nil"/>
              <w:left w:val="nil"/>
              <w:bottom w:val="nil"/>
              <w:right w:val="nil"/>
            </w:tcBorders>
            <w:vAlign w:val="center"/>
            <w:hideMark/>
          </w:tcPr>
          <w:p w14:paraId="49614F20"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099" w:type="dxa"/>
            <w:vMerge/>
            <w:tcBorders>
              <w:top w:val="nil"/>
              <w:left w:val="nil"/>
              <w:bottom w:val="nil"/>
              <w:right w:val="nil"/>
            </w:tcBorders>
            <w:vAlign w:val="center"/>
            <w:hideMark/>
          </w:tcPr>
          <w:p w14:paraId="352555B1"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745543A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06128F5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c>
          <w:tcPr>
            <w:tcW w:w="910" w:type="dxa"/>
            <w:vMerge/>
            <w:tcBorders>
              <w:top w:val="nil"/>
              <w:left w:val="nil"/>
              <w:bottom w:val="nil"/>
              <w:right w:val="nil"/>
            </w:tcBorders>
            <w:vAlign w:val="center"/>
            <w:hideMark/>
          </w:tcPr>
          <w:p w14:paraId="1112566D"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p>
        </w:tc>
        <w:tc>
          <w:tcPr>
            <w:tcW w:w="1123" w:type="dxa"/>
            <w:tcBorders>
              <w:top w:val="nil"/>
              <w:left w:val="nil"/>
              <w:bottom w:val="nil"/>
              <w:right w:val="nil"/>
            </w:tcBorders>
            <w:shd w:val="clear" w:color="000000" w:fill="FFFFFF"/>
            <w:vAlign w:val="center"/>
            <w:hideMark/>
          </w:tcPr>
          <w:p w14:paraId="078A483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Mortality </w:t>
            </w:r>
          </w:p>
        </w:tc>
        <w:tc>
          <w:tcPr>
            <w:tcW w:w="1163" w:type="dxa"/>
            <w:tcBorders>
              <w:top w:val="nil"/>
              <w:left w:val="nil"/>
              <w:bottom w:val="nil"/>
              <w:right w:val="nil"/>
            </w:tcBorders>
            <w:shd w:val="clear" w:color="000000" w:fill="FFFFFF"/>
            <w:vAlign w:val="center"/>
            <w:hideMark/>
          </w:tcPr>
          <w:p w14:paraId="5F0093A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Disability </w:t>
            </w:r>
          </w:p>
        </w:tc>
      </w:tr>
      <w:tr w:rsidR="006D6B2A" w:rsidRPr="006D6B2A" w14:paraId="16601C24" w14:textId="77777777" w:rsidTr="00203B42">
        <w:trPr>
          <w:trHeight w:val="293"/>
        </w:trPr>
        <w:tc>
          <w:tcPr>
            <w:tcW w:w="1880" w:type="dxa"/>
            <w:tcBorders>
              <w:top w:val="single" w:sz="4" w:space="0" w:color="auto"/>
              <w:left w:val="nil"/>
              <w:bottom w:val="nil"/>
              <w:right w:val="nil"/>
            </w:tcBorders>
            <w:shd w:val="clear" w:color="000000" w:fill="FFFFFF"/>
            <w:vAlign w:val="center"/>
            <w:hideMark/>
          </w:tcPr>
          <w:p w14:paraId="2D892A04"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xml:space="preserve">USA (HRS)    </w:t>
            </w:r>
          </w:p>
        </w:tc>
        <w:tc>
          <w:tcPr>
            <w:tcW w:w="636" w:type="dxa"/>
            <w:tcBorders>
              <w:top w:val="single" w:sz="4" w:space="0" w:color="auto"/>
              <w:left w:val="nil"/>
              <w:bottom w:val="nil"/>
              <w:right w:val="nil"/>
            </w:tcBorders>
            <w:shd w:val="clear" w:color="000000" w:fill="FFFFFF"/>
            <w:noWrap/>
            <w:vAlign w:val="center"/>
            <w:hideMark/>
          </w:tcPr>
          <w:p w14:paraId="021D98C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2.98</w:t>
            </w:r>
          </w:p>
        </w:tc>
        <w:tc>
          <w:tcPr>
            <w:tcW w:w="1099" w:type="dxa"/>
            <w:tcBorders>
              <w:top w:val="single" w:sz="4" w:space="0" w:color="auto"/>
              <w:left w:val="nil"/>
              <w:bottom w:val="nil"/>
              <w:right w:val="nil"/>
            </w:tcBorders>
            <w:shd w:val="clear" w:color="000000" w:fill="FFFFFF"/>
            <w:noWrap/>
            <w:vAlign w:val="center"/>
            <w:hideMark/>
          </w:tcPr>
          <w:p w14:paraId="4479A13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1.59</w:t>
            </w:r>
          </w:p>
        </w:tc>
        <w:tc>
          <w:tcPr>
            <w:tcW w:w="1123" w:type="dxa"/>
            <w:tcBorders>
              <w:top w:val="single" w:sz="4" w:space="0" w:color="auto"/>
              <w:left w:val="nil"/>
              <w:bottom w:val="nil"/>
              <w:right w:val="nil"/>
            </w:tcBorders>
            <w:shd w:val="clear" w:color="000000" w:fill="FFFFFF"/>
            <w:noWrap/>
            <w:vAlign w:val="bottom"/>
            <w:hideMark/>
          </w:tcPr>
          <w:p w14:paraId="0929AB6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2.18</w:t>
            </w:r>
          </w:p>
        </w:tc>
        <w:tc>
          <w:tcPr>
            <w:tcW w:w="1163" w:type="dxa"/>
            <w:tcBorders>
              <w:top w:val="single" w:sz="4" w:space="0" w:color="auto"/>
              <w:left w:val="nil"/>
              <w:bottom w:val="nil"/>
              <w:right w:val="nil"/>
            </w:tcBorders>
            <w:shd w:val="clear" w:color="000000" w:fill="FFFFFF"/>
            <w:noWrap/>
            <w:vAlign w:val="center"/>
            <w:hideMark/>
          </w:tcPr>
          <w:p w14:paraId="1EA217D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c>
          <w:tcPr>
            <w:tcW w:w="910" w:type="dxa"/>
            <w:tcBorders>
              <w:top w:val="single" w:sz="4" w:space="0" w:color="auto"/>
              <w:left w:val="nil"/>
              <w:bottom w:val="nil"/>
              <w:right w:val="nil"/>
            </w:tcBorders>
            <w:shd w:val="clear" w:color="000000" w:fill="FFFFFF"/>
            <w:noWrap/>
            <w:vAlign w:val="center"/>
            <w:hideMark/>
          </w:tcPr>
          <w:p w14:paraId="4B786EA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1.39</w:t>
            </w:r>
          </w:p>
        </w:tc>
        <w:tc>
          <w:tcPr>
            <w:tcW w:w="1123" w:type="dxa"/>
            <w:tcBorders>
              <w:top w:val="single" w:sz="4" w:space="0" w:color="auto"/>
              <w:left w:val="nil"/>
              <w:bottom w:val="nil"/>
              <w:right w:val="nil"/>
            </w:tcBorders>
            <w:shd w:val="clear" w:color="000000" w:fill="FFFFFF"/>
            <w:noWrap/>
            <w:vAlign w:val="bottom"/>
            <w:hideMark/>
          </w:tcPr>
          <w:p w14:paraId="6639488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0.80</w:t>
            </w:r>
          </w:p>
        </w:tc>
        <w:tc>
          <w:tcPr>
            <w:tcW w:w="1163" w:type="dxa"/>
            <w:tcBorders>
              <w:top w:val="single" w:sz="4" w:space="0" w:color="auto"/>
              <w:left w:val="nil"/>
              <w:bottom w:val="nil"/>
              <w:right w:val="nil"/>
            </w:tcBorders>
            <w:shd w:val="clear" w:color="000000" w:fill="FFFFFF"/>
            <w:noWrap/>
            <w:vAlign w:val="center"/>
            <w:hideMark/>
          </w:tcPr>
          <w:p w14:paraId="3E9FDFF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0.59</w:t>
            </w:r>
          </w:p>
        </w:tc>
      </w:tr>
      <w:tr w:rsidR="006D6B2A" w:rsidRPr="006D6B2A" w14:paraId="7AC8BED3" w14:textId="77777777" w:rsidTr="00203B42">
        <w:trPr>
          <w:trHeight w:val="283"/>
        </w:trPr>
        <w:tc>
          <w:tcPr>
            <w:tcW w:w="1880" w:type="dxa"/>
            <w:tcBorders>
              <w:top w:val="nil"/>
              <w:left w:val="nil"/>
              <w:bottom w:val="nil"/>
              <w:right w:val="nil"/>
            </w:tcBorders>
            <w:shd w:val="clear" w:color="000000" w:fill="FFFFFF"/>
            <w:noWrap/>
            <w:vAlign w:val="center"/>
            <w:hideMark/>
          </w:tcPr>
          <w:p w14:paraId="00244BE7"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China  (CHARLS)</w:t>
            </w:r>
          </w:p>
        </w:tc>
        <w:tc>
          <w:tcPr>
            <w:tcW w:w="636" w:type="dxa"/>
            <w:tcBorders>
              <w:top w:val="nil"/>
              <w:left w:val="nil"/>
              <w:bottom w:val="nil"/>
              <w:right w:val="nil"/>
            </w:tcBorders>
            <w:shd w:val="clear" w:color="000000" w:fill="FFFFFF"/>
            <w:noWrap/>
            <w:vAlign w:val="center"/>
            <w:hideMark/>
          </w:tcPr>
          <w:p w14:paraId="0B8080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3.81</w:t>
            </w:r>
          </w:p>
        </w:tc>
        <w:tc>
          <w:tcPr>
            <w:tcW w:w="1099" w:type="dxa"/>
            <w:tcBorders>
              <w:top w:val="nil"/>
              <w:left w:val="nil"/>
              <w:bottom w:val="nil"/>
              <w:right w:val="nil"/>
            </w:tcBorders>
            <w:shd w:val="clear" w:color="000000" w:fill="FFFFFF"/>
            <w:noWrap/>
            <w:vAlign w:val="center"/>
            <w:hideMark/>
          </w:tcPr>
          <w:p w14:paraId="5BD1BFA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0.79</w:t>
            </w:r>
          </w:p>
        </w:tc>
        <w:tc>
          <w:tcPr>
            <w:tcW w:w="1123" w:type="dxa"/>
            <w:tcBorders>
              <w:top w:val="nil"/>
              <w:left w:val="nil"/>
              <w:bottom w:val="nil"/>
              <w:right w:val="nil"/>
            </w:tcBorders>
            <w:shd w:val="clear" w:color="000000" w:fill="FFFFFF"/>
            <w:noWrap/>
            <w:vAlign w:val="center"/>
            <w:hideMark/>
          </w:tcPr>
          <w:p w14:paraId="18B244A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2.31</w:t>
            </w:r>
          </w:p>
        </w:tc>
        <w:tc>
          <w:tcPr>
            <w:tcW w:w="1163" w:type="dxa"/>
            <w:tcBorders>
              <w:top w:val="nil"/>
              <w:left w:val="nil"/>
              <w:bottom w:val="nil"/>
              <w:right w:val="nil"/>
            </w:tcBorders>
            <w:shd w:val="clear" w:color="000000" w:fill="FFFFFF"/>
            <w:noWrap/>
            <w:vAlign w:val="center"/>
            <w:hideMark/>
          </w:tcPr>
          <w:p w14:paraId="09FF65F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910" w:type="dxa"/>
            <w:tcBorders>
              <w:top w:val="nil"/>
              <w:left w:val="nil"/>
              <w:bottom w:val="nil"/>
              <w:right w:val="nil"/>
            </w:tcBorders>
            <w:shd w:val="clear" w:color="000000" w:fill="FFFFFF"/>
            <w:noWrap/>
            <w:vAlign w:val="center"/>
            <w:hideMark/>
          </w:tcPr>
          <w:p w14:paraId="25F6DB1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3.02</w:t>
            </w:r>
          </w:p>
        </w:tc>
        <w:tc>
          <w:tcPr>
            <w:tcW w:w="1123" w:type="dxa"/>
            <w:tcBorders>
              <w:top w:val="nil"/>
              <w:left w:val="nil"/>
              <w:bottom w:val="nil"/>
              <w:right w:val="nil"/>
            </w:tcBorders>
            <w:shd w:val="clear" w:color="000000" w:fill="FFFFFF"/>
            <w:noWrap/>
            <w:vAlign w:val="bottom"/>
            <w:hideMark/>
          </w:tcPr>
          <w:p w14:paraId="0A40DE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1.50</w:t>
            </w:r>
          </w:p>
        </w:tc>
        <w:tc>
          <w:tcPr>
            <w:tcW w:w="1163" w:type="dxa"/>
            <w:tcBorders>
              <w:top w:val="nil"/>
              <w:left w:val="nil"/>
              <w:bottom w:val="nil"/>
              <w:right w:val="nil"/>
            </w:tcBorders>
            <w:shd w:val="clear" w:color="000000" w:fill="FFFFFF"/>
            <w:noWrap/>
            <w:vAlign w:val="center"/>
            <w:hideMark/>
          </w:tcPr>
          <w:p w14:paraId="75A29F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r>
      <w:tr w:rsidR="006D6B2A" w:rsidRPr="006D6B2A" w14:paraId="3020374F" w14:textId="77777777" w:rsidTr="00203B42">
        <w:trPr>
          <w:trHeight w:val="283"/>
        </w:trPr>
        <w:tc>
          <w:tcPr>
            <w:tcW w:w="1880" w:type="dxa"/>
            <w:tcBorders>
              <w:top w:val="nil"/>
              <w:left w:val="nil"/>
              <w:bottom w:val="nil"/>
              <w:right w:val="nil"/>
            </w:tcBorders>
            <w:shd w:val="clear" w:color="000000" w:fill="FFFFFF"/>
            <w:noWrap/>
            <w:vAlign w:val="center"/>
            <w:hideMark/>
          </w:tcPr>
          <w:p w14:paraId="024D913A"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Mexico   (MHAS)</w:t>
            </w:r>
          </w:p>
        </w:tc>
        <w:tc>
          <w:tcPr>
            <w:tcW w:w="636" w:type="dxa"/>
            <w:tcBorders>
              <w:top w:val="nil"/>
              <w:left w:val="nil"/>
              <w:bottom w:val="nil"/>
              <w:right w:val="nil"/>
            </w:tcBorders>
            <w:shd w:val="clear" w:color="000000" w:fill="FFFFFF"/>
            <w:noWrap/>
            <w:vAlign w:val="center"/>
            <w:hideMark/>
          </w:tcPr>
          <w:p w14:paraId="74C919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2.64</w:t>
            </w:r>
          </w:p>
        </w:tc>
        <w:tc>
          <w:tcPr>
            <w:tcW w:w="1099" w:type="dxa"/>
            <w:tcBorders>
              <w:top w:val="nil"/>
              <w:left w:val="nil"/>
              <w:bottom w:val="nil"/>
              <w:right w:val="nil"/>
            </w:tcBorders>
            <w:shd w:val="clear" w:color="000000" w:fill="FFFFFF"/>
            <w:noWrap/>
            <w:vAlign w:val="center"/>
            <w:hideMark/>
          </w:tcPr>
          <w:p w14:paraId="61D82C5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center"/>
            <w:hideMark/>
          </w:tcPr>
          <w:p w14:paraId="3D29F7B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1.88</w:t>
            </w:r>
          </w:p>
        </w:tc>
        <w:tc>
          <w:tcPr>
            <w:tcW w:w="1163" w:type="dxa"/>
            <w:tcBorders>
              <w:top w:val="nil"/>
              <w:left w:val="nil"/>
              <w:bottom w:val="nil"/>
              <w:right w:val="nil"/>
            </w:tcBorders>
            <w:shd w:val="clear" w:color="000000" w:fill="FFFFFF"/>
            <w:noWrap/>
            <w:vAlign w:val="center"/>
            <w:hideMark/>
          </w:tcPr>
          <w:p w14:paraId="0E11403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c>
          <w:tcPr>
            <w:tcW w:w="910" w:type="dxa"/>
            <w:tcBorders>
              <w:top w:val="nil"/>
              <w:left w:val="nil"/>
              <w:bottom w:val="nil"/>
              <w:right w:val="nil"/>
            </w:tcBorders>
            <w:shd w:val="clear" w:color="000000" w:fill="FFFFFF"/>
            <w:noWrap/>
            <w:vAlign w:val="center"/>
            <w:hideMark/>
          </w:tcPr>
          <w:p w14:paraId="46D82BF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1.93</w:t>
            </w:r>
          </w:p>
        </w:tc>
        <w:tc>
          <w:tcPr>
            <w:tcW w:w="1123" w:type="dxa"/>
            <w:tcBorders>
              <w:top w:val="nil"/>
              <w:left w:val="nil"/>
              <w:bottom w:val="nil"/>
              <w:right w:val="nil"/>
            </w:tcBorders>
            <w:shd w:val="clear" w:color="000000" w:fill="FFFFFF"/>
            <w:noWrap/>
            <w:vAlign w:val="bottom"/>
            <w:hideMark/>
          </w:tcPr>
          <w:p w14:paraId="6E1B2A8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0.76</w:t>
            </w:r>
          </w:p>
        </w:tc>
        <w:tc>
          <w:tcPr>
            <w:tcW w:w="1163" w:type="dxa"/>
            <w:tcBorders>
              <w:top w:val="nil"/>
              <w:left w:val="nil"/>
              <w:bottom w:val="nil"/>
              <w:right w:val="nil"/>
            </w:tcBorders>
            <w:shd w:val="clear" w:color="000000" w:fill="FFFFFF"/>
            <w:noWrap/>
            <w:vAlign w:val="center"/>
            <w:hideMark/>
          </w:tcPr>
          <w:p w14:paraId="233B2C5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1.16</w:t>
            </w:r>
          </w:p>
        </w:tc>
      </w:tr>
      <w:tr w:rsidR="006D6B2A" w:rsidRPr="006D6B2A" w14:paraId="7190C497" w14:textId="77777777" w:rsidTr="00203B42">
        <w:trPr>
          <w:trHeight w:val="283"/>
        </w:trPr>
        <w:tc>
          <w:tcPr>
            <w:tcW w:w="1880" w:type="dxa"/>
            <w:tcBorders>
              <w:top w:val="nil"/>
              <w:left w:val="nil"/>
              <w:bottom w:val="nil"/>
              <w:right w:val="nil"/>
            </w:tcBorders>
            <w:shd w:val="clear" w:color="000000" w:fill="FFFFFF"/>
            <w:noWrap/>
            <w:vAlign w:val="center"/>
            <w:hideMark/>
          </w:tcPr>
          <w:p w14:paraId="5EF68C4B" w14:textId="77777777" w:rsidR="006D6B2A" w:rsidRPr="006D6B2A" w:rsidRDefault="006D6B2A" w:rsidP="006D6B2A">
            <w:pPr>
              <w:spacing w:after="0" w:line="240" w:lineRule="auto"/>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India  (LASI)</w:t>
            </w:r>
          </w:p>
        </w:tc>
        <w:tc>
          <w:tcPr>
            <w:tcW w:w="636" w:type="dxa"/>
            <w:tcBorders>
              <w:top w:val="nil"/>
              <w:left w:val="nil"/>
              <w:bottom w:val="nil"/>
              <w:right w:val="nil"/>
            </w:tcBorders>
            <w:shd w:val="clear" w:color="000000" w:fill="FFFFFF"/>
            <w:noWrap/>
            <w:vAlign w:val="center"/>
            <w:hideMark/>
          </w:tcPr>
          <w:p w14:paraId="3370F4BC"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1.63</w:t>
            </w:r>
          </w:p>
        </w:tc>
        <w:tc>
          <w:tcPr>
            <w:tcW w:w="1099" w:type="dxa"/>
            <w:tcBorders>
              <w:top w:val="nil"/>
              <w:left w:val="nil"/>
              <w:bottom w:val="nil"/>
              <w:right w:val="nil"/>
            </w:tcBorders>
            <w:shd w:val="clear" w:color="000000" w:fill="FFFFFF"/>
            <w:noWrap/>
            <w:vAlign w:val="center"/>
            <w:hideMark/>
          </w:tcPr>
          <w:p w14:paraId="0F69A1D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-0.16</w:t>
            </w:r>
          </w:p>
        </w:tc>
        <w:tc>
          <w:tcPr>
            <w:tcW w:w="1123" w:type="dxa"/>
            <w:tcBorders>
              <w:top w:val="nil"/>
              <w:left w:val="nil"/>
              <w:bottom w:val="nil"/>
              <w:right w:val="nil"/>
            </w:tcBorders>
            <w:shd w:val="clear" w:color="000000" w:fill="FFFFFF"/>
            <w:noWrap/>
            <w:vAlign w:val="center"/>
            <w:hideMark/>
          </w:tcPr>
          <w:p w14:paraId="6271C0BD"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1.08</w:t>
            </w:r>
          </w:p>
        </w:tc>
        <w:tc>
          <w:tcPr>
            <w:tcW w:w="1163" w:type="dxa"/>
            <w:tcBorders>
              <w:top w:val="nil"/>
              <w:left w:val="nil"/>
              <w:bottom w:val="nil"/>
              <w:right w:val="nil"/>
            </w:tcBorders>
            <w:shd w:val="clear" w:color="000000" w:fill="FFFFFF"/>
            <w:noWrap/>
            <w:vAlign w:val="center"/>
            <w:hideMark/>
          </w:tcPr>
          <w:p w14:paraId="40FC0F7E"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-1.23</w:t>
            </w:r>
          </w:p>
        </w:tc>
        <w:tc>
          <w:tcPr>
            <w:tcW w:w="910" w:type="dxa"/>
            <w:tcBorders>
              <w:top w:val="nil"/>
              <w:left w:val="nil"/>
              <w:bottom w:val="nil"/>
              <w:right w:val="nil"/>
            </w:tcBorders>
            <w:shd w:val="clear" w:color="000000" w:fill="FFFFFF"/>
            <w:noWrap/>
            <w:vAlign w:val="center"/>
            <w:hideMark/>
          </w:tcPr>
          <w:p w14:paraId="20EB1FC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1.79</w:t>
            </w:r>
          </w:p>
        </w:tc>
        <w:tc>
          <w:tcPr>
            <w:tcW w:w="1123" w:type="dxa"/>
            <w:tcBorders>
              <w:top w:val="nil"/>
              <w:left w:val="nil"/>
              <w:bottom w:val="nil"/>
              <w:right w:val="nil"/>
            </w:tcBorders>
            <w:shd w:val="clear" w:color="000000" w:fill="FFFFFF"/>
            <w:noWrap/>
            <w:vAlign w:val="bottom"/>
            <w:hideMark/>
          </w:tcPr>
          <w:p w14:paraId="772EE84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0.55</w:t>
            </w:r>
          </w:p>
        </w:tc>
        <w:tc>
          <w:tcPr>
            <w:tcW w:w="1163" w:type="dxa"/>
            <w:tcBorders>
              <w:top w:val="nil"/>
              <w:left w:val="nil"/>
              <w:bottom w:val="nil"/>
              <w:right w:val="nil"/>
            </w:tcBorders>
            <w:shd w:val="clear" w:color="000000" w:fill="FFFFFF"/>
            <w:noWrap/>
            <w:vAlign w:val="center"/>
            <w:hideMark/>
          </w:tcPr>
          <w:p w14:paraId="5D9328C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1.23</w:t>
            </w:r>
          </w:p>
        </w:tc>
      </w:tr>
      <w:tr w:rsidR="006D6B2A" w:rsidRPr="006D6B2A" w14:paraId="4EED47B7" w14:textId="77777777" w:rsidTr="00203B42">
        <w:trPr>
          <w:trHeight w:val="383"/>
        </w:trPr>
        <w:tc>
          <w:tcPr>
            <w:tcW w:w="1880" w:type="dxa"/>
            <w:tcBorders>
              <w:top w:val="nil"/>
              <w:left w:val="nil"/>
              <w:bottom w:val="nil"/>
              <w:right w:val="nil"/>
            </w:tcBorders>
            <w:shd w:val="clear" w:color="000000" w:fill="FFFFFF"/>
            <w:noWrap/>
            <w:vAlign w:val="center"/>
            <w:hideMark/>
          </w:tcPr>
          <w:p w14:paraId="59D2D4A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Korea (KLoSA)</w:t>
            </w:r>
          </w:p>
        </w:tc>
        <w:tc>
          <w:tcPr>
            <w:tcW w:w="636" w:type="dxa"/>
            <w:tcBorders>
              <w:top w:val="nil"/>
              <w:left w:val="nil"/>
              <w:bottom w:val="nil"/>
              <w:right w:val="nil"/>
            </w:tcBorders>
            <w:shd w:val="clear" w:color="auto" w:fill="auto"/>
            <w:noWrap/>
            <w:vAlign w:val="bottom"/>
            <w:hideMark/>
          </w:tcPr>
          <w:p w14:paraId="083612E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4.76</w:t>
            </w:r>
          </w:p>
        </w:tc>
        <w:tc>
          <w:tcPr>
            <w:tcW w:w="1099" w:type="dxa"/>
            <w:tcBorders>
              <w:top w:val="nil"/>
              <w:left w:val="nil"/>
              <w:bottom w:val="nil"/>
              <w:right w:val="nil"/>
            </w:tcBorders>
            <w:shd w:val="clear" w:color="auto" w:fill="auto"/>
            <w:noWrap/>
            <w:vAlign w:val="bottom"/>
            <w:hideMark/>
          </w:tcPr>
          <w:p w14:paraId="1D8096F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3.27</w:t>
            </w:r>
          </w:p>
        </w:tc>
        <w:tc>
          <w:tcPr>
            <w:tcW w:w="1123" w:type="dxa"/>
            <w:tcBorders>
              <w:top w:val="nil"/>
              <w:left w:val="nil"/>
              <w:bottom w:val="nil"/>
              <w:right w:val="nil"/>
            </w:tcBorders>
            <w:shd w:val="clear" w:color="auto" w:fill="auto"/>
            <w:noWrap/>
            <w:vAlign w:val="bottom"/>
            <w:hideMark/>
          </w:tcPr>
          <w:p w14:paraId="692B5FA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3.84</w:t>
            </w:r>
          </w:p>
        </w:tc>
        <w:tc>
          <w:tcPr>
            <w:tcW w:w="1163" w:type="dxa"/>
            <w:tcBorders>
              <w:top w:val="nil"/>
              <w:left w:val="nil"/>
              <w:bottom w:val="nil"/>
              <w:right w:val="nil"/>
            </w:tcBorders>
            <w:shd w:val="clear" w:color="auto" w:fill="auto"/>
            <w:noWrap/>
            <w:vAlign w:val="bottom"/>
            <w:hideMark/>
          </w:tcPr>
          <w:p w14:paraId="4001B48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1C7698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1.49</w:t>
            </w:r>
          </w:p>
        </w:tc>
        <w:tc>
          <w:tcPr>
            <w:tcW w:w="1123" w:type="dxa"/>
            <w:tcBorders>
              <w:top w:val="nil"/>
              <w:left w:val="nil"/>
              <w:bottom w:val="nil"/>
              <w:right w:val="nil"/>
            </w:tcBorders>
            <w:shd w:val="clear" w:color="000000" w:fill="FFFFFF"/>
            <w:noWrap/>
            <w:vAlign w:val="bottom"/>
            <w:hideMark/>
          </w:tcPr>
          <w:p w14:paraId="0CB5CBC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0.92</w:t>
            </w:r>
          </w:p>
        </w:tc>
        <w:tc>
          <w:tcPr>
            <w:tcW w:w="1163" w:type="dxa"/>
            <w:tcBorders>
              <w:top w:val="nil"/>
              <w:left w:val="nil"/>
              <w:bottom w:val="nil"/>
              <w:right w:val="nil"/>
            </w:tcBorders>
            <w:shd w:val="clear" w:color="000000" w:fill="FFFFFF"/>
            <w:noWrap/>
            <w:vAlign w:val="center"/>
            <w:hideMark/>
          </w:tcPr>
          <w:p w14:paraId="3556685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31BE2D44" w14:textId="77777777" w:rsidTr="00203B42">
        <w:trPr>
          <w:trHeight w:val="293"/>
        </w:trPr>
        <w:tc>
          <w:tcPr>
            <w:tcW w:w="1880" w:type="dxa"/>
            <w:tcBorders>
              <w:top w:val="nil"/>
              <w:left w:val="nil"/>
              <w:bottom w:val="nil"/>
              <w:right w:val="nil"/>
            </w:tcBorders>
            <w:shd w:val="clear" w:color="auto" w:fill="auto"/>
            <w:noWrap/>
            <w:vAlign w:val="bottom"/>
            <w:hideMark/>
          </w:tcPr>
          <w:p w14:paraId="7FE51237" w14:textId="77777777" w:rsidR="006D6B2A" w:rsidRPr="006D6B2A" w:rsidRDefault="006D6B2A" w:rsidP="006D6B2A">
            <w:pPr>
              <w:spacing w:after="0" w:line="240" w:lineRule="auto"/>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England (ELSA)</w:t>
            </w:r>
          </w:p>
        </w:tc>
        <w:tc>
          <w:tcPr>
            <w:tcW w:w="636" w:type="dxa"/>
            <w:tcBorders>
              <w:top w:val="nil"/>
              <w:left w:val="nil"/>
              <w:bottom w:val="nil"/>
              <w:right w:val="nil"/>
            </w:tcBorders>
            <w:shd w:val="clear" w:color="auto" w:fill="auto"/>
            <w:noWrap/>
            <w:vAlign w:val="bottom"/>
            <w:hideMark/>
          </w:tcPr>
          <w:p w14:paraId="11F8C6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2.68</w:t>
            </w:r>
          </w:p>
        </w:tc>
        <w:tc>
          <w:tcPr>
            <w:tcW w:w="1099" w:type="dxa"/>
            <w:tcBorders>
              <w:top w:val="nil"/>
              <w:left w:val="nil"/>
              <w:bottom w:val="nil"/>
              <w:right w:val="nil"/>
            </w:tcBorders>
            <w:shd w:val="clear" w:color="auto" w:fill="auto"/>
            <w:noWrap/>
            <w:vAlign w:val="bottom"/>
            <w:hideMark/>
          </w:tcPr>
          <w:p w14:paraId="0FF3A71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1.60</w:t>
            </w:r>
          </w:p>
        </w:tc>
        <w:tc>
          <w:tcPr>
            <w:tcW w:w="1123" w:type="dxa"/>
            <w:tcBorders>
              <w:top w:val="nil"/>
              <w:left w:val="nil"/>
              <w:bottom w:val="nil"/>
              <w:right w:val="nil"/>
            </w:tcBorders>
            <w:shd w:val="clear" w:color="auto" w:fill="auto"/>
            <w:noWrap/>
            <w:vAlign w:val="bottom"/>
            <w:hideMark/>
          </w:tcPr>
          <w:p w14:paraId="115E246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1.77</w:t>
            </w:r>
          </w:p>
        </w:tc>
        <w:tc>
          <w:tcPr>
            <w:tcW w:w="1163" w:type="dxa"/>
            <w:tcBorders>
              <w:top w:val="nil"/>
              <w:left w:val="nil"/>
              <w:bottom w:val="nil"/>
              <w:right w:val="nil"/>
            </w:tcBorders>
            <w:shd w:val="clear" w:color="auto" w:fill="auto"/>
            <w:noWrap/>
            <w:vAlign w:val="bottom"/>
            <w:hideMark/>
          </w:tcPr>
          <w:p w14:paraId="63A65CD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-0.17</w:t>
            </w:r>
          </w:p>
        </w:tc>
        <w:tc>
          <w:tcPr>
            <w:tcW w:w="910" w:type="dxa"/>
            <w:tcBorders>
              <w:top w:val="nil"/>
              <w:left w:val="nil"/>
              <w:bottom w:val="nil"/>
              <w:right w:val="nil"/>
            </w:tcBorders>
            <w:shd w:val="clear" w:color="000000" w:fill="FFFFFF"/>
            <w:noWrap/>
            <w:vAlign w:val="center"/>
            <w:hideMark/>
          </w:tcPr>
          <w:p w14:paraId="0044F93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1.08</w:t>
            </w:r>
          </w:p>
        </w:tc>
        <w:tc>
          <w:tcPr>
            <w:tcW w:w="1123" w:type="dxa"/>
            <w:tcBorders>
              <w:top w:val="nil"/>
              <w:left w:val="nil"/>
              <w:bottom w:val="nil"/>
              <w:right w:val="nil"/>
            </w:tcBorders>
            <w:shd w:val="clear" w:color="000000" w:fill="FFFFFF"/>
            <w:noWrap/>
            <w:vAlign w:val="bottom"/>
            <w:hideMark/>
          </w:tcPr>
          <w:p w14:paraId="711909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89B880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0.17</w:t>
            </w:r>
          </w:p>
        </w:tc>
      </w:tr>
      <w:tr w:rsidR="006D6B2A" w:rsidRPr="006D6B2A" w14:paraId="0D6F77A4" w14:textId="77777777" w:rsidTr="00203B42">
        <w:trPr>
          <w:trHeight w:val="293"/>
        </w:trPr>
        <w:tc>
          <w:tcPr>
            <w:tcW w:w="1880" w:type="dxa"/>
            <w:tcBorders>
              <w:top w:val="nil"/>
              <w:left w:val="nil"/>
              <w:bottom w:val="nil"/>
              <w:right w:val="nil"/>
            </w:tcBorders>
            <w:shd w:val="clear" w:color="000000" w:fill="FFFFFF"/>
            <w:noWrap/>
            <w:vAlign w:val="center"/>
            <w:hideMark/>
          </w:tcPr>
          <w:p w14:paraId="67DB506F" w14:textId="77777777" w:rsidR="006D6B2A" w:rsidRPr="006D6B2A" w:rsidRDefault="006D6B2A" w:rsidP="006D6B2A">
            <w:pPr>
              <w:spacing w:after="0" w:line="240" w:lineRule="auto"/>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(SHARE)</w:t>
            </w:r>
          </w:p>
        </w:tc>
        <w:tc>
          <w:tcPr>
            <w:tcW w:w="636" w:type="dxa"/>
            <w:tcBorders>
              <w:top w:val="nil"/>
              <w:left w:val="nil"/>
              <w:bottom w:val="nil"/>
              <w:right w:val="nil"/>
            </w:tcBorders>
            <w:shd w:val="clear" w:color="000000" w:fill="FFFFFF"/>
            <w:noWrap/>
            <w:vAlign w:val="center"/>
            <w:hideMark/>
          </w:tcPr>
          <w:p w14:paraId="63A99E2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099" w:type="dxa"/>
            <w:tcBorders>
              <w:top w:val="nil"/>
              <w:left w:val="nil"/>
              <w:bottom w:val="nil"/>
              <w:right w:val="nil"/>
            </w:tcBorders>
            <w:shd w:val="clear" w:color="000000" w:fill="FFFFFF"/>
            <w:noWrap/>
            <w:vAlign w:val="center"/>
            <w:hideMark/>
          </w:tcPr>
          <w:p w14:paraId="7D24D9E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23" w:type="dxa"/>
            <w:tcBorders>
              <w:top w:val="nil"/>
              <w:left w:val="nil"/>
              <w:bottom w:val="nil"/>
              <w:right w:val="nil"/>
            </w:tcBorders>
            <w:shd w:val="clear" w:color="000000" w:fill="FFFFFF"/>
            <w:noWrap/>
            <w:vAlign w:val="bottom"/>
            <w:hideMark/>
          </w:tcPr>
          <w:p w14:paraId="09C7E19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auto" w:fill="auto"/>
            <w:noWrap/>
            <w:vAlign w:val="bottom"/>
            <w:hideMark/>
          </w:tcPr>
          <w:p w14:paraId="5426F92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p>
        </w:tc>
        <w:tc>
          <w:tcPr>
            <w:tcW w:w="910" w:type="dxa"/>
            <w:tcBorders>
              <w:top w:val="nil"/>
              <w:left w:val="nil"/>
              <w:bottom w:val="nil"/>
              <w:right w:val="nil"/>
            </w:tcBorders>
            <w:shd w:val="clear" w:color="auto" w:fill="auto"/>
            <w:noWrap/>
            <w:vAlign w:val="bottom"/>
            <w:hideMark/>
          </w:tcPr>
          <w:p w14:paraId="76316B6A" w14:textId="77777777" w:rsidR="006D6B2A" w:rsidRPr="006D6B2A" w:rsidRDefault="006D6B2A" w:rsidP="006D6B2A">
            <w:pPr>
              <w:spacing w:after="0" w:line="240" w:lineRule="auto"/>
              <w:jc w:val="center"/>
              <w:rPr>
                <w:rFonts w:ascii="Times New Roman" w:eastAsia="Times New Roman" w:hAnsi="Times New Roman" w:cs="Times New Roman"/>
                <w:sz w:val="20"/>
                <w:szCs w:val="20"/>
              </w:rPr>
            </w:pPr>
          </w:p>
        </w:tc>
        <w:tc>
          <w:tcPr>
            <w:tcW w:w="1123" w:type="dxa"/>
            <w:tcBorders>
              <w:top w:val="nil"/>
              <w:left w:val="nil"/>
              <w:bottom w:val="nil"/>
              <w:right w:val="nil"/>
            </w:tcBorders>
            <w:shd w:val="clear" w:color="000000" w:fill="FFFFFF"/>
            <w:noWrap/>
            <w:vAlign w:val="bottom"/>
            <w:hideMark/>
          </w:tcPr>
          <w:p w14:paraId="60F2B35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c>
          <w:tcPr>
            <w:tcW w:w="1163" w:type="dxa"/>
            <w:tcBorders>
              <w:top w:val="nil"/>
              <w:left w:val="nil"/>
              <w:bottom w:val="nil"/>
              <w:right w:val="nil"/>
            </w:tcBorders>
            <w:shd w:val="clear" w:color="000000" w:fill="FFFFFF"/>
            <w:noWrap/>
            <w:vAlign w:val="center"/>
            <w:hideMark/>
          </w:tcPr>
          <w:p w14:paraId="59D64DB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 </w:t>
            </w:r>
          </w:p>
        </w:tc>
      </w:tr>
      <w:tr w:rsidR="006D6B2A" w:rsidRPr="006D6B2A" w14:paraId="1DA9FF7D" w14:textId="77777777" w:rsidTr="00203B42">
        <w:trPr>
          <w:trHeight w:val="298"/>
        </w:trPr>
        <w:tc>
          <w:tcPr>
            <w:tcW w:w="1880" w:type="dxa"/>
            <w:tcBorders>
              <w:top w:val="nil"/>
              <w:left w:val="nil"/>
              <w:bottom w:val="nil"/>
              <w:right w:val="nil"/>
            </w:tcBorders>
            <w:shd w:val="clear" w:color="000000" w:fill="FFFFFF"/>
            <w:vAlign w:val="center"/>
            <w:hideMark/>
          </w:tcPr>
          <w:p w14:paraId="084D771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Europe (</w:t>
            </w:r>
            <w:r w:rsidRPr="006D6B2A">
              <w:rPr>
                <w:rFonts w:ascii="Times New Roman" w:eastAsia="Times New Roman" w:hAnsi="Times New Roman" w:cs="Times New Roman"/>
                <w:i/>
                <w:iCs/>
                <w:sz w:val="24"/>
                <w:szCs w:val="24"/>
              </w:rPr>
              <w:t>Pooled</w:t>
            </w:r>
            <w:r w:rsidRPr="006D6B2A">
              <w:rPr>
                <w:rFonts w:ascii="Times New Roman" w:eastAsia="Times New Roman" w:hAnsi="Times New Roman" w:cs="Times New Roman"/>
                <w:sz w:val="24"/>
                <w:szCs w:val="24"/>
              </w:rPr>
              <w:t>)</w:t>
            </w:r>
          </w:p>
        </w:tc>
        <w:tc>
          <w:tcPr>
            <w:tcW w:w="636" w:type="dxa"/>
            <w:tcBorders>
              <w:top w:val="nil"/>
              <w:left w:val="nil"/>
              <w:bottom w:val="nil"/>
              <w:right w:val="nil"/>
            </w:tcBorders>
            <w:shd w:val="clear" w:color="auto" w:fill="auto"/>
            <w:noWrap/>
            <w:vAlign w:val="center"/>
            <w:hideMark/>
          </w:tcPr>
          <w:p w14:paraId="1EDF77A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4.01</w:t>
            </w:r>
          </w:p>
        </w:tc>
        <w:tc>
          <w:tcPr>
            <w:tcW w:w="1099" w:type="dxa"/>
            <w:tcBorders>
              <w:top w:val="nil"/>
              <w:left w:val="nil"/>
              <w:bottom w:val="nil"/>
              <w:right w:val="nil"/>
            </w:tcBorders>
            <w:shd w:val="clear" w:color="auto" w:fill="auto"/>
            <w:noWrap/>
            <w:vAlign w:val="center"/>
            <w:hideMark/>
          </w:tcPr>
          <w:p w14:paraId="7DFD9BD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1.94</w:t>
            </w:r>
          </w:p>
        </w:tc>
        <w:tc>
          <w:tcPr>
            <w:tcW w:w="1123" w:type="dxa"/>
            <w:tcBorders>
              <w:top w:val="nil"/>
              <w:left w:val="nil"/>
              <w:bottom w:val="nil"/>
              <w:right w:val="nil"/>
            </w:tcBorders>
            <w:shd w:val="clear" w:color="auto" w:fill="auto"/>
            <w:noWrap/>
            <w:vAlign w:val="center"/>
            <w:hideMark/>
          </w:tcPr>
          <w:p w14:paraId="054FF8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2.72</w:t>
            </w:r>
          </w:p>
        </w:tc>
        <w:tc>
          <w:tcPr>
            <w:tcW w:w="1163" w:type="dxa"/>
            <w:tcBorders>
              <w:top w:val="nil"/>
              <w:left w:val="nil"/>
              <w:bottom w:val="nil"/>
              <w:right w:val="nil"/>
            </w:tcBorders>
            <w:shd w:val="clear" w:color="auto" w:fill="auto"/>
            <w:noWrap/>
            <w:vAlign w:val="center"/>
            <w:hideMark/>
          </w:tcPr>
          <w:p w14:paraId="67F44A6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-0.78</w:t>
            </w:r>
          </w:p>
        </w:tc>
        <w:tc>
          <w:tcPr>
            <w:tcW w:w="910" w:type="dxa"/>
            <w:tcBorders>
              <w:top w:val="nil"/>
              <w:left w:val="nil"/>
              <w:bottom w:val="nil"/>
              <w:right w:val="nil"/>
            </w:tcBorders>
            <w:shd w:val="clear" w:color="000000" w:fill="FFFFFF"/>
            <w:noWrap/>
            <w:vAlign w:val="center"/>
            <w:hideMark/>
          </w:tcPr>
          <w:p w14:paraId="21D73B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2.07</w:t>
            </w:r>
          </w:p>
        </w:tc>
        <w:tc>
          <w:tcPr>
            <w:tcW w:w="1123" w:type="dxa"/>
            <w:tcBorders>
              <w:top w:val="nil"/>
              <w:left w:val="nil"/>
              <w:bottom w:val="nil"/>
              <w:right w:val="nil"/>
            </w:tcBorders>
            <w:shd w:val="clear" w:color="000000" w:fill="FFFFFF"/>
            <w:noWrap/>
            <w:vAlign w:val="bottom"/>
            <w:hideMark/>
          </w:tcPr>
          <w:p w14:paraId="590D58D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1.29</w:t>
            </w:r>
          </w:p>
        </w:tc>
        <w:tc>
          <w:tcPr>
            <w:tcW w:w="1163" w:type="dxa"/>
            <w:tcBorders>
              <w:top w:val="nil"/>
              <w:left w:val="nil"/>
              <w:bottom w:val="nil"/>
              <w:right w:val="nil"/>
            </w:tcBorders>
            <w:shd w:val="clear" w:color="000000" w:fill="FFFFFF"/>
            <w:noWrap/>
            <w:vAlign w:val="center"/>
            <w:hideMark/>
          </w:tcPr>
          <w:p w14:paraId="70162C2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0.78</w:t>
            </w:r>
          </w:p>
        </w:tc>
      </w:tr>
      <w:tr w:rsidR="006D6B2A" w:rsidRPr="006D6B2A" w14:paraId="39D4DEB3" w14:textId="77777777" w:rsidTr="00203B42">
        <w:trPr>
          <w:trHeight w:val="293"/>
        </w:trPr>
        <w:tc>
          <w:tcPr>
            <w:tcW w:w="1880" w:type="dxa"/>
            <w:tcBorders>
              <w:top w:val="nil"/>
              <w:left w:val="nil"/>
              <w:bottom w:val="nil"/>
              <w:right w:val="nil"/>
            </w:tcBorders>
            <w:shd w:val="clear" w:color="000000" w:fill="FFFFFF"/>
            <w:noWrap/>
            <w:vAlign w:val="center"/>
            <w:hideMark/>
          </w:tcPr>
          <w:p w14:paraId="1DBB0DF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Austria</w:t>
            </w:r>
          </w:p>
        </w:tc>
        <w:tc>
          <w:tcPr>
            <w:tcW w:w="636" w:type="dxa"/>
            <w:tcBorders>
              <w:top w:val="nil"/>
              <w:left w:val="nil"/>
              <w:bottom w:val="nil"/>
              <w:right w:val="nil"/>
            </w:tcBorders>
            <w:shd w:val="clear" w:color="auto" w:fill="auto"/>
            <w:noWrap/>
            <w:vAlign w:val="bottom"/>
            <w:hideMark/>
          </w:tcPr>
          <w:p w14:paraId="2C1489D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3.70</w:t>
            </w:r>
          </w:p>
        </w:tc>
        <w:tc>
          <w:tcPr>
            <w:tcW w:w="1099" w:type="dxa"/>
            <w:tcBorders>
              <w:top w:val="nil"/>
              <w:left w:val="nil"/>
              <w:bottom w:val="nil"/>
              <w:right w:val="nil"/>
            </w:tcBorders>
            <w:shd w:val="clear" w:color="auto" w:fill="auto"/>
            <w:noWrap/>
            <w:vAlign w:val="bottom"/>
            <w:hideMark/>
          </w:tcPr>
          <w:p w14:paraId="2AF9ACC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2.06</w:t>
            </w:r>
          </w:p>
        </w:tc>
        <w:tc>
          <w:tcPr>
            <w:tcW w:w="1123" w:type="dxa"/>
            <w:tcBorders>
              <w:top w:val="nil"/>
              <w:left w:val="nil"/>
              <w:bottom w:val="nil"/>
              <w:right w:val="nil"/>
            </w:tcBorders>
            <w:shd w:val="clear" w:color="auto" w:fill="auto"/>
            <w:noWrap/>
            <w:vAlign w:val="bottom"/>
            <w:hideMark/>
          </w:tcPr>
          <w:p w14:paraId="4766A2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2.63</w:t>
            </w:r>
          </w:p>
        </w:tc>
        <w:tc>
          <w:tcPr>
            <w:tcW w:w="1163" w:type="dxa"/>
            <w:tcBorders>
              <w:top w:val="nil"/>
              <w:left w:val="nil"/>
              <w:bottom w:val="nil"/>
              <w:right w:val="nil"/>
            </w:tcBorders>
            <w:shd w:val="clear" w:color="auto" w:fill="auto"/>
            <w:noWrap/>
            <w:vAlign w:val="bottom"/>
            <w:hideMark/>
          </w:tcPr>
          <w:p w14:paraId="47747ED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-0.58</w:t>
            </w:r>
          </w:p>
        </w:tc>
        <w:tc>
          <w:tcPr>
            <w:tcW w:w="910" w:type="dxa"/>
            <w:tcBorders>
              <w:top w:val="nil"/>
              <w:left w:val="nil"/>
              <w:bottom w:val="nil"/>
              <w:right w:val="nil"/>
            </w:tcBorders>
            <w:shd w:val="clear" w:color="000000" w:fill="FFFFFF"/>
            <w:noWrap/>
            <w:vAlign w:val="center"/>
            <w:hideMark/>
          </w:tcPr>
          <w:p w14:paraId="5B32A1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1.64</w:t>
            </w:r>
          </w:p>
        </w:tc>
        <w:tc>
          <w:tcPr>
            <w:tcW w:w="1123" w:type="dxa"/>
            <w:tcBorders>
              <w:top w:val="nil"/>
              <w:left w:val="nil"/>
              <w:bottom w:val="nil"/>
              <w:right w:val="nil"/>
            </w:tcBorders>
            <w:shd w:val="clear" w:color="000000" w:fill="FFFFFF"/>
            <w:noWrap/>
            <w:vAlign w:val="bottom"/>
            <w:hideMark/>
          </w:tcPr>
          <w:p w14:paraId="40582F6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121E920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0.58</w:t>
            </w:r>
          </w:p>
        </w:tc>
      </w:tr>
      <w:tr w:rsidR="006D6B2A" w:rsidRPr="006D6B2A" w14:paraId="3383535B" w14:textId="77777777" w:rsidTr="00203B42">
        <w:trPr>
          <w:trHeight w:val="293"/>
        </w:trPr>
        <w:tc>
          <w:tcPr>
            <w:tcW w:w="1880" w:type="dxa"/>
            <w:tcBorders>
              <w:top w:val="nil"/>
              <w:left w:val="nil"/>
              <w:bottom w:val="nil"/>
              <w:right w:val="nil"/>
            </w:tcBorders>
            <w:shd w:val="clear" w:color="000000" w:fill="FFFFFF"/>
            <w:noWrap/>
            <w:vAlign w:val="center"/>
            <w:hideMark/>
          </w:tcPr>
          <w:p w14:paraId="36704F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Belgium</w:t>
            </w:r>
          </w:p>
        </w:tc>
        <w:tc>
          <w:tcPr>
            <w:tcW w:w="636" w:type="dxa"/>
            <w:tcBorders>
              <w:top w:val="nil"/>
              <w:left w:val="nil"/>
              <w:bottom w:val="nil"/>
              <w:right w:val="nil"/>
            </w:tcBorders>
            <w:shd w:val="clear" w:color="auto" w:fill="auto"/>
            <w:noWrap/>
            <w:vAlign w:val="bottom"/>
            <w:hideMark/>
          </w:tcPr>
          <w:p w14:paraId="0DB205A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3.53</w:t>
            </w:r>
          </w:p>
        </w:tc>
        <w:tc>
          <w:tcPr>
            <w:tcW w:w="1099" w:type="dxa"/>
            <w:tcBorders>
              <w:top w:val="nil"/>
              <w:left w:val="nil"/>
              <w:bottom w:val="nil"/>
              <w:right w:val="nil"/>
            </w:tcBorders>
            <w:shd w:val="clear" w:color="auto" w:fill="auto"/>
            <w:noWrap/>
            <w:vAlign w:val="bottom"/>
            <w:hideMark/>
          </w:tcPr>
          <w:p w14:paraId="018E8DA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0.98</w:t>
            </w:r>
          </w:p>
        </w:tc>
        <w:tc>
          <w:tcPr>
            <w:tcW w:w="1123" w:type="dxa"/>
            <w:tcBorders>
              <w:top w:val="nil"/>
              <w:left w:val="nil"/>
              <w:bottom w:val="nil"/>
              <w:right w:val="nil"/>
            </w:tcBorders>
            <w:shd w:val="clear" w:color="auto" w:fill="auto"/>
            <w:noWrap/>
            <w:vAlign w:val="bottom"/>
            <w:hideMark/>
          </w:tcPr>
          <w:p w14:paraId="54DD719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2.32</w:t>
            </w:r>
          </w:p>
        </w:tc>
        <w:tc>
          <w:tcPr>
            <w:tcW w:w="1163" w:type="dxa"/>
            <w:tcBorders>
              <w:top w:val="nil"/>
              <w:left w:val="nil"/>
              <w:bottom w:val="nil"/>
              <w:right w:val="nil"/>
            </w:tcBorders>
            <w:shd w:val="clear" w:color="auto" w:fill="auto"/>
            <w:noWrap/>
            <w:vAlign w:val="bottom"/>
            <w:hideMark/>
          </w:tcPr>
          <w:p w14:paraId="4E5CC9D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-1.34</w:t>
            </w:r>
          </w:p>
        </w:tc>
        <w:tc>
          <w:tcPr>
            <w:tcW w:w="910" w:type="dxa"/>
            <w:tcBorders>
              <w:top w:val="nil"/>
              <w:left w:val="nil"/>
              <w:bottom w:val="nil"/>
              <w:right w:val="nil"/>
            </w:tcBorders>
            <w:shd w:val="clear" w:color="000000" w:fill="FFFFFF"/>
            <w:noWrap/>
            <w:vAlign w:val="center"/>
            <w:hideMark/>
          </w:tcPr>
          <w:p w14:paraId="58B708D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2.55</w:t>
            </w:r>
          </w:p>
        </w:tc>
        <w:tc>
          <w:tcPr>
            <w:tcW w:w="1123" w:type="dxa"/>
            <w:tcBorders>
              <w:top w:val="nil"/>
              <w:left w:val="nil"/>
              <w:bottom w:val="nil"/>
              <w:right w:val="nil"/>
            </w:tcBorders>
            <w:shd w:val="clear" w:color="000000" w:fill="FFFFFF"/>
            <w:noWrap/>
            <w:vAlign w:val="bottom"/>
            <w:hideMark/>
          </w:tcPr>
          <w:p w14:paraId="00DA85C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1.21</w:t>
            </w:r>
          </w:p>
        </w:tc>
        <w:tc>
          <w:tcPr>
            <w:tcW w:w="1163" w:type="dxa"/>
            <w:tcBorders>
              <w:top w:val="nil"/>
              <w:left w:val="nil"/>
              <w:bottom w:val="nil"/>
              <w:right w:val="nil"/>
            </w:tcBorders>
            <w:shd w:val="clear" w:color="000000" w:fill="FFFFFF"/>
            <w:noWrap/>
            <w:vAlign w:val="center"/>
            <w:hideMark/>
          </w:tcPr>
          <w:p w14:paraId="5A4C13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r>
      <w:tr w:rsidR="006D6B2A" w:rsidRPr="006D6B2A" w14:paraId="305246A1" w14:textId="77777777" w:rsidTr="00203B42">
        <w:trPr>
          <w:trHeight w:val="293"/>
        </w:trPr>
        <w:tc>
          <w:tcPr>
            <w:tcW w:w="1880" w:type="dxa"/>
            <w:tcBorders>
              <w:top w:val="nil"/>
              <w:left w:val="nil"/>
              <w:bottom w:val="nil"/>
              <w:right w:val="nil"/>
            </w:tcBorders>
            <w:shd w:val="clear" w:color="000000" w:fill="FFFFFF"/>
            <w:noWrap/>
            <w:vAlign w:val="center"/>
            <w:hideMark/>
          </w:tcPr>
          <w:p w14:paraId="50219E8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Croatia</w:t>
            </w:r>
          </w:p>
        </w:tc>
        <w:tc>
          <w:tcPr>
            <w:tcW w:w="636" w:type="dxa"/>
            <w:tcBorders>
              <w:top w:val="nil"/>
              <w:left w:val="nil"/>
              <w:bottom w:val="nil"/>
              <w:right w:val="nil"/>
            </w:tcBorders>
            <w:shd w:val="clear" w:color="auto" w:fill="auto"/>
            <w:noWrap/>
            <w:vAlign w:val="bottom"/>
            <w:hideMark/>
          </w:tcPr>
          <w:p w14:paraId="34CA898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4.25</w:t>
            </w:r>
          </w:p>
        </w:tc>
        <w:tc>
          <w:tcPr>
            <w:tcW w:w="1099" w:type="dxa"/>
            <w:tcBorders>
              <w:top w:val="nil"/>
              <w:left w:val="nil"/>
              <w:bottom w:val="nil"/>
              <w:right w:val="nil"/>
            </w:tcBorders>
            <w:shd w:val="clear" w:color="auto" w:fill="auto"/>
            <w:noWrap/>
            <w:vAlign w:val="bottom"/>
            <w:hideMark/>
          </w:tcPr>
          <w:p w14:paraId="590B425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2.09</w:t>
            </w:r>
          </w:p>
        </w:tc>
        <w:tc>
          <w:tcPr>
            <w:tcW w:w="1123" w:type="dxa"/>
            <w:tcBorders>
              <w:top w:val="nil"/>
              <w:left w:val="nil"/>
              <w:bottom w:val="nil"/>
              <w:right w:val="nil"/>
            </w:tcBorders>
            <w:shd w:val="clear" w:color="auto" w:fill="auto"/>
            <w:noWrap/>
            <w:vAlign w:val="bottom"/>
            <w:hideMark/>
          </w:tcPr>
          <w:p w14:paraId="1FFC907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3.20</w:t>
            </w:r>
          </w:p>
        </w:tc>
        <w:tc>
          <w:tcPr>
            <w:tcW w:w="1163" w:type="dxa"/>
            <w:tcBorders>
              <w:top w:val="nil"/>
              <w:left w:val="nil"/>
              <w:bottom w:val="nil"/>
              <w:right w:val="nil"/>
            </w:tcBorders>
            <w:shd w:val="clear" w:color="auto" w:fill="auto"/>
            <w:noWrap/>
            <w:vAlign w:val="bottom"/>
            <w:hideMark/>
          </w:tcPr>
          <w:p w14:paraId="374014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-1.12</w:t>
            </w:r>
          </w:p>
        </w:tc>
        <w:tc>
          <w:tcPr>
            <w:tcW w:w="910" w:type="dxa"/>
            <w:tcBorders>
              <w:top w:val="nil"/>
              <w:left w:val="nil"/>
              <w:bottom w:val="nil"/>
              <w:right w:val="nil"/>
            </w:tcBorders>
            <w:shd w:val="clear" w:color="000000" w:fill="FFFFFF"/>
            <w:noWrap/>
            <w:vAlign w:val="center"/>
            <w:hideMark/>
          </w:tcPr>
          <w:p w14:paraId="306EC7A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2.16</w:t>
            </w:r>
          </w:p>
        </w:tc>
        <w:tc>
          <w:tcPr>
            <w:tcW w:w="1123" w:type="dxa"/>
            <w:tcBorders>
              <w:top w:val="nil"/>
              <w:left w:val="nil"/>
              <w:bottom w:val="nil"/>
              <w:right w:val="nil"/>
            </w:tcBorders>
            <w:shd w:val="clear" w:color="000000" w:fill="FFFFFF"/>
            <w:noWrap/>
            <w:vAlign w:val="bottom"/>
            <w:hideMark/>
          </w:tcPr>
          <w:p w14:paraId="24EEDE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1.05</w:t>
            </w:r>
          </w:p>
        </w:tc>
        <w:tc>
          <w:tcPr>
            <w:tcW w:w="1163" w:type="dxa"/>
            <w:tcBorders>
              <w:top w:val="nil"/>
              <w:left w:val="nil"/>
              <w:bottom w:val="nil"/>
              <w:right w:val="nil"/>
            </w:tcBorders>
            <w:shd w:val="clear" w:color="000000" w:fill="FFFFFF"/>
            <w:noWrap/>
            <w:vAlign w:val="center"/>
            <w:hideMark/>
          </w:tcPr>
          <w:p w14:paraId="7ADDF6C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r>
      <w:tr w:rsidR="006D6B2A" w:rsidRPr="006D6B2A" w14:paraId="41B53536" w14:textId="77777777" w:rsidTr="00203B42">
        <w:trPr>
          <w:trHeight w:val="293"/>
        </w:trPr>
        <w:tc>
          <w:tcPr>
            <w:tcW w:w="1880" w:type="dxa"/>
            <w:tcBorders>
              <w:top w:val="nil"/>
              <w:left w:val="nil"/>
              <w:bottom w:val="nil"/>
              <w:right w:val="nil"/>
            </w:tcBorders>
            <w:shd w:val="clear" w:color="000000" w:fill="FFFFFF"/>
            <w:noWrap/>
            <w:vAlign w:val="center"/>
            <w:hideMark/>
          </w:tcPr>
          <w:p w14:paraId="5F6C69D3"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Czechia</w:t>
            </w:r>
          </w:p>
        </w:tc>
        <w:tc>
          <w:tcPr>
            <w:tcW w:w="636" w:type="dxa"/>
            <w:tcBorders>
              <w:top w:val="nil"/>
              <w:left w:val="nil"/>
              <w:bottom w:val="nil"/>
              <w:right w:val="nil"/>
            </w:tcBorders>
            <w:shd w:val="clear" w:color="auto" w:fill="auto"/>
            <w:noWrap/>
            <w:vAlign w:val="bottom"/>
            <w:hideMark/>
          </w:tcPr>
          <w:p w14:paraId="5D24AD9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4.17</w:t>
            </w:r>
          </w:p>
        </w:tc>
        <w:tc>
          <w:tcPr>
            <w:tcW w:w="1099" w:type="dxa"/>
            <w:tcBorders>
              <w:top w:val="nil"/>
              <w:left w:val="nil"/>
              <w:bottom w:val="nil"/>
              <w:right w:val="nil"/>
            </w:tcBorders>
            <w:shd w:val="clear" w:color="auto" w:fill="auto"/>
            <w:noWrap/>
            <w:vAlign w:val="bottom"/>
            <w:hideMark/>
          </w:tcPr>
          <w:p w14:paraId="6324C0A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2.49</w:t>
            </w:r>
          </w:p>
        </w:tc>
        <w:tc>
          <w:tcPr>
            <w:tcW w:w="1123" w:type="dxa"/>
            <w:tcBorders>
              <w:top w:val="nil"/>
              <w:left w:val="nil"/>
              <w:bottom w:val="nil"/>
              <w:right w:val="nil"/>
            </w:tcBorders>
            <w:shd w:val="clear" w:color="auto" w:fill="auto"/>
            <w:noWrap/>
            <w:vAlign w:val="bottom"/>
            <w:hideMark/>
          </w:tcPr>
          <w:p w14:paraId="13FF294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3.05</w:t>
            </w:r>
          </w:p>
        </w:tc>
        <w:tc>
          <w:tcPr>
            <w:tcW w:w="1163" w:type="dxa"/>
            <w:tcBorders>
              <w:top w:val="nil"/>
              <w:left w:val="nil"/>
              <w:bottom w:val="nil"/>
              <w:right w:val="nil"/>
            </w:tcBorders>
            <w:shd w:val="clear" w:color="auto" w:fill="auto"/>
            <w:noWrap/>
            <w:vAlign w:val="bottom"/>
            <w:hideMark/>
          </w:tcPr>
          <w:p w14:paraId="3EE01AA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-0.57</w:t>
            </w:r>
          </w:p>
        </w:tc>
        <w:tc>
          <w:tcPr>
            <w:tcW w:w="910" w:type="dxa"/>
            <w:tcBorders>
              <w:top w:val="nil"/>
              <w:left w:val="nil"/>
              <w:bottom w:val="nil"/>
              <w:right w:val="nil"/>
            </w:tcBorders>
            <w:shd w:val="clear" w:color="000000" w:fill="FFFFFF"/>
            <w:noWrap/>
            <w:vAlign w:val="center"/>
            <w:hideMark/>
          </w:tcPr>
          <w:p w14:paraId="366B74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1.68</w:t>
            </w:r>
          </w:p>
        </w:tc>
        <w:tc>
          <w:tcPr>
            <w:tcW w:w="1123" w:type="dxa"/>
            <w:tcBorders>
              <w:top w:val="nil"/>
              <w:left w:val="nil"/>
              <w:bottom w:val="nil"/>
              <w:right w:val="nil"/>
            </w:tcBorders>
            <w:shd w:val="clear" w:color="000000" w:fill="FFFFFF"/>
            <w:noWrap/>
            <w:vAlign w:val="bottom"/>
            <w:hideMark/>
          </w:tcPr>
          <w:p w14:paraId="53707B8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1.12</w:t>
            </w:r>
          </w:p>
        </w:tc>
        <w:tc>
          <w:tcPr>
            <w:tcW w:w="1163" w:type="dxa"/>
            <w:tcBorders>
              <w:top w:val="nil"/>
              <w:left w:val="nil"/>
              <w:bottom w:val="nil"/>
              <w:right w:val="nil"/>
            </w:tcBorders>
            <w:shd w:val="clear" w:color="000000" w:fill="FFFFFF"/>
            <w:noWrap/>
            <w:vAlign w:val="center"/>
            <w:hideMark/>
          </w:tcPr>
          <w:p w14:paraId="1D402AC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0.57</w:t>
            </w:r>
          </w:p>
        </w:tc>
      </w:tr>
      <w:tr w:rsidR="006D6B2A" w:rsidRPr="006D6B2A" w14:paraId="7D4E85F6" w14:textId="77777777" w:rsidTr="00203B42">
        <w:trPr>
          <w:trHeight w:val="293"/>
        </w:trPr>
        <w:tc>
          <w:tcPr>
            <w:tcW w:w="1880" w:type="dxa"/>
            <w:tcBorders>
              <w:top w:val="nil"/>
              <w:left w:val="nil"/>
              <w:bottom w:val="nil"/>
              <w:right w:val="nil"/>
            </w:tcBorders>
            <w:shd w:val="clear" w:color="000000" w:fill="FFFFFF"/>
            <w:noWrap/>
            <w:vAlign w:val="center"/>
            <w:hideMark/>
          </w:tcPr>
          <w:p w14:paraId="5FC71F33"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Denmark</w:t>
            </w:r>
          </w:p>
        </w:tc>
        <w:tc>
          <w:tcPr>
            <w:tcW w:w="636" w:type="dxa"/>
            <w:tcBorders>
              <w:top w:val="nil"/>
              <w:left w:val="nil"/>
              <w:bottom w:val="nil"/>
              <w:right w:val="nil"/>
            </w:tcBorders>
            <w:shd w:val="clear" w:color="auto" w:fill="auto"/>
            <w:noWrap/>
            <w:vAlign w:val="bottom"/>
            <w:hideMark/>
          </w:tcPr>
          <w:p w14:paraId="7504C569"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3.00</w:t>
            </w:r>
          </w:p>
        </w:tc>
        <w:tc>
          <w:tcPr>
            <w:tcW w:w="1099" w:type="dxa"/>
            <w:tcBorders>
              <w:top w:val="nil"/>
              <w:left w:val="nil"/>
              <w:bottom w:val="nil"/>
              <w:right w:val="nil"/>
            </w:tcBorders>
            <w:shd w:val="clear" w:color="auto" w:fill="auto"/>
            <w:noWrap/>
            <w:vAlign w:val="bottom"/>
            <w:hideMark/>
          </w:tcPr>
          <w:p w14:paraId="53163DD6"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1123" w:type="dxa"/>
            <w:tcBorders>
              <w:top w:val="nil"/>
              <w:left w:val="nil"/>
              <w:bottom w:val="nil"/>
              <w:right w:val="nil"/>
            </w:tcBorders>
            <w:shd w:val="clear" w:color="auto" w:fill="auto"/>
            <w:noWrap/>
            <w:vAlign w:val="bottom"/>
            <w:hideMark/>
          </w:tcPr>
          <w:p w14:paraId="174F1BC7"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2.29</w:t>
            </w:r>
          </w:p>
        </w:tc>
        <w:tc>
          <w:tcPr>
            <w:tcW w:w="1163" w:type="dxa"/>
            <w:tcBorders>
              <w:top w:val="nil"/>
              <w:left w:val="nil"/>
              <w:bottom w:val="nil"/>
              <w:right w:val="nil"/>
            </w:tcBorders>
            <w:shd w:val="clear" w:color="000000" w:fill="FFFFFF"/>
            <w:noWrap/>
            <w:vAlign w:val="bottom"/>
            <w:hideMark/>
          </w:tcPr>
          <w:p w14:paraId="50E95D62" w14:textId="77777777" w:rsidR="006D6B2A" w:rsidRPr="006D6B2A" w:rsidRDefault="006D6B2A" w:rsidP="006D6B2A">
            <w:pPr>
              <w:spacing w:after="0" w:line="240" w:lineRule="auto"/>
              <w:jc w:val="center"/>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0.62</w:t>
            </w:r>
          </w:p>
        </w:tc>
        <w:tc>
          <w:tcPr>
            <w:tcW w:w="910" w:type="dxa"/>
            <w:tcBorders>
              <w:top w:val="nil"/>
              <w:left w:val="nil"/>
              <w:bottom w:val="nil"/>
              <w:right w:val="nil"/>
            </w:tcBorders>
            <w:shd w:val="clear" w:color="000000" w:fill="FFFFFF"/>
            <w:noWrap/>
            <w:vAlign w:val="center"/>
            <w:hideMark/>
          </w:tcPr>
          <w:p w14:paraId="23B06C5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0.08</w:t>
            </w:r>
          </w:p>
        </w:tc>
        <w:tc>
          <w:tcPr>
            <w:tcW w:w="1123" w:type="dxa"/>
            <w:tcBorders>
              <w:top w:val="nil"/>
              <w:left w:val="nil"/>
              <w:bottom w:val="nil"/>
              <w:right w:val="nil"/>
            </w:tcBorders>
            <w:shd w:val="clear" w:color="000000" w:fill="FFFFFF"/>
            <w:noWrap/>
            <w:vAlign w:val="bottom"/>
            <w:hideMark/>
          </w:tcPr>
          <w:p w14:paraId="423A1DF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63" w:type="dxa"/>
            <w:tcBorders>
              <w:top w:val="nil"/>
              <w:left w:val="nil"/>
              <w:bottom w:val="nil"/>
              <w:right w:val="nil"/>
            </w:tcBorders>
            <w:shd w:val="clear" w:color="000000" w:fill="FFFFFF"/>
            <w:noWrap/>
            <w:vAlign w:val="center"/>
            <w:hideMark/>
          </w:tcPr>
          <w:p w14:paraId="4A9CD2C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-0.62</w:t>
            </w:r>
          </w:p>
        </w:tc>
      </w:tr>
      <w:tr w:rsidR="006D6B2A" w:rsidRPr="006D6B2A" w14:paraId="07CE1668" w14:textId="77777777" w:rsidTr="00203B42">
        <w:trPr>
          <w:trHeight w:val="293"/>
        </w:trPr>
        <w:tc>
          <w:tcPr>
            <w:tcW w:w="1880" w:type="dxa"/>
            <w:tcBorders>
              <w:top w:val="nil"/>
              <w:left w:val="nil"/>
              <w:bottom w:val="nil"/>
              <w:right w:val="nil"/>
            </w:tcBorders>
            <w:shd w:val="clear" w:color="000000" w:fill="FFFFFF"/>
            <w:noWrap/>
            <w:vAlign w:val="center"/>
            <w:hideMark/>
          </w:tcPr>
          <w:p w14:paraId="487629A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Estonia</w:t>
            </w:r>
          </w:p>
        </w:tc>
        <w:tc>
          <w:tcPr>
            <w:tcW w:w="636" w:type="dxa"/>
            <w:tcBorders>
              <w:top w:val="nil"/>
              <w:left w:val="nil"/>
              <w:bottom w:val="nil"/>
              <w:right w:val="nil"/>
            </w:tcBorders>
            <w:shd w:val="clear" w:color="auto" w:fill="auto"/>
            <w:noWrap/>
            <w:vAlign w:val="bottom"/>
            <w:hideMark/>
          </w:tcPr>
          <w:p w14:paraId="7827B151"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5.82</w:t>
            </w:r>
          </w:p>
        </w:tc>
        <w:tc>
          <w:tcPr>
            <w:tcW w:w="1099" w:type="dxa"/>
            <w:tcBorders>
              <w:top w:val="nil"/>
              <w:left w:val="nil"/>
              <w:bottom w:val="nil"/>
              <w:right w:val="nil"/>
            </w:tcBorders>
            <w:shd w:val="clear" w:color="auto" w:fill="auto"/>
            <w:noWrap/>
            <w:vAlign w:val="bottom"/>
            <w:hideMark/>
          </w:tcPr>
          <w:p w14:paraId="25CA7A9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3.58</w:t>
            </w:r>
          </w:p>
        </w:tc>
        <w:tc>
          <w:tcPr>
            <w:tcW w:w="1123" w:type="dxa"/>
            <w:tcBorders>
              <w:top w:val="nil"/>
              <w:left w:val="nil"/>
              <w:bottom w:val="nil"/>
              <w:right w:val="nil"/>
            </w:tcBorders>
            <w:shd w:val="clear" w:color="auto" w:fill="auto"/>
            <w:noWrap/>
            <w:vAlign w:val="bottom"/>
            <w:hideMark/>
          </w:tcPr>
          <w:p w14:paraId="63CDF0F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4.28</w:t>
            </w:r>
          </w:p>
        </w:tc>
        <w:tc>
          <w:tcPr>
            <w:tcW w:w="1163" w:type="dxa"/>
            <w:tcBorders>
              <w:top w:val="nil"/>
              <w:left w:val="nil"/>
              <w:bottom w:val="nil"/>
              <w:right w:val="nil"/>
            </w:tcBorders>
            <w:shd w:val="clear" w:color="auto" w:fill="auto"/>
            <w:noWrap/>
            <w:vAlign w:val="bottom"/>
            <w:hideMark/>
          </w:tcPr>
          <w:p w14:paraId="6EA1DB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-0.69</w:t>
            </w:r>
          </w:p>
        </w:tc>
        <w:tc>
          <w:tcPr>
            <w:tcW w:w="910" w:type="dxa"/>
            <w:tcBorders>
              <w:top w:val="nil"/>
              <w:left w:val="nil"/>
              <w:bottom w:val="nil"/>
              <w:right w:val="nil"/>
            </w:tcBorders>
            <w:shd w:val="clear" w:color="000000" w:fill="FFFFFF"/>
            <w:noWrap/>
            <w:vAlign w:val="center"/>
            <w:hideMark/>
          </w:tcPr>
          <w:p w14:paraId="5277E1B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2.24</w:t>
            </w:r>
          </w:p>
        </w:tc>
        <w:tc>
          <w:tcPr>
            <w:tcW w:w="1123" w:type="dxa"/>
            <w:tcBorders>
              <w:top w:val="nil"/>
              <w:left w:val="nil"/>
              <w:bottom w:val="nil"/>
              <w:right w:val="nil"/>
            </w:tcBorders>
            <w:shd w:val="clear" w:color="000000" w:fill="FFFFFF"/>
            <w:noWrap/>
            <w:vAlign w:val="bottom"/>
            <w:hideMark/>
          </w:tcPr>
          <w:p w14:paraId="5C1AED4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1.54</w:t>
            </w:r>
          </w:p>
        </w:tc>
        <w:tc>
          <w:tcPr>
            <w:tcW w:w="1163" w:type="dxa"/>
            <w:tcBorders>
              <w:top w:val="nil"/>
              <w:left w:val="nil"/>
              <w:bottom w:val="nil"/>
              <w:right w:val="nil"/>
            </w:tcBorders>
            <w:shd w:val="clear" w:color="000000" w:fill="FFFFFF"/>
            <w:noWrap/>
            <w:vAlign w:val="center"/>
            <w:hideMark/>
          </w:tcPr>
          <w:p w14:paraId="100E187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0.69</w:t>
            </w:r>
          </w:p>
        </w:tc>
      </w:tr>
      <w:tr w:rsidR="006D6B2A" w:rsidRPr="006D6B2A" w14:paraId="74FB60EC" w14:textId="77777777" w:rsidTr="00203B42">
        <w:trPr>
          <w:trHeight w:val="293"/>
        </w:trPr>
        <w:tc>
          <w:tcPr>
            <w:tcW w:w="1880" w:type="dxa"/>
            <w:tcBorders>
              <w:top w:val="nil"/>
              <w:left w:val="nil"/>
              <w:bottom w:val="nil"/>
              <w:right w:val="nil"/>
            </w:tcBorders>
            <w:shd w:val="clear" w:color="000000" w:fill="FFFFFF"/>
            <w:noWrap/>
            <w:vAlign w:val="center"/>
            <w:hideMark/>
          </w:tcPr>
          <w:p w14:paraId="083E4098"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France</w:t>
            </w:r>
          </w:p>
        </w:tc>
        <w:tc>
          <w:tcPr>
            <w:tcW w:w="636" w:type="dxa"/>
            <w:tcBorders>
              <w:top w:val="nil"/>
              <w:left w:val="nil"/>
              <w:bottom w:val="nil"/>
              <w:right w:val="nil"/>
            </w:tcBorders>
            <w:shd w:val="clear" w:color="auto" w:fill="auto"/>
            <w:noWrap/>
            <w:vAlign w:val="bottom"/>
            <w:hideMark/>
          </w:tcPr>
          <w:p w14:paraId="5740AC2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4.53</w:t>
            </w:r>
          </w:p>
        </w:tc>
        <w:tc>
          <w:tcPr>
            <w:tcW w:w="1099" w:type="dxa"/>
            <w:tcBorders>
              <w:top w:val="nil"/>
              <w:left w:val="nil"/>
              <w:bottom w:val="nil"/>
              <w:right w:val="nil"/>
            </w:tcBorders>
            <w:shd w:val="clear" w:color="auto" w:fill="auto"/>
            <w:noWrap/>
            <w:vAlign w:val="bottom"/>
            <w:hideMark/>
          </w:tcPr>
          <w:p w14:paraId="671969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23" w:type="dxa"/>
            <w:tcBorders>
              <w:top w:val="nil"/>
              <w:left w:val="nil"/>
              <w:bottom w:val="nil"/>
              <w:right w:val="nil"/>
            </w:tcBorders>
            <w:shd w:val="clear" w:color="auto" w:fill="auto"/>
            <w:noWrap/>
            <w:vAlign w:val="bottom"/>
            <w:hideMark/>
          </w:tcPr>
          <w:p w14:paraId="54EE4DD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2.84</w:t>
            </w:r>
          </w:p>
        </w:tc>
        <w:tc>
          <w:tcPr>
            <w:tcW w:w="1163" w:type="dxa"/>
            <w:tcBorders>
              <w:top w:val="nil"/>
              <w:left w:val="nil"/>
              <w:bottom w:val="nil"/>
              <w:right w:val="nil"/>
            </w:tcBorders>
            <w:shd w:val="clear" w:color="auto" w:fill="auto"/>
            <w:noWrap/>
            <w:vAlign w:val="bottom"/>
            <w:hideMark/>
          </w:tcPr>
          <w:p w14:paraId="552D29B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-0.02</w:t>
            </w:r>
          </w:p>
        </w:tc>
        <w:tc>
          <w:tcPr>
            <w:tcW w:w="910" w:type="dxa"/>
            <w:tcBorders>
              <w:top w:val="nil"/>
              <w:left w:val="nil"/>
              <w:bottom w:val="nil"/>
              <w:right w:val="nil"/>
            </w:tcBorders>
            <w:shd w:val="clear" w:color="000000" w:fill="FFFFFF"/>
            <w:noWrap/>
            <w:vAlign w:val="center"/>
            <w:hideMark/>
          </w:tcPr>
          <w:p w14:paraId="40A7226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66E0CFF1"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1.69</w:t>
            </w:r>
          </w:p>
        </w:tc>
        <w:tc>
          <w:tcPr>
            <w:tcW w:w="1163" w:type="dxa"/>
            <w:tcBorders>
              <w:top w:val="nil"/>
              <w:left w:val="nil"/>
              <w:bottom w:val="nil"/>
              <w:right w:val="nil"/>
            </w:tcBorders>
            <w:shd w:val="clear" w:color="000000" w:fill="FFFFFF"/>
            <w:noWrap/>
            <w:vAlign w:val="center"/>
            <w:hideMark/>
          </w:tcPr>
          <w:p w14:paraId="599645A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0.02</w:t>
            </w:r>
          </w:p>
        </w:tc>
      </w:tr>
      <w:tr w:rsidR="006D6B2A" w:rsidRPr="006D6B2A" w14:paraId="5B8AB7E1" w14:textId="77777777" w:rsidTr="00203B42">
        <w:trPr>
          <w:trHeight w:val="293"/>
        </w:trPr>
        <w:tc>
          <w:tcPr>
            <w:tcW w:w="1880" w:type="dxa"/>
            <w:tcBorders>
              <w:top w:val="nil"/>
              <w:left w:val="nil"/>
              <w:bottom w:val="nil"/>
              <w:right w:val="nil"/>
            </w:tcBorders>
            <w:shd w:val="clear" w:color="000000" w:fill="FFFFFF"/>
            <w:noWrap/>
            <w:vAlign w:val="center"/>
            <w:hideMark/>
          </w:tcPr>
          <w:p w14:paraId="6AC23997"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Germany</w:t>
            </w:r>
          </w:p>
        </w:tc>
        <w:tc>
          <w:tcPr>
            <w:tcW w:w="636" w:type="dxa"/>
            <w:tcBorders>
              <w:top w:val="nil"/>
              <w:left w:val="nil"/>
              <w:bottom w:val="nil"/>
              <w:right w:val="nil"/>
            </w:tcBorders>
            <w:shd w:val="clear" w:color="auto" w:fill="auto"/>
            <w:noWrap/>
            <w:vAlign w:val="bottom"/>
            <w:hideMark/>
          </w:tcPr>
          <w:p w14:paraId="3828397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3.64</w:t>
            </w:r>
          </w:p>
        </w:tc>
        <w:tc>
          <w:tcPr>
            <w:tcW w:w="1099" w:type="dxa"/>
            <w:tcBorders>
              <w:top w:val="nil"/>
              <w:left w:val="nil"/>
              <w:bottom w:val="nil"/>
              <w:right w:val="nil"/>
            </w:tcBorders>
            <w:shd w:val="clear" w:color="auto" w:fill="auto"/>
            <w:noWrap/>
            <w:vAlign w:val="bottom"/>
            <w:hideMark/>
          </w:tcPr>
          <w:p w14:paraId="7A30408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2.12</w:t>
            </w:r>
          </w:p>
        </w:tc>
        <w:tc>
          <w:tcPr>
            <w:tcW w:w="1123" w:type="dxa"/>
            <w:tcBorders>
              <w:top w:val="nil"/>
              <w:left w:val="nil"/>
              <w:bottom w:val="nil"/>
              <w:right w:val="nil"/>
            </w:tcBorders>
            <w:shd w:val="clear" w:color="auto" w:fill="auto"/>
            <w:noWrap/>
            <w:vAlign w:val="bottom"/>
            <w:hideMark/>
          </w:tcPr>
          <w:p w14:paraId="28282F6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2.57</w:t>
            </w:r>
          </w:p>
        </w:tc>
        <w:tc>
          <w:tcPr>
            <w:tcW w:w="1163" w:type="dxa"/>
            <w:tcBorders>
              <w:top w:val="nil"/>
              <w:left w:val="nil"/>
              <w:bottom w:val="nil"/>
              <w:right w:val="nil"/>
            </w:tcBorders>
            <w:shd w:val="clear" w:color="auto" w:fill="auto"/>
            <w:noWrap/>
            <w:vAlign w:val="bottom"/>
            <w:hideMark/>
          </w:tcPr>
          <w:p w14:paraId="28AFF483"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-0.44</w:t>
            </w:r>
          </w:p>
        </w:tc>
        <w:tc>
          <w:tcPr>
            <w:tcW w:w="910" w:type="dxa"/>
            <w:tcBorders>
              <w:top w:val="nil"/>
              <w:left w:val="nil"/>
              <w:bottom w:val="nil"/>
              <w:right w:val="nil"/>
            </w:tcBorders>
            <w:shd w:val="clear" w:color="000000" w:fill="FFFFFF"/>
            <w:noWrap/>
            <w:vAlign w:val="center"/>
            <w:hideMark/>
          </w:tcPr>
          <w:p w14:paraId="01441A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1.52</w:t>
            </w:r>
          </w:p>
        </w:tc>
        <w:tc>
          <w:tcPr>
            <w:tcW w:w="1123" w:type="dxa"/>
            <w:tcBorders>
              <w:top w:val="nil"/>
              <w:left w:val="nil"/>
              <w:bottom w:val="nil"/>
              <w:right w:val="nil"/>
            </w:tcBorders>
            <w:shd w:val="clear" w:color="000000" w:fill="FFFFFF"/>
            <w:noWrap/>
            <w:vAlign w:val="bottom"/>
            <w:hideMark/>
          </w:tcPr>
          <w:p w14:paraId="2CC7388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1.07</w:t>
            </w:r>
          </w:p>
        </w:tc>
        <w:tc>
          <w:tcPr>
            <w:tcW w:w="1163" w:type="dxa"/>
            <w:tcBorders>
              <w:top w:val="nil"/>
              <w:left w:val="nil"/>
              <w:bottom w:val="nil"/>
              <w:right w:val="nil"/>
            </w:tcBorders>
            <w:shd w:val="clear" w:color="000000" w:fill="FFFFFF"/>
            <w:noWrap/>
            <w:vAlign w:val="center"/>
            <w:hideMark/>
          </w:tcPr>
          <w:p w14:paraId="71D034E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0.44</w:t>
            </w:r>
          </w:p>
        </w:tc>
      </w:tr>
      <w:tr w:rsidR="006D6B2A" w:rsidRPr="006D6B2A" w14:paraId="0ED5B5EE" w14:textId="77777777" w:rsidTr="00203B42">
        <w:trPr>
          <w:trHeight w:val="293"/>
        </w:trPr>
        <w:tc>
          <w:tcPr>
            <w:tcW w:w="1880" w:type="dxa"/>
            <w:tcBorders>
              <w:top w:val="nil"/>
              <w:left w:val="nil"/>
              <w:bottom w:val="nil"/>
              <w:right w:val="nil"/>
            </w:tcBorders>
            <w:shd w:val="clear" w:color="000000" w:fill="FFFFFF"/>
            <w:noWrap/>
            <w:vAlign w:val="center"/>
            <w:hideMark/>
          </w:tcPr>
          <w:p w14:paraId="73BD244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Greece</w:t>
            </w:r>
          </w:p>
        </w:tc>
        <w:tc>
          <w:tcPr>
            <w:tcW w:w="636" w:type="dxa"/>
            <w:tcBorders>
              <w:top w:val="nil"/>
              <w:left w:val="nil"/>
              <w:bottom w:val="nil"/>
              <w:right w:val="nil"/>
            </w:tcBorders>
            <w:shd w:val="clear" w:color="auto" w:fill="auto"/>
            <w:noWrap/>
            <w:vAlign w:val="bottom"/>
            <w:hideMark/>
          </w:tcPr>
          <w:p w14:paraId="3A24B2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3.56</w:t>
            </w:r>
          </w:p>
        </w:tc>
        <w:tc>
          <w:tcPr>
            <w:tcW w:w="1099" w:type="dxa"/>
            <w:tcBorders>
              <w:top w:val="nil"/>
              <w:left w:val="nil"/>
              <w:bottom w:val="nil"/>
              <w:right w:val="nil"/>
            </w:tcBorders>
            <w:shd w:val="clear" w:color="auto" w:fill="auto"/>
            <w:noWrap/>
            <w:vAlign w:val="bottom"/>
            <w:hideMark/>
          </w:tcPr>
          <w:p w14:paraId="2CE366A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1.86</w:t>
            </w:r>
          </w:p>
        </w:tc>
        <w:tc>
          <w:tcPr>
            <w:tcW w:w="1123" w:type="dxa"/>
            <w:tcBorders>
              <w:top w:val="nil"/>
              <w:left w:val="nil"/>
              <w:bottom w:val="nil"/>
              <w:right w:val="nil"/>
            </w:tcBorders>
            <w:shd w:val="clear" w:color="auto" w:fill="auto"/>
            <w:noWrap/>
            <w:vAlign w:val="bottom"/>
            <w:hideMark/>
          </w:tcPr>
          <w:p w14:paraId="2AE6DA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163" w:type="dxa"/>
            <w:tcBorders>
              <w:top w:val="nil"/>
              <w:left w:val="nil"/>
              <w:bottom w:val="nil"/>
              <w:right w:val="nil"/>
            </w:tcBorders>
            <w:shd w:val="clear" w:color="auto" w:fill="auto"/>
            <w:noWrap/>
            <w:vAlign w:val="bottom"/>
            <w:hideMark/>
          </w:tcPr>
          <w:p w14:paraId="7551CBE8"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-0.97</w:t>
            </w:r>
          </w:p>
        </w:tc>
        <w:tc>
          <w:tcPr>
            <w:tcW w:w="910" w:type="dxa"/>
            <w:tcBorders>
              <w:top w:val="nil"/>
              <w:left w:val="nil"/>
              <w:bottom w:val="nil"/>
              <w:right w:val="nil"/>
            </w:tcBorders>
            <w:shd w:val="clear" w:color="000000" w:fill="FFFFFF"/>
            <w:noWrap/>
            <w:vAlign w:val="center"/>
            <w:hideMark/>
          </w:tcPr>
          <w:p w14:paraId="5E0880D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07446240"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0.73</w:t>
            </w:r>
          </w:p>
        </w:tc>
        <w:tc>
          <w:tcPr>
            <w:tcW w:w="1163" w:type="dxa"/>
            <w:tcBorders>
              <w:top w:val="nil"/>
              <w:left w:val="nil"/>
              <w:bottom w:val="nil"/>
              <w:right w:val="nil"/>
            </w:tcBorders>
            <w:shd w:val="clear" w:color="000000" w:fill="FFFFFF"/>
            <w:noWrap/>
            <w:vAlign w:val="center"/>
            <w:hideMark/>
          </w:tcPr>
          <w:p w14:paraId="6579DB0F"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0.97</w:t>
            </w:r>
          </w:p>
        </w:tc>
      </w:tr>
      <w:tr w:rsidR="006D6B2A" w:rsidRPr="006D6B2A" w14:paraId="334ECF56" w14:textId="77777777" w:rsidTr="00203B42">
        <w:trPr>
          <w:trHeight w:val="293"/>
        </w:trPr>
        <w:tc>
          <w:tcPr>
            <w:tcW w:w="1880" w:type="dxa"/>
            <w:tcBorders>
              <w:top w:val="nil"/>
              <w:left w:val="nil"/>
              <w:bottom w:val="nil"/>
              <w:right w:val="nil"/>
            </w:tcBorders>
            <w:shd w:val="clear" w:color="000000" w:fill="FFFFFF"/>
            <w:noWrap/>
            <w:vAlign w:val="center"/>
            <w:hideMark/>
          </w:tcPr>
          <w:p w14:paraId="37B11905"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Israel</w:t>
            </w:r>
          </w:p>
        </w:tc>
        <w:tc>
          <w:tcPr>
            <w:tcW w:w="636" w:type="dxa"/>
            <w:tcBorders>
              <w:top w:val="nil"/>
              <w:left w:val="nil"/>
              <w:bottom w:val="nil"/>
              <w:right w:val="nil"/>
            </w:tcBorders>
            <w:shd w:val="clear" w:color="auto" w:fill="auto"/>
            <w:noWrap/>
            <w:vAlign w:val="bottom"/>
            <w:hideMark/>
          </w:tcPr>
          <w:p w14:paraId="2019991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2.83</w:t>
            </w:r>
          </w:p>
        </w:tc>
        <w:tc>
          <w:tcPr>
            <w:tcW w:w="1099" w:type="dxa"/>
            <w:tcBorders>
              <w:top w:val="nil"/>
              <w:left w:val="nil"/>
              <w:bottom w:val="nil"/>
              <w:right w:val="nil"/>
            </w:tcBorders>
            <w:shd w:val="clear" w:color="auto" w:fill="auto"/>
            <w:noWrap/>
            <w:vAlign w:val="bottom"/>
            <w:hideMark/>
          </w:tcPr>
          <w:p w14:paraId="111259F4"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1.13</w:t>
            </w:r>
          </w:p>
        </w:tc>
        <w:tc>
          <w:tcPr>
            <w:tcW w:w="1123" w:type="dxa"/>
            <w:tcBorders>
              <w:top w:val="nil"/>
              <w:left w:val="nil"/>
              <w:bottom w:val="nil"/>
              <w:right w:val="nil"/>
            </w:tcBorders>
            <w:shd w:val="clear" w:color="auto" w:fill="auto"/>
            <w:noWrap/>
            <w:vAlign w:val="bottom"/>
            <w:hideMark/>
          </w:tcPr>
          <w:p w14:paraId="081196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1.79</w:t>
            </w:r>
          </w:p>
        </w:tc>
        <w:tc>
          <w:tcPr>
            <w:tcW w:w="1163" w:type="dxa"/>
            <w:tcBorders>
              <w:top w:val="nil"/>
              <w:left w:val="nil"/>
              <w:bottom w:val="nil"/>
              <w:right w:val="nil"/>
            </w:tcBorders>
            <w:shd w:val="clear" w:color="auto" w:fill="auto"/>
            <w:noWrap/>
            <w:vAlign w:val="bottom"/>
            <w:hideMark/>
          </w:tcPr>
          <w:p w14:paraId="25BEAA7D"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-0.66</w:t>
            </w:r>
          </w:p>
        </w:tc>
        <w:tc>
          <w:tcPr>
            <w:tcW w:w="910" w:type="dxa"/>
            <w:tcBorders>
              <w:top w:val="nil"/>
              <w:left w:val="nil"/>
              <w:bottom w:val="nil"/>
              <w:right w:val="nil"/>
            </w:tcBorders>
            <w:shd w:val="clear" w:color="000000" w:fill="FFFFFF"/>
            <w:noWrap/>
            <w:vAlign w:val="center"/>
            <w:hideMark/>
          </w:tcPr>
          <w:p w14:paraId="1E9F339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1.70</w:t>
            </w:r>
          </w:p>
        </w:tc>
        <w:tc>
          <w:tcPr>
            <w:tcW w:w="1123" w:type="dxa"/>
            <w:tcBorders>
              <w:top w:val="nil"/>
              <w:left w:val="nil"/>
              <w:bottom w:val="nil"/>
              <w:right w:val="nil"/>
            </w:tcBorders>
            <w:shd w:val="clear" w:color="000000" w:fill="FFFFFF"/>
            <w:noWrap/>
            <w:vAlign w:val="bottom"/>
            <w:hideMark/>
          </w:tcPr>
          <w:p w14:paraId="5C8AC17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1.04</w:t>
            </w:r>
          </w:p>
        </w:tc>
        <w:tc>
          <w:tcPr>
            <w:tcW w:w="1163" w:type="dxa"/>
            <w:tcBorders>
              <w:top w:val="nil"/>
              <w:left w:val="nil"/>
              <w:bottom w:val="nil"/>
              <w:right w:val="nil"/>
            </w:tcBorders>
            <w:shd w:val="clear" w:color="000000" w:fill="FFFFFF"/>
            <w:noWrap/>
            <w:vAlign w:val="center"/>
            <w:hideMark/>
          </w:tcPr>
          <w:p w14:paraId="522D6A2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0.66</w:t>
            </w:r>
          </w:p>
        </w:tc>
      </w:tr>
      <w:tr w:rsidR="006D6B2A" w:rsidRPr="006D6B2A" w14:paraId="2EC92F7D" w14:textId="77777777" w:rsidTr="00203B42">
        <w:trPr>
          <w:trHeight w:val="293"/>
        </w:trPr>
        <w:tc>
          <w:tcPr>
            <w:tcW w:w="1880" w:type="dxa"/>
            <w:tcBorders>
              <w:top w:val="nil"/>
              <w:left w:val="nil"/>
              <w:bottom w:val="nil"/>
              <w:right w:val="nil"/>
            </w:tcBorders>
            <w:shd w:val="clear" w:color="000000" w:fill="FFFFFF"/>
            <w:noWrap/>
            <w:vAlign w:val="center"/>
            <w:hideMark/>
          </w:tcPr>
          <w:p w14:paraId="7174D64E"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Italy</w:t>
            </w:r>
          </w:p>
        </w:tc>
        <w:tc>
          <w:tcPr>
            <w:tcW w:w="636" w:type="dxa"/>
            <w:tcBorders>
              <w:top w:val="nil"/>
              <w:left w:val="nil"/>
              <w:bottom w:val="nil"/>
              <w:right w:val="nil"/>
            </w:tcBorders>
            <w:shd w:val="clear" w:color="auto" w:fill="auto"/>
            <w:noWrap/>
            <w:vAlign w:val="bottom"/>
            <w:hideMark/>
          </w:tcPr>
          <w:p w14:paraId="2A4E53C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3.51</w:t>
            </w:r>
          </w:p>
        </w:tc>
        <w:tc>
          <w:tcPr>
            <w:tcW w:w="1099" w:type="dxa"/>
            <w:tcBorders>
              <w:top w:val="nil"/>
              <w:left w:val="nil"/>
              <w:bottom w:val="nil"/>
              <w:right w:val="nil"/>
            </w:tcBorders>
            <w:shd w:val="clear" w:color="auto" w:fill="auto"/>
            <w:noWrap/>
            <w:vAlign w:val="bottom"/>
            <w:hideMark/>
          </w:tcPr>
          <w:p w14:paraId="19F144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0.86</w:t>
            </w:r>
          </w:p>
        </w:tc>
        <w:tc>
          <w:tcPr>
            <w:tcW w:w="1123" w:type="dxa"/>
            <w:tcBorders>
              <w:top w:val="nil"/>
              <w:left w:val="nil"/>
              <w:bottom w:val="nil"/>
              <w:right w:val="nil"/>
            </w:tcBorders>
            <w:shd w:val="clear" w:color="auto" w:fill="auto"/>
            <w:noWrap/>
            <w:vAlign w:val="bottom"/>
            <w:hideMark/>
          </w:tcPr>
          <w:p w14:paraId="57CF4E0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2.26</w:t>
            </w:r>
          </w:p>
        </w:tc>
        <w:tc>
          <w:tcPr>
            <w:tcW w:w="1163" w:type="dxa"/>
            <w:tcBorders>
              <w:top w:val="nil"/>
              <w:left w:val="nil"/>
              <w:bottom w:val="nil"/>
              <w:right w:val="nil"/>
            </w:tcBorders>
            <w:shd w:val="clear" w:color="auto" w:fill="auto"/>
            <w:noWrap/>
            <w:vAlign w:val="bottom"/>
            <w:hideMark/>
          </w:tcPr>
          <w:p w14:paraId="46F02F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-1.40</w:t>
            </w:r>
          </w:p>
        </w:tc>
        <w:tc>
          <w:tcPr>
            <w:tcW w:w="910" w:type="dxa"/>
            <w:tcBorders>
              <w:top w:val="nil"/>
              <w:left w:val="nil"/>
              <w:bottom w:val="nil"/>
              <w:right w:val="nil"/>
            </w:tcBorders>
            <w:shd w:val="clear" w:color="000000" w:fill="FFFFFF"/>
            <w:noWrap/>
            <w:vAlign w:val="center"/>
            <w:hideMark/>
          </w:tcPr>
          <w:p w14:paraId="07625D0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2.65</w:t>
            </w:r>
          </w:p>
        </w:tc>
        <w:tc>
          <w:tcPr>
            <w:tcW w:w="1123" w:type="dxa"/>
            <w:tcBorders>
              <w:top w:val="nil"/>
              <w:left w:val="nil"/>
              <w:bottom w:val="nil"/>
              <w:right w:val="nil"/>
            </w:tcBorders>
            <w:shd w:val="clear" w:color="000000" w:fill="FFFFFF"/>
            <w:noWrap/>
            <w:vAlign w:val="bottom"/>
            <w:hideMark/>
          </w:tcPr>
          <w:p w14:paraId="639803E6"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1.25</w:t>
            </w:r>
          </w:p>
        </w:tc>
        <w:tc>
          <w:tcPr>
            <w:tcW w:w="1163" w:type="dxa"/>
            <w:tcBorders>
              <w:top w:val="nil"/>
              <w:left w:val="nil"/>
              <w:bottom w:val="nil"/>
              <w:right w:val="nil"/>
            </w:tcBorders>
            <w:shd w:val="clear" w:color="000000" w:fill="FFFFFF"/>
            <w:noWrap/>
            <w:vAlign w:val="center"/>
            <w:hideMark/>
          </w:tcPr>
          <w:p w14:paraId="59DA826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1.40</w:t>
            </w:r>
          </w:p>
        </w:tc>
      </w:tr>
      <w:tr w:rsidR="006D6B2A" w:rsidRPr="006D6B2A" w14:paraId="1D5CA375" w14:textId="77777777" w:rsidTr="00203B42">
        <w:trPr>
          <w:trHeight w:val="293"/>
        </w:trPr>
        <w:tc>
          <w:tcPr>
            <w:tcW w:w="1880" w:type="dxa"/>
            <w:tcBorders>
              <w:top w:val="nil"/>
              <w:left w:val="nil"/>
              <w:bottom w:val="nil"/>
              <w:right w:val="nil"/>
            </w:tcBorders>
            <w:shd w:val="clear" w:color="000000" w:fill="FFFFFF"/>
            <w:noWrap/>
            <w:vAlign w:val="center"/>
            <w:hideMark/>
          </w:tcPr>
          <w:p w14:paraId="772F9D3B"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Luxembourg</w:t>
            </w:r>
          </w:p>
        </w:tc>
        <w:tc>
          <w:tcPr>
            <w:tcW w:w="636" w:type="dxa"/>
            <w:tcBorders>
              <w:top w:val="nil"/>
              <w:left w:val="nil"/>
              <w:bottom w:val="nil"/>
              <w:right w:val="nil"/>
            </w:tcBorders>
            <w:shd w:val="clear" w:color="auto" w:fill="auto"/>
            <w:noWrap/>
            <w:vAlign w:val="bottom"/>
            <w:hideMark/>
          </w:tcPr>
          <w:p w14:paraId="78AFE3E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2.99</w:t>
            </w:r>
          </w:p>
        </w:tc>
        <w:tc>
          <w:tcPr>
            <w:tcW w:w="1099" w:type="dxa"/>
            <w:tcBorders>
              <w:top w:val="nil"/>
              <w:left w:val="nil"/>
              <w:bottom w:val="nil"/>
              <w:right w:val="nil"/>
            </w:tcBorders>
            <w:shd w:val="clear" w:color="auto" w:fill="auto"/>
            <w:noWrap/>
            <w:vAlign w:val="bottom"/>
            <w:hideMark/>
          </w:tcPr>
          <w:p w14:paraId="0EC8194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1.08</w:t>
            </w:r>
          </w:p>
        </w:tc>
        <w:tc>
          <w:tcPr>
            <w:tcW w:w="1123" w:type="dxa"/>
            <w:tcBorders>
              <w:top w:val="nil"/>
              <w:left w:val="nil"/>
              <w:bottom w:val="nil"/>
              <w:right w:val="nil"/>
            </w:tcBorders>
            <w:shd w:val="clear" w:color="auto" w:fill="auto"/>
            <w:noWrap/>
            <w:vAlign w:val="bottom"/>
            <w:hideMark/>
          </w:tcPr>
          <w:p w14:paraId="2D7E56F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2.08</w:t>
            </w:r>
          </w:p>
        </w:tc>
        <w:tc>
          <w:tcPr>
            <w:tcW w:w="1163" w:type="dxa"/>
            <w:tcBorders>
              <w:top w:val="nil"/>
              <w:left w:val="nil"/>
              <w:bottom w:val="nil"/>
              <w:right w:val="nil"/>
            </w:tcBorders>
            <w:shd w:val="clear" w:color="auto" w:fill="auto"/>
            <w:noWrap/>
            <w:vAlign w:val="bottom"/>
            <w:hideMark/>
          </w:tcPr>
          <w:p w14:paraId="62DC097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-1.00</w:t>
            </w:r>
          </w:p>
        </w:tc>
        <w:tc>
          <w:tcPr>
            <w:tcW w:w="910" w:type="dxa"/>
            <w:tcBorders>
              <w:top w:val="nil"/>
              <w:left w:val="nil"/>
              <w:bottom w:val="nil"/>
              <w:right w:val="nil"/>
            </w:tcBorders>
            <w:shd w:val="clear" w:color="000000" w:fill="FFFFFF"/>
            <w:noWrap/>
            <w:vAlign w:val="center"/>
            <w:hideMark/>
          </w:tcPr>
          <w:p w14:paraId="2E64071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23" w:type="dxa"/>
            <w:tcBorders>
              <w:top w:val="nil"/>
              <w:left w:val="nil"/>
              <w:bottom w:val="nil"/>
              <w:right w:val="nil"/>
            </w:tcBorders>
            <w:shd w:val="clear" w:color="000000" w:fill="FFFFFF"/>
            <w:noWrap/>
            <w:vAlign w:val="bottom"/>
            <w:hideMark/>
          </w:tcPr>
          <w:p w14:paraId="4E71475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0.91</w:t>
            </w:r>
          </w:p>
        </w:tc>
        <w:tc>
          <w:tcPr>
            <w:tcW w:w="1163" w:type="dxa"/>
            <w:tcBorders>
              <w:top w:val="nil"/>
              <w:left w:val="nil"/>
              <w:bottom w:val="nil"/>
              <w:right w:val="nil"/>
            </w:tcBorders>
            <w:shd w:val="clear" w:color="000000" w:fill="FFFFFF"/>
            <w:noWrap/>
            <w:vAlign w:val="center"/>
            <w:hideMark/>
          </w:tcPr>
          <w:p w14:paraId="6ACB893C"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1.00</w:t>
            </w:r>
          </w:p>
        </w:tc>
      </w:tr>
      <w:tr w:rsidR="006D6B2A" w:rsidRPr="006D6B2A" w14:paraId="18DE40D1" w14:textId="77777777" w:rsidTr="00203B42">
        <w:trPr>
          <w:trHeight w:val="293"/>
        </w:trPr>
        <w:tc>
          <w:tcPr>
            <w:tcW w:w="1880" w:type="dxa"/>
            <w:tcBorders>
              <w:top w:val="nil"/>
              <w:left w:val="nil"/>
              <w:bottom w:val="nil"/>
              <w:right w:val="nil"/>
            </w:tcBorders>
            <w:shd w:val="clear" w:color="000000" w:fill="FFFFFF"/>
            <w:noWrap/>
            <w:vAlign w:val="center"/>
            <w:hideMark/>
          </w:tcPr>
          <w:p w14:paraId="05F77F46"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Poland</w:t>
            </w:r>
          </w:p>
        </w:tc>
        <w:tc>
          <w:tcPr>
            <w:tcW w:w="636" w:type="dxa"/>
            <w:tcBorders>
              <w:top w:val="nil"/>
              <w:left w:val="nil"/>
              <w:bottom w:val="nil"/>
              <w:right w:val="nil"/>
            </w:tcBorders>
            <w:shd w:val="clear" w:color="auto" w:fill="auto"/>
            <w:noWrap/>
            <w:vAlign w:val="bottom"/>
            <w:hideMark/>
          </w:tcPr>
          <w:p w14:paraId="02DA43A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5.00</w:t>
            </w:r>
          </w:p>
        </w:tc>
        <w:tc>
          <w:tcPr>
            <w:tcW w:w="1099" w:type="dxa"/>
            <w:tcBorders>
              <w:top w:val="nil"/>
              <w:left w:val="nil"/>
              <w:bottom w:val="nil"/>
              <w:right w:val="nil"/>
            </w:tcBorders>
            <w:shd w:val="clear" w:color="auto" w:fill="auto"/>
            <w:noWrap/>
            <w:vAlign w:val="bottom"/>
            <w:hideMark/>
          </w:tcPr>
          <w:p w14:paraId="0A61F90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2.97</w:t>
            </w:r>
          </w:p>
        </w:tc>
        <w:tc>
          <w:tcPr>
            <w:tcW w:w="1123" w:type="dxa"/>
            <w:tcBorders>
              <w:top w:val="nil"/>
              <w:left w:val="nil"/>
              <w:bottom w:val="nil"/>
              <w:right w:val="nil"/>
            </w:tcBorders>
            <w:shd w:val="clear" w:color="auto" w:fill="auto"/>
            <w:noWrap/>
            <w:vAlign w:val="bottom"/>
            <w:hideMark/>
          </w:tcPr>
          <w:p w14:paraId="6B9AF3C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3.37</w:t>
            </w:r>
          </w:p>
        </w:tc>
        <w:tc>
          <w:tcPr>
            <w:tcW w:w="1163" w:type="dxa"/>
            <w:tcBorders>
              <w:top w:val="nil"/>
              <w:left w:val="nil"/>
              <w:bottom w:val="nil"/>
              <w:right w:val="nil"/>
            </w:tcBorders>
            <w:shd w:val="clear" w:color="auto" w:fill="auto"/>
            <w:noWrap/>
            <w:vAlign w:val="bottom"/>
            <w:hideMark/>
          </w:tcPr>
          <w:p w14:paraId="32863A2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-0.40</w:t>
            </w:r>
          </w:p>
        </w:tc>
        <w:tc>
          <w:tcPr>
            <w:tcW w:w="910" w:type="dxa"/>
            <w:tcBorders>
              <w:top w:val="nil"/>
              <w:left w:val="nil"/>
              <w:bottom w:val="nil"/>
              <w:right w:val="nil"/>
            </w:tcBorders>
            <w:shd w:val="clear" w:color="000000" w:fill="FFFFFF"/>
            <w:noWrap/>
            <w:vAlign w:val="center"/>
            <w:hideMark/>
          </w:tcPr>
          <w:p w14:paraId="6270B47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2.03</w:t>
            </w:r>
          </w:p>
        </w:tc>
        <w:tc>
          <w:tcPr>
            <w:tcW w:w="1123" w:type="dxa"/>
            <w:tcBorders>
              <w:top w:val="nil"/>
              <w:left w:val="nil"/>
              <w:bottom w:val="nil"/>
              <w:right w:val="nil"/>
            </w:tcBorders>
            <w:shd w:val="clear" w:color="000000" w:fill="FFFFFF"/>
            <w:noWrap/>
            <w:vAlign w:val="bottom"/>
            <w:hideMark/>
          </w:tcPr>
          <w:p w14:paraId="18C82714"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1.63</w:t>
            </w:r>
          </w:p>
        </w:tc>
        <w:tc>
          <w:tcPr>
            <w:tcW w:w="1163" w:type="dxa"/>
            <w:tcBorders>
              <w:top w:val="nil"/>
              <w:left w:val="nil"/>
              <w:bottom w:val="nil"/>
              <w:right w:val="nil"/>
            </w:tcBorders>
            <w:shd w:val="clear" w:color="000000" w:fill="FFFFFF"/>
            <w:noWrap/>
            <w:vAlign w:val="center"/>
            <w:hideMark/>
          </w:tcPr>
          <w:p w14:paraId="518FE8AE"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0.40</w:t>
            </w:r>
          </w:p>
        </w:tc>
      </w:tr>
      <w:tr w:rsidR="006D6B2A" w:rsidRPr="006D6B2A" w14:paraId="36395AAA" w14:textId="77777777" w:rsidTr="00203B42">
        <w:trPr>
          <w:trHeight w:val="293"/>
        </w:trPr>
        <w:tc>
          <w:tcPr>
            <w:tcW w:w="1880" w:type="dxa"/>
            <w:tcBorders>
              <w:top w:val="nil"/>
              <w:left w:val="nil"/>
              <w:bottom w:val="nil"/>
              <w:right w:val="nil"/>
            </w:tcBorders>
            <w:shd w:val="clear" w:color="000000" w:fill="FFFFFF"/>
            <w:noWrap/>
            <w:vAlign w:val="center"/>
            <w:hideMark/>
          </w:tcPr>
          <w:p w14:paraId="21695118" w14:textId="77777777" w:rsidR="006D6B2A" w:rsidRPr="006D6B2A" w:rsidRDefault="006D6B2A" w:rsidP="006D6B2A">
            <w:pPr>
              <w:spacing w:after="0" w:line="240" w:lineRule="auto"/>
              <w:jc w:val="right"/>
              <w:rPr>
                <w:rFonts w:ascii="Times New Roman" w:eastAsia="Times New Roman" w:hAnsi="Times New Roman" w:cs="Times New Roman"/>
                <w:b/>
                <w:bCs/>
                <w:sz w:val="24"/>
                <w:szCs w:val="24"/>
              </w:rPr>
            </w:pPr>
            <w:r w:rsidRPr="006D6B2A">
              <w:rPr>
                <w:rFonts w:ascii="Times New Roman" w:eastAsia="Times New Roman" w:hAnsi="Times New Roman" w:cs="Times New Roman"/>
                <w:b/>
                <w:bCs/>
                <w:sz w:val="24"/>
                <w:szCs w:val="24"/>
              </w:rPr>
              <w:t>Portugal</w:t>
            </w:r>
          </w:p>
        </w:tc>
        <w:tc>
          <w:tcPr>
            <w:tcW w:w="636" w:type="dxa"/>
            <w:tcBorders>
              <w:top w:val="nil"/>
              <w:left w:val="nil"/>
              <w:bottom w:val="nil"/>
              <w:right w:val="nil"/>
            </w:tcBorders>
            <w:shd w:val="clear" w:color="auto" w:fill="auto"/>
            <w:noWrap/>
            <w:vAlign w:val="bottom"/>
            <w:hideMark/>
          </w:tcPr>
          <w:p w14:paraId="6058BDE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4.14</w:t>
            </w:r>
          </w:p>
        </w:tc>
        <w:tc>
          <w:tcPr>
            <w:tcW w:w="1099" w:type="dxa"/>
            <w:tcBorders>
              <w:top w:val="nil"/>
              <w:left w:val="nil"/>
              <w:bottom w:val="nil"/>
              <w:right w:val="nil"/>
            </w:tcBorders>
            <w:shd w:val="clear" w:color="auto" w:fill="auto"/>
            <w:noWrap/>
            <w:vAlign w:val="bottom"/>
            <w:hideMark/>
          </w:tcPr>
          <w:p w14:paraId="477A9CB0"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-0.69</w:t>
            </w:r>
          </w:p>
        </w:tc>
        <w:tc>
          <w:tcPr>
            <w:tcW w:w="1123" w:type="dxa"/>
            <w:tcBorders>
              <w:top w:val="nil"/>
              <w:left w:val="nil"/>
              <w:bottom w:val="nil"/>
              <w:right w:val="nil"/>
            </w:tcBorders>
            <w:shd w:val="clear" w:color="auto" w:fill="auto"/>
            <w:noWrap/>
            <w:vAlign w:val="bottom"/>
            <w:hideMark/>
          </w:tcPr>
          <w:p w14:paraId="45D9EE3E"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2.23</w:t>
            </w:r>
          </w:p>
        </w:tc>
        <w:tc>
          <w:tcPr>
            <w:tcW w:w="1163" w:type="dxa"/>
            <w:tcBorders>
              <w:top w:val="nil"/>
              <w:left w:val="nil"/>
              <w:bottom w:val="nil"/>
              <w:right w:val="nil"/>
            </w:tcBorders>
            <w:shd w:val="clear" w:color="auto" w:fill="auto"/>
            <w:noWrap/>
            <w:vAlign w:val="bottom"/>
            <w:hideMark/>
          </w:tcPr>
          <w:p w14:paraId="5495A65A" w14:textId="77777777" w:rsidR="006D6B2A" w:rsidRPr="006D6B2A" w:rsidRDefault="006D6B2A" w:rsidP="006D6B2A">
            <w:pPr>
              <w:spacing w:after="0" w:line="240" w:lineRule="auto"/>
              <w:jc w:val="center"/>
              <w:rPr>
                <w:rFonts w:ascii="Times New Roman" w:eastAsia="Times New Roman" w:hAnsi="Times New Roman" w:cs="Times New Roman"/>
                <w:b/>
                <w:bCs/>
                <w:color w:val="000000"/>
                <w:sz w:val="24"/>
                <w:szCs w:val="24"/>
              </w:rPr>
            </w:pPr>
            <w:r w:rsidRPr="006D6B2A">
              <w:rPr>
                <w:rFonts w:ascii="Times New Roman" w:eastAsia="Times New Roman" w:hAnsi="Times New Roman" w:cs="Times New Roman"/>
                <w:b/>
                <w:bCs/>
                <w:color w:val="000000"/>
                <w:sz w:val="24"/>
                <w:szCs w:val="24"/>
              </w:rPr>
              <w:t>-2.92</w:t>
            </w:r>
          </w:p>
        </w:tc>
        <w:tc>
          <w:tcPr>
            <w:tcW w:w="910" w:type="dxa"/>
            <w:tcBorders>
              <w:top w:val="nil"/>
              <w:left w:val="nil"/>
              <w:bottom w:val="nil"/>
              <w:right w:val="nil"/>
            </w:tcBorders>
            <w:shd w:val="clear" w:color="000000" w:fill="FFFFFF"/>
            <w:noWrap/>
            <w:vAlign w:val="center"/>
            <w:hideMark/>
          </w:tcPr>
          <w:p w14:paraId="0C1B9EC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4.83</w:t>
            </w:r>
          </w:p>
        </w:tc>
        <w:tc>
          <w:tcPr>
            <w:tcW w:w="1123" w:type="dxa"/>
            <w:tcBorders>
              <w:top w:val="nil"/>
              <w:left w:val="nil"/>
              <w:bottom w:val="nil"/>
              <w:right w:val="nil"/>
            </w:tcBorders>
            <w:shd w:val="clear" w:color="000000" w:fill="FFFFFF"/>
            <w:noWrap/>
            <w:vAlign w:val="bottom"/>
            <w:hideMark/>
          </w:tcPr>
          <w:p w14:paraId="1AA6976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1.91</w:t>
            </w:r>
          </w:p>
        </w:tc>
        <w:tc>
          <w:tcPr>
            <w:tcW w:w="1163" w:type="dxa"/>
            <w:tcBorders>
              <w:top w:val="nil"/>
              <w:left w:val="nil"/>
              <w:bottom w:val="nil"/>
              <w:right w:val="nil"/>
            </w:tcBorders>
            <w:shd w:val="clear" w:color="000000" w:fill="FFFFFF"/>
            <w:noWrap/>
            <w:vAlign w:val="center"/>
            <w:hideMark/>
          </w:tcPr>
          <w:p w14:paraId="040B07D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2.92</w:t>
            </w:r>
          </w:p>
        </w:tc>
      </w:tr>
      <w:tr w:rsidR="006D6B2A" w:rsidRPr="006D6B2A" w14:paraId="09DCDE63" w14:textId="77777777" w:rsidTr="00203B42">
        <w:trPr>
          <w:trHeight w:val="293"/>
        </w:trPr>
        <w:tc>
          <w:tcPr>
            <w:tcW w:w="1880" w:type="dxa"/>
            <w:tcBorders>
              <w:top w:val="nil"/>
              <w:left w:val="nil"/>
              <w:bottom w:val="nil"/>
              <w:right w:val="nil"/>
            </w:tcBorders>
            <w:shd w:val="clear" w:color="000000" w:fill="FFFFFF"/>
            <w:noWrap/>
            <w:vAlign w:val="center"/>
            <w:hideMark/>
          </w:tcPr>
          <w:p w14:paraId="5157FA22"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Slovenia</w:t>
            </w:r>
          </w:p>
        </w:tc>
        <w:tc>
          <w:tcPr>
            <w:tcW w:w="636" w:type="dxa"/>
            <w:tcBorders>
              <w:top w:val="nil"/>
              <w:left w:val="nil"/>
              <w:bottom w:val="nil"/>
              <w:right w:val="nil"/>
            </w:tcBorders>
            <w:shd w:val="clear" w:color="auto" w:fill="auto"/>
            <w:noWrap/>
            <w:vAlign w:val="bottom"/>
            <w:hideMark/>
          </w:tcPr>
          <w:p w14:paraId="3723C40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4.23</w:t>
            </w:r>
          </w:p>
        </w:tc>
        <w:tc>
          <w:tcPr>
            <w:tcW w:w="1099" w:type="dxa"/>
            <w:tcBorders>
              <w:top w:val="nil"/>
              <w:left w:val="nil"/>
              <w:bottom w:val="nil"/>
              <w:right w:val="nil"/>
            </w:tcBorders>
            <w:shd w:val="clear" w:color="auto" w:fill="auto"/>
            <w:noWrap/>
            <w:vAlign w:val="bottom"/>
            <w:hideMark/>
          </w:tcPr>
          <w:p w14:paraId="72249DB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2.89</w:t>
            </w:r>
          </w:p>
        </w:tc>
        <w:tc>
          <w:tcPr>
            <w:tcW w:w="1123" w:type="dxa"/>
            <w:tcBorders>
              <w:top w:val="nil"/>
              <w:left w:val="nil"/>
              <w:bottom w:val="nil"/>
              <w:right w:val="nil"/>
            </w:tcBorders>
            <w:shd w:val="clear" w:color="auto" w:fill="auto"/>
            <w:noWrap/>
            <w:vAlign w:val="bottom"/>
            <w:hideMark/>
          </w:tcPr>
          <w:p w14:paraId="01C3F092"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3.14</w:t>
            </w:r>
          </w:p>
        </w:tc>
        <w:tc>
          <w:tcPr>
            <w:tcW w:w="1163" w:type="dxa"/>
            <w:tcBorders>
              <w:top w:val="nil"/>
              <w:left w:val="nil"/>
              <w:bottom w:val="nil"/>
              <w:right w:val="nil"/>
            </w:tcBorders>
            <w:shd w:val="clear" w:color="auto" w:fill="auto"/>
            <w:noWrap/>
            <w:vAlign w:val="bottom"/>
            <w:hideMark/>
          </w:tcPr>
          <w:p w14:paraId="54F0B83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-0.25</w:t>
            </w:r>
          </w:p>
        </w:tc>
        <w:tc>
          <w:tcPr>
            <w:tcW w:w="910" w:type="dxa"/>
            <w:tcBorders>
              <w:top w:val="nil"/>
              <w:left w:val="nil"/>
              <w:bottom w:val="nil"/>
              <w:right w:val="nil"/>
            </w:tcBorders>
            <w:shd w:val="clear" w:color="000000" w:fill="FFFFFF"/>
            <w:noWrap/>
            <w:vAlign w:val="center"/>
            <w:hideMark/>
          </w:tcPr>
          <w:p w14:paraId="31D862D7"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1.34</w:t>
            </w:r>
          </w:p>
        </w:tc>
        <w:tc>
          <w:tcPr>
            <w:tcW w:w="1123" w:type="dxa"/>
            <w:tcBorders>
              <w:top w:val="nil"/>
              <w:left w:val="nil"/>
              <w:bottom w:val="nil"/>
              <w:right w:val="nil"/>
            </w:tcBorders>
            <w:shd w:val="clear" w:color="000000" w:fill="FFFFFF"/>
            <w:noWrap/>
            <w:vAlign w:val="bottom"/>
            <w:hideMark/>
          </w:tcPr>
          <w:p w14:paraId="55548D73"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1.09</w:t>
            </w:r>
          </w:p>
        </w:tc>
        <w:tc>
          <w:tcPr>
            <w:tcW w:w="1163" w:type="dxa"/>
            <w:tcBorders>
              <w:top w:val="nil"/>
              <w:left w:val="nil"/>
              <w:bottom w:val="nil"/>
              <w:right w:val="nil"/>
            </w:tcBorders>
            <w:shd w:val="clear" w:color="000000" w:fill="FFFFFF"/>
            <w:noWrap/>
            <w:vAlign w:val="center"/>
            <w:hideMark/>
          </w:tcPr>
          <w:p w14:paraId="27C34939"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0.25</w:t>
            </w:r>
          </w:p>
        </w:tc>
      </w:tr>
      <w:tr w:rsidR="006D6B2A" w:rsidRPr="006D6B2A" w14:paraId="7123BE1A" w14:textId="77777777" w:rsidTr="00203B42">
        <w:trPr>
          <w:trHeight w:val="293"/>
        </w:trPr>
        <w:tc>
          <w:tcPr>
            <w:tcW w:w="1880" w:type="dxa"/>
            <w:tcBorders>
              <w:top w:val="nil"/>
              <w:left w:val="nil"/>
              <w:bottom w:val="nil"/>
              <w:right w:val="nil"/>
            </w:tcBorders>
            <w:shd w:val="clear" w:color="000000" w:fill="FFFFFF"/>
            <w:noWrap/>
            <w:vAlign w:val="center"/>
            <w:hideMark/>
          </w:tcPr>
          <w:p w14:paraId="794C24CC"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Spain</w:t>
            </w:r>
          </w:p>
        </w:tc>
        <w:tc>
          <w:tcPr>
            <w:tcW w:w="636" w:type="dxa"/>
            <w:tcBorders>
              <w:top w:val="nil"/>
              <w:left w:val="nil"/>
              <w:bottom w:val="nil"/>
              <w:right w:val="nil"/>
            </w:tcBorders>
            <w:shd w:val="clear" w:color="auto" w:fill="auto"/>
            <w:noWrap/>
            <w:vAlign w:val="bottom"/>
            <w:hideMark/>
          </w:tcPr>
          <w:p w14:paraId="792CA615"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4.36</w:t>
            </w:r>
          </w:p>
        </w:tc>
        <w:tc>
          <w:tcPr>
            <w:tcW w:w="1099" w:type="dxa"/>
            <w:tcBorders>
              <w:top w:val="nil"/>
              <w:left w:val="nil"/>
              <w:bottom w:val="nil"/>
              <w:right w:val="nil"/>
            </w:tcBorders>
            <w:shd w:val="clear" w:color="auto" w:fill="auto"/>
            <w:noWrap/>
            <w:vAlign w:val="bottom"/>
            <w:hideMark/>
          </w:tcPr>
          <w:p w14:paraId="40EC7D1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2.07</w:t>
            </w:r>
          </w:p>
        </w:tc>
        <w:tc>
          <w:tcPr>
            <w:tcW w:w="1123" w:type="dxa"/>
            <w:tcBorders>
              <w:top w:val="nil"/>
              <w:left w:val="nil"/>
              <w:bottom w:val="nil"/>
              <w:right w:val="nil"/>
            </w:tcBorders>
            <w:shd w:val="clear" w:color="auto" w:fill="auto"/>
            <w:noWrap/>
            <w:vAlign w:val="bottom"/>
            <w:hideMark/>
          </w:tcPr>
          <w:p w14:paraId="4B88F417"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3.03</w:t>
            </w:r>
          </w:p>
        </w:tc>
        <w:tc>
          <w:tcPr>
            <w:tcW w:w="1163" w:type="dxa"/>
            <w:tcBorders>
              <w:top w:val="nil"/>
              <w:left w:val="nil"/>
              <w:bottom w:val="nil"/>
              <w:right w:val="nil"/>
            </w:tcBorders>
            <w:shd w:val="clear" w:color="auto" w:fill="auto"/>
            <w:noWrap/>
            <w:vAlign w:val="bottom"/>
            <w:hideMark/>
          </w:tcPr>
          <w:p w14:paraId="6008EA6C"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-0.96</w:t>
            </w:r>
          </w:p>
        </w:tc>
        <w:tc>
          <w:tcPr>
            <w:tcW w:w="910" w:type="dxa"/>
            <w:tcBorders>
              <w:top w:val="nil"/>
              <w:left w:val="nil"/>
              <w:bottom w:val="nil"/>
              <w:right w:val="nil"/>
            </w:tcBorders>
            <w:shd w:val="clear" w:color="000000" w:fill="FFFFFF"/>
            <w:noWrap/>
            <w:vAlign w:val="center"/>
            <w:hideMark/>
          </w:tcPr>
          <w:p w14:paraId="511629C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2.29</w:t>
            </w:r>
          </w:p>
        </w:tc>
        <w:tc>
          <w:tcPr>
            <w:tcW w:w="1123" w:type="dxa"/>
            <w:tcBorders>
              <w:top w:val="nil"/>
              <w:left w:val="nil"/>
              <w:bottom w:val="nil"/>
              <w:right w:val="nil"/>
            </w:tcBorders>
            <w:shd w:val="clear" w:color="000000" w:fill="FFFFFF"/>
            <w:noWrap/>
            <w:vAlign w:val="bottom"/>
            <w:hideMark/>
          </w:tcPr>
          <w:p w14:paraId="5A4E348D"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1.33</w:t>
            </w:r>
          </w:p>
        </w:tc>
        <w:tc>
          <w:tcPr>
            <w:tcW w:w="1163" w:type="dxa"/>
            <w:tcBorders>
              <w:top w:val="nil"/>
              <w:left w:val="nil"/>
              <w:bottom w:val="nil"/>
              <w:right w:val="nil"/>
            </w:tcBorders>
            <w:shd w:val="clear" w:color="000000" w:fill="FFFFFF"/>
            <w:noWrap/>
            <w:vAlign w:val="center"/>
            <w:hideMark/>
          </w:tcPr>
          <w:p w14:paraId="0542DCF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0.96</w:t>
            </w:r>
          </w:p>
        </w:tc>
      </w:tr>
      <w:tr w:rsidR="006D6B2A" w:rsidRPr="006D6B2A" w14:paraId="7CC773CB" w14:textId="77777777" w:rsidTr="00203B42">
        <w:trPr>
          <w:trHeight w:val="293"/>
        </w:trPr>
        <w:tc>
          <w:tcPr>
            <w:tcW w:w="1880" w:type="dxa"/>
            <w:tcBorders>
              <w:top w:val="nil"/>
              <w:left w:val="nil"/>
              <w:bottom w:val="nil"/>
              <w:right w:val="nil"/>
            </w:tcBorders>
            <w:shd w:val="clear" w:color="000000" w:fill="FFFFFF"/>
            <w:noWrap/>
            <w:vAlign w:val="center"/>
            <w:hideMark/>
          </w:tcPr>
          <w:p w14:paraId="0340EB80"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Sweden</w:t>
            </w:r>
          </w:p>
        </w:tc>
        <w:tc>
          <w:tcPr>
            <w:tcW w:w="636" w:type="dxa"/>
            <w:tcBorders>
              <w:top w:val="nil"/>
              <w:left w:val="nil"/>
              <w:bottom w:val="nil"/>
              <w:right w:val="nil"/>
            </w:tcBorders>
            <w:shd w:val="clear" w:color="auto" w:fill="auto"/>
            <w:noWrap/>
            <w:vAlign w:val="bottom"/>
            <w:hideMark/>
          </w:tcPr>
          <w:p w14:paraId="6C97514F"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2.73</w:t>
            </w:r>
          </w:p>
        </w:tc>
        <w:tc>
          <w:tcPr>
            <w:tcW w:w="1099" w:type="dxa"/>
            <w:tcBorders>
              <w:top w:val="nil"/>
              <w:left w:val="nil"/>
              <w:bottom w:val="nil"/>
              <w:right w:val="nil"/>
            </w:tcBorders>
            <w:shd w:val="clear" w:color="auto" w:fill="auto"/>
            <w:noWrap/>
            <w:vAlign w:val="bottom"/>
            <w:hideMark/>
          </w:tcPr>
          <w:p w14:paraId="04172C4E"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2.02</w:t>
            </w:r>
          </w:p>
        </w:tc>
        <w:tc>
          <w:tcPr>
            <w:tcW w:w="1123" w:type="dxa"/>
            <w:tcBorders>
              <w:top w:val="nil"/>
              <w:left w:val="nil"/>
              <w:bottom w:val="nil"/>
              <w:right w:val="nil"/>
            </w:tcBorders>
            <w:shd w:val="clear" w:color="auto" w:fill="auto"/>
            <w:noWrap/>
            <w:vAlign w:val="bottom"/>
            <w:hideMark/>
          </w:tcPr>
          <w:p w14:paraId="080B6669"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2.19</w:t>
            </w:r>
          </w:p>
        </w:tc>
        <w:tc>
          <w:tcPr>
            <w:tcW w:w="1163" w:type="dxa"/>
            <w:tcBorders>
              <w:top w:val="nil"/>
              <w:left w:val="nil"/>
              <w:bottom w:val="nil"/>
              <w:right w:val="nil"/>
            </w:tcBorders>
            <w:shd w:val="clear" w:color="auto" w:fill="auto"/>
            <w:noWrap/>
            <w:vAlign w:val="bottom"/>
            <w:hideMark/>
          </w:tcPr>
          <w:p w14:paraId="386474D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-0.16</w:t>
            </w:r>
          </w:p>
        </w:tc>
        <w:tc>
          <w:tcPr>
            <w:tcW w:w="910" w:type="dxa"/>
            <w:tcBorders>
              <w:top w:val="nil"/>
              <w:left w:val="nil"/>
              <w:bottom w:val="nil"/>
              <w:right w:val="nil"/>
            </w:tcBorders>
            <w:shd w:val="clear" w:color="000000" w:fill="FFFFFF"/>
            <w:noWrap/>
            <w:vAlign w:val="center"/>
            <w:hideMark/>
          </w:tcPr>
          <w:p w14:paraId="00E3BD9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0.71</w:t>
            </w:r>
          </w:p>
        </w:tc>
        <w:tc>
          <w:tcPr>
            <w:tcW w:w="1123" w:type="dxa"/>
            <w:tcBorders>
              <w:top w:val="nil"/>
              <w:left w:val="nil"/>
              <w:bottom w:val="nil"/>
              <w:right w:val="nil"/>
            </w:tcBorders>
            <w:shd w:val="clear" w:color="000000" w:fill="FFFFFF"/>
            <w:noWrap/>
            <w:vAlign w:val="bottom"/>
            <w:hideMark/>
          </w:tcPr>
          <w:p w14:paraId="3BEC2C82"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0.54</w:t>
            </w:r>
          </w:p>
        </w:tc>
        <w:tc>
          <w:tcPr>
            <w:tcW w:w="1163" w:type="dxa"/>
            <w:tcBorders>
              <w:top w:val="nil"/>
              <w:left w:val="nil"/>
              <w:bottom w:val="nil"/>
              <w:right w:val="nil"/>
            </w:tcBorders>
            <w:shd w:val="clear" w:color="000000" w:fill="FFFFFF"/>
            <w:noWrap/>
            <w:vAlign w:val="center"/>
            <w:hideMark/>
          </w:tcPr>
          <w:p w14:paraId="6E743FFB"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0.16</w:t>
            </w:r>
          </w:p>
        </w:tc>
      </w:tr>
      <w:tr w:rsidR="006D6B2A" w:rsidRPr="006D6B2A" w14:paraId="553EB5AE" w14:textId="77777777" w:rsidTr="00203B42">
        <w:trPr>
          <w:trHeight w:val="293"/>
        </w:trPr>
        <w:tc>
          <w:tcPr>
            <w:tcW w:w="1880" w:type="dxa"/>
            <w:tcBorders>
              <w:top w:val="nil"/>
              <w:left w:val="nil"/>
              <w:bottom w:val="single" w:sz="4" w:space="0" w:color="auto"/>
              <w:right w:val="nil"/>
            </w:tcBorders>
            <w:shd w:val="clear" w:color="000000" w:fill="FFFFFF"/>
            <w:noWrap/>
            <w:vAlign w:val="center"/>
            <w:hideMark/>
          </w:tcPr>
          <w:p w14:paraId="0AB23D71" w14:textId="77777777" w:rsidR="006D6B2A" w:rsidRPr="006D6B2A" w:rsidRDefault="006D6B2A" w:rsidP="006D6B2A">
            <w:pPr>
              <w:spacing w:after="0" w:line="240" w:lineRule="auto"/>
              <w:jc w:val="right"/>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Switzerland</w:t>
            </w:r>
          </w:p>
        </w:tc>
        <w:tc>
          <w:tcPr>
            <w:tcW w:w="636" w:type="dxa"/>
            <w:tcBorders>
              <w:top w:val="nil"/>
              <w:left w:val="nil"/>
              <w:bottom w:val="single" w:sz="4" w:space="0" w:color="auto"/>
              <w:right w:val="nil"/>
            </w:tcBorders>
            <w:shd w:val="clear" w:color="auto" w:fill="auto"/>
            <w:noWrap/>
            <w:vAlign w:val="bottom"/>
            <w:hideMark/>
          </w:tcPr>
          <w:p w14:paraId="72EBD3EA"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3.26</w:t>
            </w:r>
          </w:p>
        </w:tc>
        <w:tc>
          <w:tcPr>
            <w:tcW w:w="1099" w:type="dxa"/>
            <w:tcBorders>
              <w:top w:val="nil"/>
              <w:left w:val="nil"/>
              <w:bottom w:val="single" w:sz="4" w:space="0" w:color="auto"/>
              <w:right w:val="nil"/>
            </w:tcBorders>
            <w:shd w:val="clear" w:color="auto" w:fill="auto"/>
            <w:noWrap/>
            <w:vAlign w:val="bottom"/>
            <w:hideMark/>
          </w:tcPr>
          <w:p w14:paraId="5C2DBD3B"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2.38</w:t>
            </w:r>
          </w:p>
        </w:tc>
        <w:tc>
          <w:tcPr>
            <w:tcW w:w="1123" w:type="dxa"/>
            <w:tcBorders>
              <w:top w:val="nil"/>
              <w:left w:val="nil"/>
              <w:bottom w:val="single" w:sz="4" w:space="0" w:color="auto"/>
              <w:right w:val="nil"/>
            </w:tcBorders>
            <w:shd w:val="clear" w:color="auto" w:fill="auto"/>
            <w:noWrap/>
            <w:vAlign w:val="bottom"/>
            <w:hideMark/>
          </w:tcPr>
          <w:p w14:paraId="61C158C6"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2.59</w:t>
            </w:r>
          </w:p>
        </w:tc>
        <w:tc>
          <w:tcPr>
            <w:tcW w:w="1163" w:type="dxa"/>
            <w:tcBorders>
              <w:top w:val="nil"/>
              <w:left w:val="nil"/>
              <w:bottom w:val="single" w:sz="4" w:space="0" w:color="auto"/>
              <w:right w:val="nil"/>
            </w:tcBorders>
            <w:shd w:val="clear" w:color="auto" w:fill="auto"/>
            <w:noWrap/>
            <w:vAlign w:val="bottom"/>
            <w:hideMark/>
          </w:tcPr>
          <w:p w14:paraId="517783B0" w14:textId="77777777" w:rsidR="006D6B2A" w:rsidRPr="006D6B2A" w:rsidRDefault="006D6B2A" w:rsidP="006D6B2A">
            <w:pPr>
              <w:spacing w:after="0" w:line="240" w:lineRule="auto"/>
              <w:jc w:val="center"/>
              <w:rPr>
                <w:rFonts w:ascii="Times New Roman" w:eastAsia="Times New Roman" w:hAnsi="Times New Roman" w:cs="Times New Roman"/>
                <w:color w:val="000000"/>
                <w:sz w:val="24"/>
                <w:szCs w:val="24"/>
              </w:rPr>
            </w:pPr>
            <w:r w:rsidRPr="006D6B2A">
              <w:rPr>
                <w:rFonts w:ascii="Times New Roman" w:eastAsia="Times New Roman" w:hAnsi="Times New Roman" w:cs="Times New Roman"/>
                <w:color w:val="000000"/>
                <w:sz w:val="24"/>
                <w:szCs w:val="24"/>
              </w:rPr>
              <w:t>-0.21</w:t>
            </w:r>
          </w:p>
        </w:tc>
        <w:tc>
          <w:tcPr>
            <w:tcW w:w="910" w:type="dxa"/>
            <w:tcBorders>
              <w:top w:val="nil"/>
              <w:left w:val="nil"/>
              <w:bottom w:val="single" w:sz="4" w:space="0" w:color="auto"/>
              <w:right w:val="nil"/>
            </w:tcBorders>
            <w:shd w:val="clear" w:color="000000" w:fill="FFFFFF"/>
            <w:noWrap/>
            <w:vAlign w:val="center"/>
            <w:hideMark/>
          </w:tcPr>
          <w:p w14:paraId="7103D605"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0.89</w:t>
            </w:r>
          </w:p>
        </w:tc>
        <w:tc>
          <w:tcPr>
            <w:tcW w:w="1123" w:type="dxa"/>
            <w:tcBorders>
              <w:top w:val="nil"/>
              <w:left w:val="nil"/>
              <w:bottom w:val="single" w:sz="4" w:space="0" w:color="auto"/>
              <w:right w:val="nil"/>
            </w:tcBorders>
            <w:shd w:val="clear" w:color="000000" w:fill="FFFFFF"/>
            <w:noWrap/>
            <w:vAlign w:val="bottom"/>
            <w:hideMark/>
          </w:tcPr>
          <w:p w14:paraId="3B366AEA"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0.67</w:t>
            </w:r>
          </w:p>
        </w:tc>
        <w:tc>
          <w:tcPr>
            <w:tcW w:w="1163" w:type="dxa"/>
            <w:tcBorders>
              <w:top w:val="nil"/>
              <w:left w:val="nil"/>
              <w:bottom w:val="single" w:sz="4" w:space="0" w:color="auto"/>
              <w:right w:val="nil"/>
            </w:tcBorders>
            <w:shd w:val="clear" w:color="000000" w:fill="FFFFFF"/>
            <w:noWrap/>
            <w:vAlign w:val="center"/>
            <w:hideMark/>
          </w:tcPr>
          <w:p w14:paraId="31B05878" w14:textId="77777777" w:rsidR="006D6B2A" w:rsidRPr="006D6B2A" w:rsidRDefault="006D6B2A" w:rsidP="006D6B2A">
            <w:pPr>
              <w:spacing w:after="0" w:line="240" w:lineRule="auto"/>
              <w:jc w:val="center"/>
              <w:rPr>
                <w:rFonts w:ascii="Times New Roman" w:eastAsia="Times New Roman" w:hAnsi="Times New Roman" w:cs="Times New Roman"/>
                <w:sz w:val="24"/>
                <w:szCs w:val="24"/>
              </w:rPr>
            </w:pPr>
            <w:r w:rsidRPr="006D6B2A">
              <w:rPr>
                <w:rFonts w:ascii="Times New Roman" w:eastAsia="Times New Roman" w:hAnsi="Times New Roman" w:cs="Times New Roman"/>
                <w:sz w:val="24"/>
                <w:szCs w:val="24"/>
              </w:rPr>
              <w:t>0.21</w:t>
            </w:r>
          </w:p>
        </w:tc>
      </w:tr>
    </w:tbl>
    <w:p w14:paraId="01561C0A" w14:textId="77777777" w:rsidR="00203B42" w:rsidRPr="007525E6" w:rsidRDefault="00203B42" w:rsidP="00203B42">
      <w:pPr>
        <w:spacing w:line="240" w:lineRule="auto"/>
        <w:jc w:val="both"/>
        <w:rPr>
          <w:rFonts w:ascii="Arial" w:hAnsi="Arial" w:cs="Arial"/>
          <w:color w:val="000000"/>
          <w:sz w:val="16"/>
          <w:szCs w:val="16"/>
          <w:shd w:val="clear" w:color="auto" w:fill="FFFFFF"/>
        </w:rPr>
      </w:pPr>
      <w:r w:rsidRPr="007525E6">
        <w:rPr>
          <w:rFonts w:ascii="Arial" w:hAnsi="Arial" w:cs="Arial"/>
          <w:color w:val="000000"/>
          <w:sz w:val="16"/>
          <w:szCs w:val="16"/>
          <w:shd w:val="clear" w:color="auto" w:fill="FFFFFF"/>
        </w:rPr>
        <w:t>Source:</w:t>
      </w:r>
      <w:r>
        <w:rPr>
          <w:rFonts w:ascii="Arial" w:hAnsi="Arial" w:cs="Arial"/>
          <w:color w:val="000000"/>
          <w:sz w:val="16"/>
          <w:szCs w:val="16"/>
          <w:shd w:val="clear" w:color="auto" w:fill="FFFFFF"/>
        </w:rPr>
        <w:t xml:space="preserve"> </w:t>
      </w:r>
      <w:r w:rsidRPr="00E00B71">
        <w:rPr>
          <w:rFonts w:ascii="Arial" w:hAnsi="Arial" w:cs="Arial"/>
          <w:color w:val="000000"/>
          <w:sz w:val="16"/>
          <w:szCs w:val="16"/>
          <w:shd w:val="clear" w:color="auto" w:fill="FFFFFF"/>
        </w:rPr>
        <w:t>Gateway to Global Aging Data, Produced by the Program on Global Aging, Health &amp; Policy, University of Southern California with funding from the National Institute on Aging (R01 AG030153)</w:t>
      </w:r>
    </w:p>
    <w:p w14:paraId="77A465EB" w14:textId="77777777" w:rsidR="006F1B66" w:rsidRDefault="006F1B66" w:rsidP="00761211">
      <w:pPr>
        <w:spacing w:line="240" w:lineRule="auto"/>
        <w:jc w:val="both"/>
        <w:rPr>
          <w:rFonts w:ascii="Arial" w:hAnsi="Arial" w:cs="Arial"/>
          <w:b/>
          <w:bCs/>
          <w:color w:val="000000"/>
          <w:sz w:val="24"/>
          <w:szCs w:val="24"/>
          <w:shd w:val="clear" w:color="auto" w:fill="FFFFFF"/>
        </w:rPr>
      </w:pPr>
    </w:p>
    <w:p w14:paraId="1D2DDFC0" w14:textId="291D9DD2" w:rsidR="006465DD" w:rsidRDefault="006465DD" w:rsidP="00761211">
      <w:pPr>
        <w:spacing w:line="240" w:lineRule="auto"/>
        <w:jc w:val="both"/>
        <w:rPr>
          <w:rFonts w:ascii="Arial" w:hAnsi="Arial" w:cs="Arial"/>
          <w:b/>
          <w:bCs/>
          <w:color w:val="000000"/>
          <w:sz w:val="24"/>
          <w:szCs w:val="24"/>
          <w:shd w:val="clear" w:color="auto" w:fill="FFFFFF"/>
        </w:rPr>
      </w:pPr>
    </w:p>
    <w:p w14:paraId="703C4698" w14:textId="536D3618" w:rsidR="00021F9A" w:rsidRDefault="00021F9A" w:rsidP="00761211">
      <w:pPr>
        <w:spacing w:line="240" w:lineRule="auto"/>
        <w:jc w:val="both"/>
        <w:rPr>
          <w:rFonts w:ascii="Arial" w:hAnsi="Arial" w:cs="Arial"/>
          <w:b/>
          <w:bCs/>
          <w:color w:val="000000"/>
          <w:sz w:val="24"/>
          <w:szCs w:val="24"/>
          <w:shd w:val="clear" w:color="auto" w:fill="FFFFFF"/>
        </w:rPr>
      </w:pPr>
    </w:p>
    <w:p w14:paraId="1FC120BF" w14:textId="77777777" w:rsidR="00021F9A" w:rsidRDefault="00021F9A" w:rsidP="00761211">
      <w:pPr>
        <w:spacing w:line="240" w:lineRule="auto"/>
        <w:jc w:val="both"/>
        <w:rPr>
          <w:rFonts w:ascii="Arial" w:hAnsi="Arial" w:cs="Arial"/>
          <w:b/>
          <w:bCs/>
          <w:color w:val="000000"/>
          <w:sz w:val="24"/>
          <w:szCs w:val="24"/>
          <w:shd w:val="clear" w:color="auto" w:fill="FFFFFF"/>
        </w:rPr>
      </w:pPr>
    </w:p>
    <w:p w14:paraId="4D471AC1" w14:textId="77777777" w:rsidR="006465DD" w:rsidRDefault="006465DD" w:rsidP="00761211">
      <w:pPr>
        <w:spacing w:line="240" w:lineRule="auto"/>
        <w:jc w:val="both"/>
        <w:rPr>
          <w:rFonts w:ascii="Arial" w:hAnsi="Arial" w:cs="Arial"/>
          <w:b/>
          <w:bCs/>
          <w:color w:val="000000"/>
          <w:sz w:val="24"/>
          <w:szCs w:val="24"/>
          <w:shd w:val="clear" w:color="auto" w:fill="FFFFFF"/>
        </w:rPr>
      </w:pPr>
    </w:p>
    <w:p w14:paraId="4EB9FC9D" w14:textId="03ED9A5A" w:rsidR="00401EDB" w:rsidRDefault="00401EDB" w:rsidP="00761211">
      <w:pPr>
        <w:spacing w:line="240" w:lineRule="auto"/>
        <w:jc w:val="both"/>
        <w:rPr>
          <w:rFonts w:ascii="Arial" w:hAnsi="Arial" w:cs="Arial"/>
          <w:b/>
          <w:bCs/>
          <w:color w:val="000000"/>
          <w:sz w:val="24"/>
          <w:szCs w:val="24"/>
          <w:shd w:val="clear" w:color="auto" w:fill="FFFFFF"/>
        </w:rPr>
      </w:pPr>
      <w:commentRangeStart w:id="5"/>
      <w:r>
        <w:rPr>
          <w:rFonts w:ascii="Arial" w:hAnsi="Arial" w:cs="Arial"/>
          <w:b/>
          <w:bCs/>
          <w:color w:val="000000"/>
          <w:sz w:val="24"/>
          <w:szCs w:val="24"/>
          <w:shd w:val="clear" w:color="auto" w:fill="FFFFFF"/>
        </w:rPr>
        <w:lastRenderedPageBreak/>
        <w:t>Discussion</w:t>
      </w:r>
      <w:commentRangeEnd w:id="5"/>
      <w:r w:rsidR="00021F9A">
        <w:rPr>
          <w:rStyle w:val="CommentReference"/>
        </w:rPr>
        <w:commentReference w:id="5"/>
      </w:r>
    </w:p>
    <w:p w14:paraId="17E781E7" w14:textId="77777777" w:rsidR="007A67C7" w:rsidRDefault="007A67C7" w:rsidP="00761211">
      <w:pPr>
        <w:spacing w:line="240" w:lineRule="auto"/>
        <w:jc w:val="both"/>
        <w:rPr>
          <w:rFonts w:ascii="Arial" w:hAnsi="Arial" w:cs="Arial"/>
          <w:b/>
          <w:bCs/>
          <w:color w:val="000000"/>
          <w:sz w:val="24"/>
          <w:szCs w:val="24"/>
          <w:shd w:val="clear" w:color="auto" w:fill="FFFFFF"/>
        </w:rPr>
      </w:pPr>
    </w:p>
    <w:p w14:paraId="7D471DF6" w14:textId="77777777" w:rsidR="00432F17" w:rsidRDefault="00353737" w:rsidP="00FB5491">
      <w:pPr>
        <w:spacing w:line="360" w:lineRule="auto"/>
        <w:jc w:val="both"/>
        <w:rPr>
          <w:rFonts w:ascii="Arial" w:hAnsi="Arial" w:cs="Arial"/>
          <w:bCs/>
          <w:sz w:val="24"/>
          <w:szCs w:val="24"/>
        </w:rPr>
      </w:pPr>
      <w:r>
        <w:rPr>
          <w:rFonts w:ascii="Arial" w:hAnsi="Arial" w:cs="Arial"/>
          <w:bCs/>
          <w:sz w:val="24"/>
          <w:szCs w:val="24"/>
        </w:rPr>
        <w:t>Measuring</w:t>
      </w:r>
      <w:r w:rsidRPr="00353737">
        <w:rPr>
          <w:rFonts w:ascii="Arial" w:hAnsi="Arial" w:cs="Arial"/>
          <w:bCs/>
          <w:sz w:val="24"/>
          <w:szCs w:val="24"/>
        </w:rPr>
        <w:t xml:space="preserve"> gender disparities in health and mortality a</w:t>
      </w:r>
      <w:r>
        <w:rPr>
          <w:rFonts w:ascii="Arial" w:hAnsi="Arial" w:cs="Arial"/>
          <w:bCs/>
          <w:sz w:val="24"/>
          <w:szCs w:val="24"/>
        </w:rPr>
        <w:t>nd what contributes to the gender gap across different countries is key for understanding what drives the gap. Different countries not only have specific health and mortality trajectories but their own cultural and gender roles, which may in turn affect the differentials. Cross-national comparisons are thus important to further shed light into the topic. Embracing a macro perspective on gender gaps is key for r</w:t>
      </w:r>
      <w:r w:rsidR="00FB5491" w:rsidRPr="0030706E">
        <w:rPr>
          <w:rFonts w:ascii="Arial" w:hAnsi="Arial" w:cs="Arial"/>
          <w:bCs/>
          <w:sz w:val="24"/>
          <w:szCs w:val="24"/>
        </w:rPr>
        <w:t xml:space="preserve">educing health inequalities within and between populations </w:t>
      </w:r>
      <w:r>
        <w:rPr>
          <w:rFonts w:ascii="Arial" w:hAnsi="Arial" w:cs="Arial"/>
          <w:bCs/>
          <w:sz w:val="24"/>
          <w:szCs w:val="24"/>
        </w:rPr>
        <w:t xml:space="preserve">and </w:t>
      </w:r>
      <w:r w:rsidR="00FB5491" w:rsidRPr="0030706E">
        <w:rPr>
          <w:rFonts w:ascii="Arial" w:hAnsi="Arial" w:cs="Arial"/>
          <w:bCs/>
          <w:sz w:val="24"/>
          <w:szCs w:val="24"/>
        </w:rPr>
        <w:t xml:space="preserve">ensuring equal opportunities for healthy aging. </w:t>
      </w:r>
      <w:r w:rsidR="00CD7A97" w:rsidRPr="00CD7A97">
        <w:rPr>
          <w:rFonts w:ascii="Arial" w:hAnsi="Arial" w:cs="Arial"/>
          <w:bCs/>
          <w:sz w:val="24"/>
          <w:szCs w:val="24"/>
        </w:rPr>
        <w:t>The fact that in many places, women live longer and expect to spend a higher proportion of their lives in poorer health has startling effects on their well-being since poorer health for women usually means non-lethal, but debilitating conditions such as arthritis, fall-related fractures, and dementia, which limit their ability to remain independent, engage in social activities, and usually demand long-term care (Freedman et al., 2016). Because women face widowhood at an earlier age, have lower labor force participation rates, and tend to retire earlier with lower income than men, they are more exposed to poverty and financial insecurity, as their economic resources are more limited (Ruel and Hauser, 2013).</w:t>
      </w:r>
    </w:p>
    <w:p w14:paraId="2D52C8A4" w14:textId="41B6C496" w:rsidR="00FB5491" w:rsidRPr="00353737" w:rsidRDefault="00432F17" w:rsidP="00FB5491">
      <w:pPr>
        <w:spacing w:line="360" w:lineRule="auto"/>
        <w:jc w:val="both"/>
        <w:rPr>
          <w:rFonts w:ascii="Arial" w:hAnsi="Arial" w:cs="Arial"/>
          <w:bCs/>
          <w:sz w:val="24"/>
          <w:szCs w:val="24"/>
        </w:rPr>
      </w:pPr>
      <w:r>
        <w:rPr>
          <w:rFonts w:ascii="Arial" w:hAnsi="Arial" w:cs="Arial"/>
          <w:sz w:val="24"/>
          <w:szCs w:val="24"/>
        </w:rPr>
        <w:t>Furthermore, h</w:t>
      </w:r>
      <w:r w:rsidR="00FB5491" w:rsidRPr="0030706E">
        <w:rPr>
          <w:rFonts w:ascii="Arial" w:hAnsi="Arial" w:cs="Arial"/>
          <w:sz w:val="24"/>
          <w:szCs w:val="24"/>
        </w:rPr>
        <w:t xml:space="preserve">ealth is a fundamental element of human capital and individual productivity, so gender inequality in health can have profound macroeconomic implications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{"citationItems":[{"id":"ITEM-1","itemData":{"author":[{"dropping-particle":"","family":"Bloom","given":"David E","non-dropping-particle":"","parse-names":false,"suffix":""},{"dropping-particle":"","family":"Canning","given":"David","non-dropping-particle":"","parse-names":false,"suffix":""}],"id":"ITEM-1","issued":{"date-parts":[["2004"]]},"title":"Population Growth , Age Structure , and Economic Growth The 1986 Report","type":"article-journal"},"uris":["http://www.mendeley.com/documents/?uuid=5faa4341-5abb-4068-8d63-ca990ec78d9f"]},{"id":"ITEM-2","itemData":{"DOI":"10.1016/j.labeco.2012.07.001","ISSN":"09275371","abstract":"It is widely argued that declining fertility slows the pace of economic growth in industrialized countries through its negative effect on labor supply. There are, however, theoretical arguments suggesting that the effect of falling fertility on effective labor supply can be offset by associated behavioral changes. We formalize these arguments by setting forth a dynamic consumer optimization model that incorporates endogenous fertility as well as endogenous education and health investments. The model shows that a fertility decline induces higher education and health investments that are able to compensate for declining fertility under certain circumstances. We assess the theoretical implications by investigating panel data for 118 countries over the period 1980 to 2005 and show that behavioral changes partly mitigate the negative impact of declining fertility on effective labor supply. © 2012 Elsevier B.V.","author":[{"dropping-particle":"","family":"Prettner","given":"Klaus","non-dropping-particle":"","parse-names":false,"suffix":""},{"dropping-particle":"","family":"Bloom","given":"David E.","non-dropping-particle":"","parse-names":false,"suffix":""},{"dropping-particle":"","family":"Strulik","given":"Holger","non-dropping-particle":"","parse-names":false,"suffix":""}],"container-title":"Labour Economics","id":"ITEM-2","issued":{"date-parts":[["2013","6"]]},"page":"70-79","title":"Declining fertility and economic well-being: Do education and health ride to the rescue?","type":"article-journal","volume":"22"},"uris":["http://www.mendeley.com/documents/?uuid=0db7ee61-d5a4-3200-b162-9086b5938425"]}],"mendeley":{"formattedCitation":"(Bloom and Canning 2004; Prettner et al. 2013)","plainTextFormattedCitation":"(Bloom and Canning 2004; Prettner et al. 2013)","previouslyFormattedCitation":"(Bloom and Canning 2004; Prettner et al. 2013)"},"properties":{"noteIndex":0},"schema":"https://github.com/citation-style-language/schema/raw/master/csl-citation.json"}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and Canning 2004; Prettner et al. 2013)</w:t>
      </w:r>
      <w:r w:rsidR="00FB5491" w:rsidRPr="0030706E">
        <w:rPr>
          <w:rFonts w:ascii="Arial" w:hAnsi="Arial" w:cs="Arial"/>
          <w:sz w:val="24"/>
          <w:szCs w:val="24"/>
        </w:rPr>
        <w:fldChar w:fldCharType="end"/>
      </w:r>
      <w:r w:rsidR="00FB5491" w:rsidRPr="0030706E">
        <w:rPr>
          <w:rFonts w:ascii="Arial" w:hAnsi="Arial" w:cs="Arial"/>
          <w:sz w:val="24"/>
          <w:szCs w:val="24"/>
        </w:rPr>
        <w:t>.</w:t>
      </w:r>
      <w:r w:rsidR="00FB5491" w:rsidRPr="0030706E">
        <w:rPr>
          <w:rFonts w:ascii="Arial" w:hAnsi="Arial" w:cs="Arial"/>
          <w:bCs/>
          <w:sz w:val="24"/>
          <w:szCs w:val="24"/>
        </w:rPr>
        <w:t xml:space="preserve"> Because women </w:t>
      </w:r>
      <w:r w:rsidR="00FB5491" w:rsidRPr="0030706E">
        <w:rPr>
          <w:rFonts w:ascii="Arial" w:hAnsi="Arial" w:cs="Arial"/>
          <w:sz w:val="24"/>
          <w:szCs w:val="24"/>
        </w:rPr>
        <w:t xml:space="preserve">live longer than men but face greater morbidity during their lives, they experience higher productivity losses and lower labor force participation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{"citationItems":[{"id":"ITEM-1","itemData":{"DOI":"10.1016/0277-9536(93)90249-4","ISSN":"02779536","abstract":"Good health is an integral component of the quality of human life, a prerequisite for developing human potential and an important determinant of economic development. When a person is ill from a tropical disease in an agricultural economy, a complex interaction between the individual's welfare and the family's welfare is set in motion. So complex are these interactions that few empirical studies exist on this subject and even where they do, empirical quantification of these interactions and economic losses places the analyst in the minefield of valuing time, ability and contribution to economic welfare. Placing monetary values on these commodities is always a little unsatisfactory since dollar values do not adequately reflect the nature of the losses. Secondly, the ill person's struggle to minimize the economic effects of disease on family income will mask its true impact; thirdly, tropical diseases disproportionately affect low-income groups and therefore measuring the income effects of disease amongst these groups will only reach at the earnings effect, and underestimate the economic implications of tropical disease control. Despite these difficulties, quantification of the economic impact of disease is important from a public health point of view. This study is an attempt at such a task, and focuses on the intra-familial struggle to minimize economic losses due to malaria. Using a case-control approach, time-losses and labour reallocations within the household are examined in an attempt to understand the economic consequences of the disease. One conclusion is that there is no symmetry between the disease burden and the economic burden; in this study the disease burden was greatest amongst males, but the economic impact of this burden was greatest amongst females who postponed or carried out their own activities in addition to caring for the sick and replacing them in farm production. © 1993.","author":[{"dropping-particle":"","family":"Bonilla","given":"Elssy","non-dropping-particle":"","parse-names":false,"suffix":""},{"dropping-particle":"","family":"Rodriguez","given":"A.","non-dropping-particle":"","parse-names":false,"suffix":""}],"container-title":"Social Science &amp; Medicine","id":"ITEM-1","issue":"9","issued":{"date-parts":[["1993","11"]]},"page":"1109-1114","title":"Determining malaria effects in rural Colombia","type":"article-journal","volume":"37"},"uris":["http://www.mendeley.com/documents/?uuid=8ba286b4-904e-30ef-be1b-d764469a5cfc"]},{"id":"ITEM-2","itemData":{"ISSN":"1209-1367","PMID":"25517936","abstract":"BACKGROUND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978-3-319-72356-3_5","author":[{"dropping-particle":"","family":"Oksuzyan","given":"Anna","non-dropping-particle":"","parse-names":false,"suffix":""},{"dropping-particle":"","family":"Gumà","given":"Jordi","non-dropping-particle":"","parse-names":false,"suffix":""},{"dropping-particle":"","family":"Doblhammer","given":"Gabriele","non-dropping-particle":"","parse-names":false,"suffix":""}],"container-title":"A Demographic Perspective on Gender, Family and Health in Europe","id":"ITEM-3","issued":{"date-parts":[["2018"]]},"page":"65-100","publisher":"Springer International Publishing","publisher-place":"Cham","title":"Sex Differences in Health and Survival","type":"chapter"},"uris":["http://www.mendeley.com/documents/?uuid=0b0e6073-ff59-41b3-aae5-9942059243c5"]},{"id":"ITEM-4","itemData":{"DOI":"10.2307/4147343","ISBN":"00703370","ISSN":"0070-3370","PMID":"15986983","abstract":"Women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-4","issue":"2","issued":{"date-parts":[["2005","5"]]},"page":"189-214","title":"Sex Differences in Morbidity and Mortality","type":"article-journal","volume":"42"},"uris":["http://www.mendeley.com/documents/?uuid=98928071-941d-40d9-884c-62d8e0efe760"]}],"mendeley":{"formattedCitation":"(Bonilla and Rodriguez 1993; Case and Paxson 2005b; Luy and Minagawa 2014; Oksuzyan et al. 2018)","plainTextFormattedCitation":"(Bonilla and Rodriguez 1993; Case and Paxson 2005b; Luy and Minagawa 2014; Oksuzyan et al. 2018)","previouslyFormattedCitation":"(Bonilla and Rodriguez 1993; Case and Paxson 2005b; Luy and Minagawa 2014; Oksuzyan et al.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0345E9">
        <w:rPr>
          <w:rFonts w:ascii="Arial" w:hAnsi="Arial" w:cs="Arial"/>
          <w:noProof/>
          <w:sz w:val="24"/>
          <w:szCs w:val="24"/>
        </w:rPr>
        <w:t>(Bonilla and Rodriguez 1993; Case and Paxson 2005b; Luy and Minagawa 2014; Oksuzyan et al. 2018)</w:t>
      </w:r>
      <w:r w:rsidR="00FB5491" w:rsidRPr="0030706E">
        <w:rPr>
          <w:rFonts w:ascii="Arial" w:hAnsi="Arial" w:cs="Arial"/>
          <w:sz w:val="24"/>
          <w:szCs w:val="24"/>
        </w:rPr>
        <w:fldChar w:fldCharType="end"/>
      </w:r>
      <w:r w:rsidR="00FB5491" w:rsidRPr="0030706E">
        <w:rPr>
          <w:rFonts w:ascii="Arial" w:hAnsi="Arial" w:cs="Arial"/>
          <w:sz w:val="24"/>
          <w:szCs w:val="24"/>
        </w:rPr>
        <w:t xml:space="preserve">. This gender inequality accumulates over the life-course, exposing older women to poverty and poor health conditions, imposing a burden to both pension and health systems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{"citationItems":[{"id":"ITEM-1","itemData":{"DOI":"10.1162/qjec.122.3.1265","ISSN":"00335533","abstract":"I use microeconomic estimates of the effect of health on individual outcomes to construct macroeconomic estimates of the proximate effect of health on GDP per capita. I use a variety of methods to construct estimates of the return to health, which I combine with cross-country and historical data on several health indicators including height, adult survival, and age at menarche. My preferred estimate of the share of cross-country variance in log income per worker explained by variation in health is 22.6%, roughly the same as the share accounted for by human capital from education, and larger than the share accounted for by physical capital. I present alternative estimates ranging between 9.5% and 29.5%. My preferred estimate of the reduction in world income variance that would result from eliminating health variations among countries is 36.6%.","author":[{"dropping-particle":"","family":"Weil","given":"David N.","non-dropping-particle":"","parse-names":false,"suffix":""}],"container-title":"Quarterly Journal of Economics","id":"ITEM-1","issue":"3","issued":{"date-parts":[["2007","8"]]},"page":"1265-1306","title":"Accounting for the effect of health on economic growth","type":"article","volume":"122"},"uris":["http://www.mendeley.com/documents/?uuid=f8147d95-684f-3c6b-8eca-99f3e51c7d90"]}],"mendeley":{"formattedCitation":"(Weil 2007)","plainTextFormattedCitation":"(Weil 2007)","previouslyFormattedCitation":"(Weil 2007)"},"properties":{"noteIndex":0},"schema":"https://github.com/citation-style-language/schema/raw/master/csl-citation.json"}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(Weil 2007)</w:t>
      </w:r>
      <w:r w:rsidR="00FB5491" w:rsidRPr="0030706E">
        <w:rPr>
          <w:rFonts w:ascii="Arial" w:hAnsi="Arial" w:cs="Arial"/>
          <w:sz w:val="24"/>
          <w:szCs w:val="24"/>
        </w:rPr>
        <w:fldChar w:fldCharType="end"/>
      </w:r>
      <w:r w:rsidR="00FB5491" w:rsidRPr="0030706E">
        <w:rPr>
          <w:rFonts w:ascii="Arial" w:hAnsi="Arial" w:cs="Arial"/>
          <w:sz w:val="24"/>
          <w:szCs w:val="24"/>
        </w:rPr>
        <w:t xml:space="preserve">. Consequently, investing in female health has shown to have a strong effect on economic development in both the short and the long run. In the short run, it increases productive participation in the labor market and consequently the level and growth of economic output; on the long-run, it directly impacts intergenerational transmission of human capital, since healthier women lead to healthier offspring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{"citationItems":[{"id":"ITEM-1","itemData":{"DOI":"10.1086/677189","ISSN":"1537534X","abstract":"In a recent paper, Acemoglu and Johnson (2007) argue that the large increases in population health witnessed in the 20th century did not improve, and may have lowered, income levels. We argue that this result depends crucially on their assumption that initial health and income do not affect subsequent economic growth. Using their data we reject this assumption in favor of a model of conditional convergence, with income adjusting to its steady state over time. We show that, allowing for conditional convergence, exogenous improvements in health due to technical advances associated with the epidemiological transition increased income levels.","author":[{"dropping-particle":"","family":"Bloom","given":"David E.","non-dropping-particle":"","parse-names":false,"suffix":""},{"dropping-particle":"","family":"Canning","given":"David","non-dropping-particle":"","parse-names":false,"suffix":""},{"dropping-particle":"","family":"Fink","given":"Gunther","non-dropping-particle":"","parse-names":false,"suffix":""}],"container-title":"Journal of Political Economy","id":"ITEM-1","issue":"6","issued":{"date-parts":[["2014","12","1"]]},"page":"1355-1366","publisher":"University of Chicago Press","title":"Disease and development revisited","type":"article","volume":"122"},"uris":["http://www.mendeley.com/documents/?uuid=58e4a755-4f72-3129-8366-cb70228f45c9"]}],"mendeley":{"formattedCitation":"(Bloom et al. 2014)","manualFormatting":"(Bloom et al. 2014a)","plainTextFormattedCitation":"(Bloom et al. 2014)","previouslyFormattedCitation":"(Bloom et al. 2014)"},"properties":{"noteIndex":0},"schema":"https://github.com/citation-style-language/schema/raw/master/csl-citation.json"}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(Bloom et al. 2014a)</w:t>
      </w:r>
      <w:r w:rsidR="00FB5491" w:rsidRPr="0030706E">
        <w:rPr>
          <w:rFonts w:ascii="Arial" w:hAnsi="Arial" w:cs="Arial"/>
          <w:sz w:val="24"/>
          <w:szCs w:val="24"/>
        </w:rPr>
        <w:fldChar w:fldCharType="end"/>
      </w:r>
      <w:r w:rsidR="00FB5491" w:rsidRPr="0030706E">
        <w:rPr>
          <w:rFonts w:ascii="Arial" w:hAnsi="Arial" w:cs="Arial"/>
          <w:sz w:val="24"/>
          <w:szCs w:val="24"/>
        </w:rPr>
        <w:t xml:space="preserve">. Lastly, gender inequality in health is correlated to country-specific levels of development and to societal roles of women and men </w:t>
      </w:r>
      <w:r w:rsidR="00FB5491" w:rsidRPr="0030706E">
        <w:rPr>
          <w:rFonts w:ascii="Arial" w:hAnsi="Arial" w:cs="Arial"/>
          <w:sz w:val="24"/>
          <w:szCs w:val="24"/>
        </w:rPr>
        <w:fldChar w:fldCharType="begin" w:fldLock="1"/>
      </w:r>
      <w:r w:rsidR="00FB5491">
        <w:rPr>
          <w:rFonts w:ascii="Arial" w:hAnsi="Arial" w:cs="Arial"/>
          <w:sz w:val="24"/>
          <w:szCs w:val="24"/>
        </w:rPr>
        <w:instrText>ADDIN CSL_CITATION {"citationItems":[{"id":"ITEM-1","itemData":{"DOI":"10.1016/0277-9536(94)90356-5","ISSN":"02779536","abstract":"This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Medicine","id":"ITEM-1","issue":"9","issued":{"date-parts":[["1994"]]},"page":"1237-1247","title":"Gender inequalities of health in the third world","type":"article-journal","volume":"39"},"uris":["http://www.mendeley.com/documents/?uuid=cec2349f-0c05-3ef9-a45f-6facdf321701"]},{"id":"ITEM-2","itemData":{"author":[{"dropping-particle":"","family":"WCF","given":"","non-dropping-particle":"","parse-names":false,"suffix":""}],"id":"ITEM-2","issued":{"date-parts":[["2018"]]},"title":"The Global Gender Gap Report 2018 Insight Report","type":"report"},"uris":["http://www.mendeley.com/documents/?uuid=9df8ffd8-13f7-3029-a976-e15bffea99bb"]}],"mendeley":{"formattedCitation":"(Okojie 1994; WCF 2018)","plainTextFormattedCitation":"(Okojie 1994; WCF 2018)","previouslyFormattedCitation":"(Okojie 1994; WCF 2018)"},"properties":{"noteIndex":0},"schema":"https://github.com/citation-style-language/schema/raw/master/csl-citation.json"}</w:instrText>
      </w:r>
      <w:r w:rsidR="00FB5491" w:rsidRPr="0030706E">
        <w:rPr>
          <w:rFonts w:ascii="Arial" w:hAnsi="Arial" w:cs="Arial"/>
          <w:sz w:val="24"/>
          <w:szCs w:val="24"/>
        </w:rPr>
        <w:fldChar w:fldCharType="separate"/>
      </w:r>
      <w:r w:rsidR="00FB5491" w:rsidRPr="0030706E">
        <w:rPr>
          <w:rFonts w:ascii="Arial" w:hAnsi="Arial" w:cs="Arial"/>
          <w:noProof/>
          <w:sz w:val="24"/>
          <w:szCs w:val="24"/>
        </w:rPr>
        <w:t xml:space="preserve">(Okojie 1994; WCF </w:t>
      </w:r>
      <w:r w:rsidR="00FB5491" w:rsidRPr="0030706E">
        <w:rPr>
          <w:rFonts w:ascii="Arial" w:hAnsi="Arial" w:cs="Arial"/>
          <w:noProof/>
          <w:sz w:val="24"/>
          <w:szCs w:val="24"/>
        </w:rPr>
        <w:lastRenderedPageBreak/>
        <w:t>2018)</w:t>
      </w:r>
      <w:r w:rsidR="00FB5491" w:rsidRPr="0030706E">
        <w:rPr>
          <w:rFonts w:ascii="Arial" w:hAnsi="Arial" w:cs="Arial"/>
          <w:sz w:val="24"/>
          <w:szCs w:val="24"/>
        </w:rPr>
        <w:fldChar w:fldCharType="end"/>
      </w:r>
      <w:r w:rsidR="00FB5491" w:rsidRPr="0030706E">
        <w:rPr>
          <w:rFonts w:ascii="Arial" w:hAnsi="Arial" w:cs="Arial"/>
          <w:sz w:val="24"/>
          <w:szCs w:val="24"/>
        </w:rPr>
        <w:t xml:space="preserve">.Therefore, to quantify health inequalities by gender and across countries with different levels of development can provide valuable insights for healthy ageing. </w:t>
      </w:r>
    </w:p>
    <w:p w14:paraId="64FEE1E8" w14:textId="77777777" w:rsidR="00401EDB" w:rsidRDefault="00401EDB" w:rsidP="00761211">
      <w:pPr>
        <w:spacing w:line="240" w:lineRule="auto"/>
        <w:jc w:val="both"/>
        <w:rPr>
          <w:rFonts w:ascii="Arial" w:hAnsi="Arial" w:cs="Arial"/>
          <w:b/>
          <w:bCs/>
          <w:color w:val="000000"/>
          <w:sz w:val="24"/>
          <w:szCs w:val="24"/>
          <w:shd w:val="clear" w:color="auto" w:fill="FFFFFF"/>
        </w:rPr>
      </w:pPr>
    </w:p>
    <w:p w14:paraId="69C536E6" w14:textId="77777777" w:rsidR="00F65F88" w:rsidRDefault="00F65F88" w:rsidP="00761211">
      <w:pPr>
        <w:spacing w:line="240" w:lineRule="auto"/>
        <w:jc w:val="both"/>
        <w:rPr>
          <w:rFonts w:ascii="Arial" w:hAnsi="Arial" w:cs="Arial"/>
          <w:b/>
          <w:bCs/>
          <w:color w:val="000000"/>
          <w:sz w:val="24"/>
          <w:szCs w:val="24"/>
          <w:shd w:val="clear" w:color="auto" w:fill="FFFFFF"/>
        </w:rPr>
      </w:pPr>
    </w:p>
    <w:p w14:paraId="0AC7ADEE" w14:textId="29C0F008" w:rsidR="00B2277A" w:rsidRPr="0030706E" w:rsidRDefault="00B2277A" w:rsidP="00761211">
      <w:pPr>
        <w:spacing w:line="240" w:lineRule="auto"/>
        <w:jc w:val="both"/>
        <w:rPr>
          <w:rFonts w:ascii="Arial" w:hAnsi="Arial" w:cs="Arial"/>
          <w:b/>
          <w:bCs/>
          <w:color w:val="000000"/>
          <w:sz w:val="24"/>
          <w:szCs w:val="24"/>
          <w:shd w:val="clear" w:color="auto" w:fill="FFFFFF"/>
        </w:rPr>
      </w:pPr>
      <w:r w:rsidRPr="0030706E">
        <w:rPr>
          <w:rFonts w:ascii="Arial" w:hAnsi="Arial" w:cs="Arial"/>
          <w:b/>
          <w:bCs/>
          <w:color w:val="000000"/>
          <w:sz w:val="24"/>
          <w:szCs w:val="24"/>
          <w:shd w:val="clear" w:color="auto" w:fill="FFFFFF"/>
        </w:rPr>
        <w:t>Acknowledgements</w:t>
      </w:r>
    </w:p>
    <w:p w14:paraId="2039264D" w14:textId="46160BE5" w:rsidR="008A11DF" w:rsidRPr="0030706E" w:rsidRDefault="00B2277A" w:rsidP="00B2277A">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 xml:space="preserve">This paper uses data from SHARE Wave 6 (10.6103/SHARE.w6.800), see Börsch-Supan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 </w:t>
      </w:r>
      <w:hyperlink r:id="rId19" w:history="1">
        <w:r w:rsidRPr="0030706E">
          <w:rPr>
            <w:rStyle w:val="Hyperlink"/>
            <w:rFonts w:ascii="Arial" w:hAnsi="Arial" w:cs="Arial"/>
            <w:sz w:val="24"/>
            <w:szCs w:val="24"/>
            <w:shd w:val="clear" w:color="auto" w:fill="FFFFFF"/>
          </w:rPr>
          <w:t>www.share-project.org</w:t>
        </w:r>
      </w:hyperlink>
      <w:r w:rsidRPr="0030706E">
        <w:rPr>
          <w:rFonts w:ascii="Arial" w:hAnsi="Arial" w:cs="Arial"/>
          <w:color w:val="000000"/>
          <w:sz w:val="24"/>
          <w:szCs w:val="24"/>
          <w:shd w:val="clear" w:color="auto" w:fill="FFFFFF"/>
        </w:rPr>
        <w:t>).</w:t>
      </w:r>
    </w:p>
    <w:p w14:paraId="0EAD608F" w14:textId="737D2010" w:rsidR="00423D22" w:rsidRPr="0030706E" w:rsidRDefault="007F4D39" w:rsidP="00B2277A">
      <w:pPr>
        <w:spacing w:line="240" w:lineRule="auto"/>
        <w:jc w:val="both"/>
        <w:rPr>
          <w:rFonts w:ascii="Arial" w:hAnsi="Arial" w:cs="Arial"/>
          <w:sz w:val="24"/>
          <w:szCs w:val="24"/>
        </w:rPr>
      </w:pPr>
      <w:r w:rsidRPr="0030706E">
        <w:rPr>
          <w:rFonts w:ascii="Arial" w:hAnsi="Arial" w:cs="Arial"/>
          <w:sz w:val="24"/>
          <w:szCs w:val="24"/>
        </w:rPr>
        <w:t>This analysis uses data or information from the</w:t>
      </w:r>
      <w:r w:rsidR="00423D22" w:rsidRPr="0030706E">
        <w:rPr>
          <w:rFonts w:ascii="Arial" w:hAnsi="Arial" w:cs="Arial"/>
          <w:sz w:val="24"/>
          <w:szCs w:val="24"/>
        </w:rPr>
        <w:t xml:space="preserve"> following</w:t>
      </w:r>
      <w:r w:rsidRPr="0030706E">
        <w:rPr>
          <w:rFonts w:ascii="Arial" w:hAnsi="Arial" w:cs="Arial"/>
          <w:sz w:val="24"/>
          <w:szCs w:val="24"/>
        </w:rPr>
        <w:t xml:space="preserve"> Harmonized</w:t>
      </w:r>
      <w:r w:rsidR="00423D22" w:rsidRPr="0030706E">
        <w:rPr>
          <w:rFonts w:ascii="Arial" w:hAnsi="Arial" w:cs="Arial"/>
          <w:sz w:val="24"/>
          <w:szCs w:val="24"/>
        </w:rPr>
        <w:t xml:space="preserve"> datasets: </w:t>
      </w:r>
      <w:r w:rsidRPr="0030706E">
        <w:rPr>
          <w:rFonts w:ascii="Arial" w:hAnsi="Arial" w:cs="Arial"/>
          <w:sz w:val="24"/>
          <w:szCs w:val="24"/>
        </w:rPr>
        <w:t xml:space="preserve">KLoSA dataset and Codebook, Version C as of June 2019 developed by the Gateway to Global Aging Data. The development of the Harmonized KLoSA was funded by the National Institute on Ageing (R01 AG030153, RC2 AG036619, R03 AG043052). For more information, please refer to </w:t>
      </w:r>
      <w:hyperlink r:id="rId20" w:history="1">
        <w:r w:rsidR="00423D22" w:rsidRPr="0030706E">
          <w:rPr>
            <w:rStyle w:val="Hyperlink"/>
            <w:rFonts w:ascii="Arial" w:hAnsi="Arial" w:cs="Arial"/>
            <w:sz w:val="24"/>
            <w:szCs w:val="24"/>
          </w:rPr>
          <w:t>https://g2aging.org/</w:t>
        </w:r>
      </w:hyperlink>
      <w:r w:rsidRPr="0030706E">
        <w:rPr>
          <w:rFonts w:ascii="Arial" w:hAnsi="Arial" w:cs="Arial"/>
          <w:sz w:val="24"/>
          <w:szCs w:val="24"/>
        </w:rPr>
        <w:t>.</w:t>
      </w:r>
      <w:r w:rsidR="00423D22" w:rsidRPr="0030706E">
        <w:rPr>
          <w:rFonts w:ascii="Arial" w:hAnsi="Arial" w:cs="Arial"/>
          <w:sz w:val="24"/>
          <w:szCs w:val="24"/>
        </w:rPr>
        <w:t xml:space="preserve"> </w:t>
      </w:r>
      <w:r w:rsidR="00423D22" w:rsidRPr="0030706E">
        <w:rPr>
          <w:rFonts w:ascii="Arial" w:hAnsi="Arial" w:cs="Arial"/>
          <w:color w:val="000000"/>
          <w:sz w:val="24"/>
          <w:szCs w:val="24"/>
          <w:shd w:val="clear" w:color="auto" w:fill="FFFFFF"/>
        </w:rPr>
        <w:t>LASI dataset and Codebook, Version A.2 as of October 2021, developed by the Gateway to Global Aging Data (DOI: https://doi.org/10.25549/h-lasi). The development of the Harmonized LASI was funded by the National Institute on Aging (R01 AG042778, 2R01 AG030153, 2R01 AG051125). For more information about the Harmonization project, please refer to https://g2aging.org/.</w:t>
      </w:r>
    </w:p>
    <w:p w14:paraId="20BBE3F4" w14:textId="77777777" w:rsidR="00423D22" w:rsidRPr="0030706E" w:rsidRDefault="00423D22" w:rsidP="00B2277A">
      <w:pPr>
        <w:spacing w:line="240" w:lineRule="auto"/>
        <w:jc w:val="both"/>
        <w:rPr>
          <w:rFonts w:ascii="Arial" w:hAnsi="Arial" w:cs="Arial"/>
          <w:color w:val="000000"/>
          <w:sz w:val="24"/>
          <w:szCs w:val="24"/>
          <w:shd w:val="clear" w:color="auto" w:fill="FFFFFF"/>
        </w:rPr>
      </w:pPr>
    </w:p>
    <w:p w14:paraId="691150F5" w14:textId="4CC4AABE" w:rsidR="008A11DF" w:rsidRPr="0030706E" w:rsidRDefault="008122E7" w:rsidP="00761211">
      <w:pPr>
        <w:spacing w:line="240" w:lineRule="auto"/>
        <w:jc w:val="both"/>
        <w:rPr>
          <w:rFonts w:ascii="Arial" w:hAnsi="Arial" w:cs="Arial"/>
          <w:color w:val="000000"/>
          <w:sz w:val="24"/>
          <w:szCs w:val="24"/>
          <w:shd w:val="clear" w:color="auto" w:fill="FFFFFF"/>
        </w:rPr>
      </w:pPr>
      <w:r w:rsidRPr="0030706E">
        <w:rPr>
          <w:rFonts w:ascii="Arial" w:hAnsi="Arial" w:cs="Arial"/>
          <w:color w:val="000000"/>
          <w:sz w:val="24"/>
          <w:szCs w:val="24"/>
          <w:shd w:val="clear" w:color="auto" w:fill="FFFFFF"/>
        </w:rPr>
        <w:t>This work is supported within the EU Framework Programme for Research and Innovation Horizon 2020, ERC Grant Agreement No. 725187 (LETHE).</w:t>
      </w:r>
    </w:p>
    <w:p w14:paraId="2FD70A39" w14:textId="77777777" w:rsidR="00A03BE0" w:rsidRPr="0030706E" w:rsidRDefault="00A03BE0" w:rsidP="00761211">
      <w:pPr>
        <w:spacing w:line="240" w:lineRule="auto"/>
        <w:jc w:val="both"/>
        <w:rPr>
          <w:rFonts w:ascii="Arial" w:hAnsi="Arial" w:cs="Arial"/>
          <w:b/>
          <w:bCs/>
          <w:sz w:val="24"/>
          <w:szCs w:val="24"/>
        </w:rPr>
      </w:pPr>
    </w:p>
    <w:p w14:paraId="7F19FCA7" w14:textId="77777777" w:rsidR="00761211" w:rsidRPr="0030706E" w:rsidRDefault="00761211" w:rsidP="00761211">
      <w:pPr>
        <w:widowControl w:val="0"/>
        <w:autoSpaceDE w:val="0"/>
        <w:autoSpaceDN w:val="0"/>
        <w:adjustRightInd w:val="0"/>
        <w:spacing w:line="240" w:lineRule="auto"/>
        <w:ind w:left="480" w:hanging="480"/>
        <w:rPr>
          <w:rFonts w:ascii="Arial" w:hAnsi="Arial" w:cs="Arial"/>
          <w:b/>
          <w:bCs/>
          <w:sz w:val="24"/>
          <w:szCs w:val="24"/>
        </w:rPr>
      </w:pPr>
      <w:r w:rsidRPr="0030706E">
        <w:rPr>
          <w:rFonts w:ascii="Arial" w:hAnsi="Arial" w:cs="Arial"/>
          <w:b/>
          <w:bCs/>
          <w:sz w:val="24"/>
          <w:szCs w:val="24"/>
        </w:rPr>
        <w:t>References</w:t>
      </w:r>
    </w:p>
    <w:p w14:paraId="22B3F1EB" w14:textId="7BAF9ECE" w:rsidR="00154660" w:rsidRPr="00154660" w:rsidRDefault="00761211" w:rsidP="00821F59">
      <w:pPr>
        <w:widowControl w:val="0"/>
        <w:autoSpaceDE w:val="0"/>
        <w:autoSpaceDN w:val="0"/>
        <w:adjustRightInd w:val="0"/>
        <w:spacing w:line="240" w:lineRule="auto"/>
        <w:ind w:left="480" w:hanging="480"/>
        <w:jc w:val="both"/>
        <w:rPr>
          <w:rFonts w:ascii="Arial" w:hAnsi="Arial" w:cs="Arial"/>
          <w:noProof/>
          <w:sz w:val="24"/>
          <w:szCs w:val="24"/>
        </w:rPr>
      </w:pPr>
      <w:r w:rsidRPr="0030706E">
        <w:rPr>
          <w:rFonts w:ascii="Arial" w:hAnsi="Arial" w:cs="Arial"/>
          <w:b/>
          <w:bCs/>
          <w:sz w:val="24"/>
          <w:szCs w:val="24"/>
        </w:rPr>
        <w:fldChar w:fldCharType="begin" w:fldLock="1"/>
      </w:r>
      <w:r w:rsidRPr="0030706E">
        <w:rPr>
          <w:rFonts w:ascii="Arial" w:hAnsi="Arial" w:cs="Arial"/>
          <w:b/>
          <w:bCs/>
          <w:sz w:val="24"/>
          <w:szCs w:val="24"/>
        </w:rPr>
        <w:instrText xml:space="preserve">ADDIN Mendeley Bibliography CSL_BIBLIOGRAPHY </w:instrText>
      </w:r>
      <w:r w:rsidRPr="0030706E">
        <w:rPr>
          <w:rFonts w:ascii="Arial" w:hAnsi="Arial" w:cs="Arial"/>
          <w:b/>
          <w:bCs/>
          <w:sz w:val="24"/>
          <w:szCs w:val="24"/>
        </w:rPr>
        <w:fldChar w:fldCharType="separate"/>
      </w:r>
      <w:r w:rsidR="00154660" w:rsidRPr="00154660">
        <w:rPr>
          <w:rFonts w:ascii="Arial" w:hAnsi="Arial" w:cs="Arial"/>
          <w:noProof/>
          <w:sz w:val="24"/>
          <w:szCs w:val="24"/>
        </w:rPr>
        <w:t>Beckett L a, Brock DB, Lemke JH, et al (1996) Analysis of change in self-reported physical function among older persons in four population studies. Am J Epidemiol 143:766–78</w:t>
      </w:r>
    </w:p>
    <w:p w14:paraId="6C5494B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Canning D (2004) Population Growth , Age Structure , and Economic Growth The 1986 Report</w:t>
      </w:r>
    </w:p>
    <w:p w14:paraId="03D93FB8"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Bloom DE, Canning D, Fink G (2014) Disease and development revisited. J. Polit. Econ. </w:t>
      </w:r>
      <w:r w:rsidRPr="00154660">
        <w:rPr>
          <w:rFonts w:ascii="Arial" w:hAnsi="Arial" w:cs="Arial"/>
          <w:noProof/>
          <w:sz w:val="24"/>
          <w:szCs w:val="24"/>
        </w:rPr>
        <w:lastRenderedPageBreak/>
        <w:t>122:1355–1366</w:t>
      </w:r>
    </w:p>
    <w:p w14:paraId="406E1B3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Bloom DE, Chen S, Kuhn M, et al (2019) The economic burden of chronic diseases: Estimates and projections for China, Japan, and South Korea. J Econ Ageing. doi: 10.1016/j.jeoa.2018.09.002</w:t>
      </w:r>
    </w:p>
    <w:p w14:paraId="5B1798C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Bonilla E, Rodriguez A (1993) Determining malaria effects in rural Colombia. Soc Sci Med 37:1109–1114. doi: 10.1016/0277-9536(93)90249-4</w:t>
      </w:r>
    </w:p>
    <w:p w14:paraId="334CC4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(2005a) Sex Differences in Morbidity and Mortality. Demography 42:189–214. doi: 10.2307/4147343</w:t>
      </w:r>
    </w:p>
    <w:p w14:paraId="2327341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Case A, Paxson C (2005b) Sex Differences in Morbidity and Mortality. Demography 42:189–214. doi: 10.2307/4147343</w:t>
      </w:r>
    </w:p>
    <w:p w14:paraId="3205DF4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Kim JK, Hagedorn A (2002) Life With and Without Disease: Women Experience More of Both. J Women Aging 14:47–59. doi: 10.1300/J074v14n01_04</w:t>
      </w:r>
    </w:p>
    <w:p w14:paraId="26534B8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Crimmins EM, Zhang Y, Saito Y (2016) Trends Over 4 Decades in Disability-Free Life Expectancy in the United States. 106:1287–1293. doi: 10.2105/AJPH.2016.303120</w:t>
      </w:r>
    </w:p>
    <w:p w14:paraId="648494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Cristina Drumond Andrade F, Egüez Guevara P, Lúcia Lebrão M, et al (2011) Gender Differences in Life Expectancy and Disability-Free Life Expectancy Among Older Adults in SAo Paulo, Brazil. doi: 10.1016/j.whi.2010.08.007</w:t>
      </w:r>
    </w:p>
    <w:p w14:paraId="4D36E19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Di Lego V, Di Giulio P, Luy M (2020) Gender Differences in Healthy and Unhealthy Life Expectancy. pp 151–172</w:t>
      </w:r>
    </w:p>
    <w:p w14:paraId="4D792F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Gorman BK, Read JG (2006) Gender disparities in adult health: An examination of three measures of morbidity. J Health Soc Behav 47:95–110. doi: 10.1177/002214650604700201</w:t>
      </w:r>
    </w:p>
    <w:p w14:paraId="3D0D085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Green CA, Pope CR (1999) Gender, psychosocial factors and the use of medical services: a longitudinal analysis. Soc Sci Med 48:1363–72. doi: 10.1016/S0277-9536(98)00440-7</w:t>
      </w:r>
    </w:p>
    <w:p w14:paraId="3805B6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Grundy E (2006) Gender and healthy aging. In: Longer life and healthy aging. pp 173–199</w:t>
      </w:r>
    </w:p>
    <w:p w14:paraId="4E300A8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HMD (2018) Human Mortality Database. University of California, Berkeley (USA), and Max Planck Institute for Demographic Research (Germany). www.mortality.org or www.humanmortality.de. Accessed 17 Sep 2019</w:t>
      </w:r>
    </w:p>
    <w:p w14:paraId="2411CE37"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Jacobsen R, Oksuzyan A, Engberg H, et al (2008) Sex differential in mortality trends of old-aged Danes: a nation wide study of age, period and cohort effects. Eur J Epidemiol 23:723–730. doi: 10.1007/s10654-008-9288-5</w:t>
      </w:r>
    </w:p>
    <w:p w14:paraId="5A20EBA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Jagger C, Gillies C, Cambois E, et al (2010) The Global Activity Limitation Index measured function and disability similarly across European countries. J Clin Epidemiol 63:892–899. doi: 10.1016/j.jclinepi.2009.11.002</w:t>
      </w:r>
    </w:p>
    <w:p w14:paraId="3BFD06B6"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Keevil VL, Hayat S, Dalzell N, et al (2013) The physical capability of community-based men and women from a British cohort: the European Prospective Investigation into Cancer (EPIC)-Norfolk study. BMC Geriatr 13:93. doi: 10.1186/1471-2318-13-93</w:t>
      </w:r>
    </w:p>
    <w:p w14:paraId="74F751ED"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lastRenderedPageBreak/>
        <w:t>Kulminski AM, Culminskaya I V., Ukraintseva S V., et al (2008) Sex-specific health deterioration and mortality: The morbidity-mortality paradox over age and time. Exp Gerontol 43:1052–1057. doi: 10.1016/j.exger.2008.09.007</w:t>
      </w:r>
    </w:p>
    <w:p w14:paraId="4F0EDAD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Leong DP, Teo KK, Rangarajan S, et al (2015) Prognostic value of grip strength: findings from the Prospective Urban Rural Epidemiology (PURE) study. Lancet 386:266–273. doi: 10.1016/S0140-6736(14)62000-6</w:t>
      </w:r>
    </w:p>
    <w:p w14:paraId="07ED8F8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(2016) The impact of biological factors on sex differences in life expectancy: insights gained from a natural experiment. In: Dinges M, Weigl A (eds) Gender-specific life expectancy in Europe 1850-2010. Steiner, Stuttgart, pp 17–46</w:t>
      </w:r>
    </w:p>
    <w:p w14:paraId="3FA7A40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Minagawa Y (2014) Gender gaps--Life expectancy and proportion of life in poor health. Heal reports 25:12–9</w:t>
      </w:r>
    </w:p>
    <w:p w14:paraId="1D4B872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Luy M, Wegner-Siegmundt C (2015) The impact of smoking on gender differences in life expectancy: more heterogeneous than often stated. Eur J Public Health 25:706–710. doi: 10.1093/eurpub/cku211</w:t>
      </w:r>
    </w:p>
    <w:p w14:paraId="758D371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Nepomuceno MR, di Lego V, Turra CM (2021) Gender disparities in health at older ages and their consequences for well-being in Latin America and the Caribbean. Vienna Yearb Popul Res. doi: 10.1553/populationyearbook2021.res2.1</w:t>
      </w:r>
    </w:p>
    <w:p w14:paraId="458654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Okojie CEE (1994) Gender inequalities of health in the third world. Soc Sci Med 39:1237–1247. doi: 10.1016/0277-9536(94)90356-5</w:t>
      </w:r>
    </w:p>
    <w:p w14:paraId="4D6D3D6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Crimmins E, Saito Y, et al (2010) Cross-national comparison of sex differences in health and mortality in Denmark, Japan and the US. Eur J Epidemiol 25:471–480. doi: 10.1007/s10654-010-9460-6</w:t>
      </w:r>
    </w:p>
    <w:p w14:paraId="72D9B6D0"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Gumà J, Doblhammer G (2018) Sex Differences in Health and Survival. In: A Demographic Perspective on Gender, Family and Health in Europe. Springer International Publishing, Cham, pp 65–100</w:t>
      </w:r>
    </w:p>
    <w:p w14:paraId="25474951"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Oksuzyan A, Shkolnikova M, Vaupel JW, et al (2014) Sex differences in health and mortality in Moscow and Denmark. Eur J Epidemiol 29:243–252. doi: 10.1007/s10654-014-9893-4</w:t>
      </w:r>
    </w:p>
    <w:p w14:paraId="3AD476B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Prettner K, Bloom DE, Strulik H (2013) Declining fertility and economic well-being: Do education and health ride to the rescue? Labour Econ 22:70–79. doi: 10.1016/j.labeco.2012.07.001</w:t>
      </w:r>
    </w:p>
    <w:p w14:paraId="03DB904C"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Redondo-Sendino Á, Guallar-Castillón P, Banegas J, Rodríguez-Artalejo F (2006) Gender differences in the utilization of health-care services among the older adult population of Spain. BMC Public Health 6:155. doi: 10.1186/1471-2458-6-155</w:t>
      </w:r>
    </w:p>
    <w:p w14:paraId="193B551B"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Rieker PP, Bird CE (2005) Rethinking gender differences in health: why we need to integrate social and biological perspectives. Journals Gerontol Ser B, Psychol Sci Soc Sci 60B:40–47. doi: 10.1093/geronb/60.Special_Issue_2.S40</w:t>
      </w:r>
    </w:p>
    <w:p w14:paraId="143CA7B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Riffe T (2018) Package “DemoDecomp” Type Package Title Decompose Demographic Functions. doi: 10.1353/dem.0.0033</w:t>
      </w:r>
    </w:p>
    <w:p w14:paraId="75FA7563"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 xml:space="preserve">Roe CM, McNamara AM, Motheral BR (2002) Gender- and age-related prescription drug </w:t>
      </w:r>
      <w:r w:rsidRPr="00154660">
        <w:rPr>
          <w:rFonts w:ascii="Arial" w:hAnsi="Arial" w:cs="Arial"/>
          <w:noProof/>
          <w:sz w:val="24"/>
          <w:szCs w:val="24"/>
        </w:rPr>
        <w:lastRenderedPageBreak/>
        <w:t>use patterns. Ann Pharmacother 36:30–39. doi: 10.1345/aph.1A113</w:t>
      </w:r>
    </w:p>
    <w:p w14:paraId="24763E5E"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Sanderson WC, Scherbov S (2014) Measuring the speed of aging across population subgroups. PLoS One 9:3–6. doi: 10.1371/journal.pone.0096289</w:t>
      </w:r>
    </w:p>
    <w:p w14:paraId="6743691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Spiers N, Jagger C, Clarke M, Arthur A (2003) Are gender differences in the relationship between self-rated health and mortality enduring? Results from three birth cohorts in Melton Mowbray, United Kingdom. Gerontologist 43:406–411. doi: 10.1093/geront/43.3.406</w:t>
      </w:r>
    </w:p>
    <w:p w14:paraId="2023D2D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Sullivan D. (1971) A single index of mortality and morbidity. HSMHA Health Rep 86:347–54</w:t>
      </w:r>
    </w:p>
    <w:p w14:paraId="195BD454"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Verbrugge LM (1989) The twain meet: empirical explanations of sex differences in health and mortality. J Health Soc Behav 30:282–304</w:t>
      </w:r>
    </w:p>
    <w:p w14:paraId="72ED4EAA"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WCF (2018) The Global Gender Gap Report 2018 Insight Report</w:t>
      </w:r>
    </w:p>
    <w:p w14:paraId="14EFB9C9"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Weil DN (2007) Accounting for the effect of health on economic growth. Q. J. Econ. 122:1265–1306</w:t>
      </w:r>
    </w:p>
    <w:p w14:paraId="4BB70865"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szCs w:val="24"/>
        </w:rPr>
      </w:pPr>
      <w:r w:rsidRPr="00154660">
        <w:rPr>
          <w:rFonts w:ascii="Arial" w:hAnsi="Arial" w:cs="Arial"/>
          <w:noProof/>
          <w:sz w:val="24"/>
          <w:szCs w:val="24"/>
        </w:rPr>
        <w:t>Yokota RTC, Nusselder WJ, Robine J-M, et al (2019) Contribution of chronic conditions to gender disparities in health expectancies in Belgium, 2001, 2004 and 2008. Eur J Public Health 29:82–87. doi: 10.1093/eurpub/cky105</w:t>
      </w:r>
    </w:p>
    <w:p w14:paraId="47C9E342" w14:textId="77777777" w:rsidR="00154660" w:rsidRPr="00154660" w:rsidRDefault="00154660" w:rsidP="00821F59">
      <w:pPr>
        <w:widowControl w:val="0"/>
        <w:autoSpaceDE w:val="0"/>
        <w:autoSpaceDN w:val="0"/>
        <w:adjustRightInd w:val="0"/>
        <w:spacing w:line="240" w:lineRule="auto"/>
        <w:ind w:left="480" w:hanging="480"/>
        <w:jc w:val="both"/>
        <w:rPr>
          <w:rFonts w:ascii="Arial" w:hAnsi="Arial" w:cs="Arial"/>
          <w:noProof/>
          <w:sz w:val="24"/>
        </w:rPr>
      </w:pPr>
      <w:r w:rsidRPr="00154660">
        <w:rPr>
          <w:rFonts w:ascii="Arial" w:hAnsi="Arial" w:cs="Arial"/>
          <w:noProof/>
          <w:sz w:val="24"/>
          <w:szCs w:val="24"/>
        </w:rPr>
        <w:t>Yong V, Saito Y, Chan A (2010) Changes in the Prevalence of Mobility Limitations and Mobile Life Expectancy of Older Adults in Singapore, 1995-2005. J Aging Health 22:120–140. doi: 10.1177/0898264309351932</w:t>
      </w:r>
    </w:p>
    <w:p w14:paraId="7F237EDA" w14:textId="42F5A4D6" w:rsidR="00971A7C" w:rsidRPr="0030706E" w:rsidRDefault="00761211" w:rsidP="00821F59">
      <w:pPr>
        <w:jc w:val="both"/>
        <w:rPr>
          <w:rFonts w:ascii="Arial" w:hAnsi="Arial" w:cs="Arial"/>
          <w:sz w:val="24"/>
          <w:szCs w:val="24"/>
        </w:rPr>
      </w:pPr>
      <w:r w:rsidRPr="0030706E">
        <w:rPr>
          <w:rFonts w:ascii="Arial" w:hAnsi="Arial" w:cs="Arial"/>
          <w:b/>
          <w:bCs/>
          <w:sz w:val="24"/>
          <w:szCs w:val="24"/>
        </w:rPr>
        <w:fldChar w:fldCharType="end"/>
      </w:r>
    </w:p>
    <w:p w14:paraId="2340D33C" w14:textId="77777777" w:rsidR="00761211" w:rsidRPr="0030706E" w:rsidRDefault="00761211" w:rsidP="00761211">
      <w:pPr>
        <w:jc w:val="both"/>
        <w:rPr>
          <w:rFonts w:ascii="Arial" w:hAnsi="Arial" w:cs="Arial"/>
          <w:b/>
          <w:bCs/>
          <w:sz w:val="24"/>
          <w:szCs w:val="24"/>
        </w:rPr>
      </w:pPr>
    </w:p>
    <w:p w14:paraId="08F47BB8" w14:textId="4938B190" w:rsidR="00761211" w:rsidRDefault="00761211" w:rsidP="00761211">
      <w:pPr>
        <w:jc w:val="both"/>
        <w:rPr>
          <w:rFonts w:ascii="Arial" w:hAnsi="Arial" w:cs="Arial"/>
          <w:color w:val="000000"/>
          <w:sz w:val="24"/>
          <w:szCs w:val="24"/>
          <w:shd w:val="clear" w:color="auto" w:fill="FFFFFF"/>
        </w:rPr>
      </w:pPr>
    </w:p>
    <w:p w14:paraId="1F00C139" w14:textId="3BDA3076" w:rsidR="00E82EC4" w:rsidRDefault="00E82EC4" w:rsidP="00761211">
      <w:pPr>
        <w:jc w:val="both"/>
        <w:rPr>
          <w:rFonts w:ascii="Arial" w:hAnsi="Arial" w:cs="Arial"/>
          <w:color w:val="000000"/>
          <w:sz w:val="24"/>
          <w:szCs w:val="24"/>
          <w:shd w:val="clear" w:color="auto" w:fill="FFFFFF"/>
        </w:rPr>
      </w:pPr>
    </w:p>
    <w:p w14:paraId="3C81EA3F" w14:textId="5F044262" w:rsidR="006465DD" w:rsidRDefault="006465DD" w:rsidP="00761211">
      <w:pPr>
        <w:jc w:val="both"/>
        <w:rPr>
          <w:rFonts w:ascii="Arial" w:hAnsi="Arial" w:cs="Arial"/>
          <w:color w:val="000000"/>
          <w:sz w:val="24"/>
          <w:szCs w:val="24"/>
          <w:shd w:val="clear" w:color="auto" w:fill="FFFFFF"/>
        </w:rPr>
      </w:pPr>
    </w:p>
    <w:p w14:paraId="41739F17" w14:textId="0BAB0801" w:rsidR="006465DD" w:rsidRDefault="006465DD" w:rsidP="00761211">
      <w:pPr>
        <w:jc w:val="both"/>
        <w:rPr>
          <w:rFonts w:ascii="Arial" w:hAnsi="Arial" w:cs="Arial"/>
          <w:color w:val="000000"/>
          <w:sz w:val="24"/>
          <w:szCs w:val="24"/>
          <w:shd w:val="clear" w:color="auto" w:fill="FFFFFF"/>
        </w:rPr>
      </w:pPr>
    </w:p>
    <w:p w14:paraId="3B5ECF40" w14:textId="3F41AFA1" w:rsidR="006465DD" w:rsidRDefault="006465DD" w:rsidP="00761211">
      <w:pPr>
        <w:jc w:val="both"/>
        <w:rPr>
          <w:rFonts w:ascii="Arial" w:hAnsi="Arial" w:cs="Arial"/>
          <w:color w:val="000000"/>
          <w:sz w:val="24"/>
          <w:szCs w:val="24"/>
          <w:shd w:val="clear" w:color="auto" w:fill="FFFFFF"/>
        </w:rPr>
      </w:pPr>
    </w:p>
    <w:p w14:paraId="55FB841C" w14:textId="2D081119" w:rsidR="006465DD" w:rsidRDefault="006465DD" w:rsidP="00761211">
      <w:pPr>
        <w:jc w:val="both"/>
        <w:rPr>
          <w:rFonts w:ascii="Arial" w:hAnsi="Arial" w:cs="Arial"/>
          <w:color w:val="000000"/>
          <w:sz w:val="24"/>
          <w:szCs w:val="24"/>
          <w:shd w:val="clear" w:color="auto" w:fill="FFFFFF"/>
        </w:rPr>
      </w:pPr>
    </w:p>
    <w:p w14:paraId="2984A747" w14:textId="6112154C" w:rsidR="006465DD" w:rsidRDefault="006465DD" w:rsidP="00761211">
      <w:pPr>
        <w:jc w:val="both"/>
        <w:rPr>
          <w:rFonts w:ascii="Arial" w:hAnsi="Arial" w:cs="Arial"/>
          <w:color w:val="000000"/>
          <w:sz w:val="24"/>
          <w:szCs w:val="24"/>
          <w:shd w:val="clear" w:color="auto" w:fill="FFFFFF"/>
        </w:rPr>
      </w:pPr>
    </w:p>
    <w:p w14:paraId="0DC801E5" w14:textId="4CFD5647" w:rsidR="006465DD" w:rsidRDefault="006465DD" w:rsidP="00761211">
      <w:pPr>
        <w:jc w:val="both"/>
        <w:rPr>
          <w:rFonts w:ascii="Arial" w:hAnsi="Arial" w:cs="Arial"/>
          <w:color w:val="000000"/>
          <w:sz w:val="24"/>
          <w:szCs w:val="24"/>
          <w:shd w:val="clear" w:color="auto" w:fill="FFFFFF"/>
        </w:rPr>
      </w:pPr>
    </w:p>
    <w:p w14:paraId="2DE3C274" w14:textId="15A79BC2" w:rsidR="006465DD" w:rsidRDefault="006465DD" w:rsidP="00761211">
      <w:pPr>
        <w:jc w:val="both"/>
        <w:rPr>
          <w:rFonts w:ascii="Arial" w:hAnsi="Arial" w:cs="Arial"/>
          <w:color w:val="000000"/>
          <w:sz w:val="24"/>
          <w:szCs w:val="24"/>
          <w:shd w:val="clear" w:color="auto" w:fill="FFFFFF"/>
        </w:rPr>
      </w:pPr>
    </w:p>
    <w:p w14:paraId="5A0F1D1E" w14:textId="10DCF838" w:rsidR="006465DD" w:rsidRDefault="006465DD" w:rsidP="00761211">
      <w:pPr>
        <w:jc w:val="both"/>
        <w:rPr>
          <w:rFonts w:ascii="Arial" w:hAnsi="Arial" w:cs="Arial"/>
          <w:color w:val="000000"/>
          <w:sz w:val="24"/>
          <w:szCs w:val="24"/>
          <w:shd w:val="clear" w:color="auto" w:fill="FFFFFF"/>
        </w:rPr>
      </w:pPr>
    </w:p>
    <w:p w14:paraId="082B3A8A" w14:textId="7D716A77" w:rsidR="006465DD" w:rsidRDefault="006465DD" w:rsidP="00761211">
      <w:pPr>
        <w:jc w:val="both"/>
        <w:rPr>
          <w:rFonts w:ascii="Arial" w:hAnsi="Arial" w:cs="Arial"/>
          <w:color w:val="000000"/>
          <w:sz w:val="24"/>
          <w:szCs w:val="24"/>
          <w:shd w:val="clear" w:color="auto" w:fill="FFFFFF"/>
        </w:rPr>
      </w:pPr>
    </w:p>
    <w:p w14:paraId="030E4920" w14:textId="77777777" w:rsidR="006465DD" w:rsidRDefault="006465DD" w:rsidP="00761211">
      <w:pPr>
        <w:jc w:val="both"/>
        <w:rPr>
          <w:rFonts w:ascii="Arial" w:hAnsi="Arial" w:cs="Arial"/>
          <w:color w:val="000000"/>
          <w:sz w:val="24"/>
          <w:szCs w:val="24"/>
          <w:shd w:val="clear" w:color="auto" w:fill="FFFFFF"/>
        </w:rPr>
      </w:pPr>
    </w:p>
    <w:p w14:paraId="63BBBE46" w14:textId="1909A520" w:rsidR="00A0249C" w:rsidRPr="00776BC7" w:rsidRDefault="00E82EC4" w:rsidP="00761211">
      <w:pPr>
        <w:jc w:val="both"/>
        <w:rPr>
          <w:rFonts w:ascii="Arial" w:hAnsi="Arial" w:cs="Arial"/>
          <w:b/>
          <w:color w:val="000000"/>
          <w:sz w:val="24"/>
          <w:szCs w:val="24"/>
          <w:shd w:val="clear" w:color="auto" w:fill="FFFFFF"/>
        </w:rPr>
      </w:pPr>
      <w:r w:rsidRPr="00776BC7">
        <w:rPr>
          <w:rFonts w:ascii="Arial" w:hAnsi="Arial" w:cs="Arial"/>
          <w:b/>
          <w:color w:val="000000"/>
          <w:sz w:val="24"/>
          <w:szCs w:val="24"/>
          <w:shd w:val="clear" w:color="auto" w:fill="FFFFFF"/>
        </w:rPr>
        <w:lastRenderedPageBreak/>
        <w:t>Appendix</w:t>
      </w:r>
    </w:p>
    <w:p w14:paraId="22106D55" w14:textId="552D7A0F" w:rsidR="00A0249C" w:rsidRDefault="00A0249C" w:rsidP="00761211">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Data characteristics</w:t>
      </w:r>
    </w:p>
    <w:p w14:paraId="4891C877" w14:textId="77777777" w:rsidR="004D414B" w:rsidRDefault="004D414B" w:rsidP="004D414B">
      <w:pPr>
        <w:autoSpaceDE w:val="0"/>
        <w:autoSpaceDN w:val="0"/>
        <w:adjustRightInd w:val="0"/>
        <w:spacing w:after="0" w:line="240" w:lineRule="auto"/>
        <w:jc w:val="both"/>
        <w:rPr>
          <w:rFonts w:ascii="Arial" w:hAnsi="Arial" w:cs="Arial"/>
        </w:rPr>
      </w:pPr>
    </w:p>
    <w:p w14:paraId="1BC45B45" w14:textId="77777777" w:rsidR="004D414B" w:rsidRDefault="004D414B" w:rsidP="004D414B">
      <w:pPr>
        <w:autoSpaceDE w:val="0"/>
        <w:autoSpaceDN w:val="0"/>
        <w:adjustRightInd w:val="0"/>
        <w:spacing w:after="0" w:line="240" w:lineRule="auto"/>
        <w:jc w:val="both"/>
        <w:rPr>
          <w:rFonts w:ascii="Arial" w:hAnsi="Arial" w:cs="Arial"/>
        </w:rPr>
      </w:pPr>
      <w:r>
        <w:rPr>
          <w:rFonts w:ascii="Arial" w:hAnsi="Arial" w:cs="Arial"/>
        </w:rPr>
        <w:t>US (HRS):</w:t>
      </w:r>
    </w:p>
    <w:p w14:paraId="56EE17F8" w14:textId="77777777" w:rsidR="004D414B" w:rsidRDefault="004D414B" w:rsidP="004D414B">
      <w:pPr>
        <w:autoSpaceDE w:val="0"/>
        <w:autoSpaceDN w:val="0"/>
        <w:adjustRightInd w:val="0"/>
        <w:spacing w:after="0" w:line="240" w:lineRule="auto"/>
        <w:jc w:val="both"/>
        <w:rPr>
          <w:rFonts w:ascii="Arial" w:hAnsi="Arial" w:cs="Arial"/>
        </w:rPr>
      </w:pPr>
    </w:p>
    <w:p w14:paraId="071A5DE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rPr>
        <w:t xml:space="preserve">We are using the Harmonized version B HRS: 37,495 observations. October 2018- There is a new updated version C, until 2019 that was updated now in 2022 and contains </w:t>
      </w:r>
      <w:r w:rsidRPr="00453EFC">
        <w:rPr>
          <w:rFonts w:ascii="Arial" w:hAnsi="Arial" w:cs="Arial"/>
          <w:sz w:val="24"/>
          <w:szCs w:val="24"/>
        </w:rPr>
        <w:t>42,233 observations. It is a Respondent level file so each row represents a unique Respondent. This leaves us with 18,747 observations using only wave 12 (year 2014) of HRS.</w:t>
      </w:r>
    </w:p>
    <w:p w14:paraId="19908A4F"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916BF0E"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58AC6B6E" w14:textId="2CAB2C8D" w:rsidR="004D414B"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 xml:space="preserve">Mexico </w:t>
      </w:r>
      <w:r w:rsidR="00F33884">
        <w:rPr>
          <w:rFonts w:ascii="Arial" w:hAnsi="Arial" w:cs="Arial"/>
        </w:rPr>
        <w:t>(</w:t>
      </w:r>
      <w:r w:rsidRPr="00453EFC">
        <w:rPr>
          <w:rFonts w:ascii="Arial" w:hAnsi="Arial" w:cs="Arial"/>
        </w:rPr>
        <w:t>MHAS</w:t>
      </w:r>
      <w:r w:rsidR="00F33884">
        <w:rPr>
          <w:rFonts w:ascii="Arial" w:hAnsi="Arial" w:cs="Arial"/>
        </w:rPr>
        <w:t>)</w:t>
      </w:r>
      <w:r w:rsidRPr="00453EFC">
        <w:rPr>
          <w:rFonts w:ascii="Arial" w:hAnsi="Arial" w:cs="Arial"/>
        </w:rPr>
        <w:t>:</w:t>
      </w:r>
    </w:p>
    <w:p w14:paraId="3DD8D891" w14:textId="77777777" w:rsidR="000C4F0F" w:rsidRPr="00453EFC" w:rsidRDefault="000C4F0F" w:rsidP="004D414B">
      <w:pPr>
        <w:autoSpaceDE w:val="0"/>
        <w:autoSpaceDN w:val="0"/>
        <w:adjustRightInd w:val="0"/>
        <w:spacing w:after="0" w:line="240" w:lineRule="auto"/>
        <w:jc w:val="both"/>
        <w:rPr>
          <w:rFonts w:ascii="Arial" w:hAnsi="Arial" w:cs="Arial"/>
        </w:rPr>
      </w:pPr>
    </w:p>
    <w:p w14:paraId="0E57B394" w14:textId="6692FEEF" w:rsidR="004D414B" w:rsidRPr="00453EFC" w:rsidRDefault="004D414B" w:rsidP="004D414B">
      <w:pPr>
        <w:autoSpaceDE w:val="0"/>
        <w:autoSpaceDN w:val="0"/>
        <w:adjustRightInd w:val="0"/>
        <w:spacing w:after="0" w:line="240" w:lineRule="auto"/>
        <w:jc w:val="both"/>
        <w:rPr>
          <w:rFonts w:ascii="Arial" w:hAnsi="Arial" w:cs="Arial"/>
        </w:rPr>
      </w:pPr>
      <w:r w:rsidRPr="00453EFC">
        <w:rPr>
          <w:rFonts w:ascii="Arial" w:hAnsi="Arial" w:cs="Arial"/>
        </w:rPr>
        <w:t>Version B.4 incorporates the latest released version of MHAS data, and adds several new variables. It contains 22,016 observations or rows- 22016. We are using the Harmonized VERSION B.4 (2001-2015), February 2022, for the MHAS data. The Mexican Health and Aging Study (MHAS) is a longitudinal household survey dataset for the study of health, economic position, and quality of life among the elderly. MHAS datasets as of September 2020. The MHAS (Mexican Health and Aging Study) Version B.4 incorporates the latest released version of MHAS data, and adds several new variables. It contains 22,016 observations or rows. It is a Respondent-level file so each row represents a unique Respondent.</w:t>
      </w:r>
      <w:r w:rsidR="000C4F0F">
        <w:rPr>
          <w:rFonts w:ascii="Arial" w:hAnsi="Arial" w:cs="Arial"/>
        </w:rPr>
        <w:t xml:space="preserve"> </w:t>
      </w:r>
      <w:r w:rsidRPr="00453EFC">
        <w:rPr>
          <w:rFonts w:ascii="Arial" w:hAnsi="Arial" w:cs="Arial"/>
        </w:rPr>
        <w:t>We will focus on Wave 4, which is for years 2014/2015. We will have 17,616 observations.</w:t>
      </w:r>
    </w:p>
    <w:p w14:paraId="5590FB6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0A431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42BC8F90" w14:textId="77777777" w:rsidR="004D414B" w:rsidRPr="00453EFC" w:rsidRDefault="004D414B" w:rsidP="004D414B">
      <w:pPr>
        <w:autoSpaceDE w:val="0"/>
        <w:autoSpaceDN w:val="0"/>
        <w:adjustRightInd w:val="0"/>
        <w:spacing w:after="0" w:line="240" w:lineRule="auto"/>
        <w:jc w:val="both"/>
        <w:rPr>
          <w:rFonts w:ascii="Arial" w:hAnsi="Arial" w:cs="Arial"/>
          <w:color w:val="333333"/>
          <w:sz w:val="23"/>
          <w:szCs w:val="23"/>
          <w:shd w:val="clear" w:color="auto" w:fill="FFFFFF"/>
        </w:rPr>
      </w:pPr>
      <w:r w:rsidRPr="00453EFC">
        <w:rPr>
          <w:rFonts w:ascii="Arial" w:hAnsi="Arial" w:cs="Arial"/>
          <w:color w:val="333333"/>
          <w:sz w:val="23"/>
          <w:szCs w:val="23"/>
          <w:shd w:val="clear" w:color="auto" w:fill="FFFFFF"/>
        </w:rPr>
        <w:t>England (ELSA):</w:t>
      </w:r>
    </w:p>
    <w:p w14:paraId="56DC68B8"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0AA39C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4"/>
          <w:szCs w:val="24"/>
        </w:rPr>
        <w:t xml:space="preserve">We are using the Version G.2 (2002-2019), July 2021 for </w:t>
      </w:r>
      <w:r w:rsidRPr="00453EFC">
        <w:rPr>
          <w:rFonts w:ascii="Arial" w:hAnsi="Arial" w:cs="Arial"/>
          <w:sz w:val="23"/>
          <w:szCs w:val="23"/>
        </w:rPr>
        <w:t xml:space="preserve">The English Longitudinal Study on Ageing (ELSA). It is a longitudinal household survey dataset for the study of health, economic position, and quality of life among the elderly (panel survey of people aged 50 and over and their partners, living in private households in England). Version G.2 incorporates the latest released version of ELSA data, which includes eleven main modules and the associated datasets, and adds variables and observations from Wave 9 with a total of 19,802 observations. It also adds new variables and makes adjustments and corrections. We will focus on Wave 7, nonetheless. The samples have been drawn from households which previously responded to the Health Survey for England (HSE). The seventh wave was conducted between June 2014 and May 2015 and included a refreshment sample selected from HSE 2011-2012. </w:t>
      </w:r>
    </w:p>
    <w:p w14:paraId="7D776673"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p>
    <w:p w14:paraId="68A23DD7"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“This analysis uses data or information from the Harmonized ELSA dataset and Codebook, Version G.2 as of July 2021 developed by the Gateway to Global Aging Data. The development of the Harmonized ELSA was funded by the National Institute on Aging (R01 AG030153, RC2 AG036619, R03 AG043052). For more information, please refer to </w:t>
      </w:r>
      <w:hyperlink r:id="rId21" w:history="1">
        <w:r w:rsidRPr="00453EFC">
          <w:rPr>
            <w:rStyle w:val="Hyperlink"/>
            <w:rFonts w:ascii="Arial" w:hAnsi="Arial" w:cs="Arial"/>
            <w:sz w:val="23"/>
            <w:szCs w:val="23"/>
          </w:rPr>
          <w:t>https://g2aging.org/</w:t>
        </w:r>
      </w:hyperlink>
      <w:r w:rsidRPr="00453EFC">
        <w:rPr>
          <w:rFonts w:ascii="Arial" w:hAnsi="Arial" w:cs="Arial"/>
          <w:sz w:val="23"/>
          <w:szCs w:val="23"/>
        </w:rPr>
        <w:t>.”</w:t>
      </w:r>
    </w:p>
    <w:p w14:paraId="332B48E2"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97CF89"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India (LASI)</w:t>
      </w:r>
    </w:p>
    <w:p w14:paraId="41016E8C"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6EFAB80A"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The Longitudinal Aging Study in India (LASI) is a multidisciplinary, internationally harmonized panel study designed to be nationally representative of India’s population aged 45 and older. </w:t>
      </w:r>
      <w:r w:rsidRPr="00453EFC">
        <w:rPr>
          <w:rFonts w:ascii="Arial" w:hAnsi="Arial" w:cs="Arial"/>
          <w:sz w:val="23"/>
          <w:szCs w:val="23"/>
        </w:rPr>
        <w:lastRenderedPageBreak/>
        <w:t xml:space="preserve">LASI is a joint project of three partnering institutions: International Institute for Population Sciences (IIPS), Harvard T.H. Chan School of Public Health (HSPH), and University of Southern California (USC). The first wave was conducted between 2017 and 2019 in 35 of India’s 36 states and union territories (except Sikkim). This initial sample, as released by USC, included 42,951 households and 72,262 individuals. The LASI sampling plan is complex and was based on the 2011 Indian Census with a multistage, stratified cluster sample design. The sample design includes three distinct selection stages in rural areas and four stages in urban areas. We use Version A.2 that makes corrections using the January 2021 released version of Wave 1 of the LASI data. </w:t>
      </w:r>
    </w:p>
    <w:p w14:paraId="237346E7"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873DBB8" w14:textId="230E7604"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Europe</w:t>
      </w:r>
      <w:r w:rsidR="000C4F0F">
        <w:rPr>
          <w:rFonts w:ascii="Arial" w:hAnsi="Arial" w:cs="Arial"/>
          <w:sz w:val="24"/>
          <w:szCs w:val="24"/>
        </w:rPr>
        <w:t xml:space="preserve"> (</w:t>
      </w:r>
      <w:r w:rsidRPr="00453EFC">
        <w:rPr>
          <w:rFonts w:ascii="Arial" w:hAnsi="Arial" w:cs="Arial"/>
          <w:sz w:val="24"/>
          <w:szCs w:val="24"/>
        </w:rPr>
        <w:t>SHARE</w:t>
      </w:r>
      <w:r w:rsidR="000C4F0F">
        <w:rPr>
          <w:rFonts w:ascii="Arial" w:hAnsi="Arial" w:cs="Arial"/>
          <w:sz w:val="24"/>
          <w:szCs w:val="24"/>
        </w:rPr>
        <w:t>)</w:t>
      </w:r>
    </w:p>
    <w:p w14:paraId="2FC0E67B"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656BED9"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This is Version F in the harmonized files and incorporates the latest released version of SHARE data, release 8.0.0, and adds observations from Wave 8. It contains 139,620 observations or rows. It is a Respondent-level file so each row represents a unique Respondent. It also adds new variables and makes adjustments and corrections. </w:t>
      </w:r>
      <w:r w:rsidRPr="00453EFC">
        <w:rPr>
          <w:rFonts w:ascii="Arial" w:hAnsi="Arial" w:cs="Arial"/>
          <w:sz w:val="24"/>
          <w:szCs w:val="24"/>
        </w:rPr>
        <w:t xml:space="preserve">We focus on </w:t>
      </w:r>
      <w:r w:rsidRPr="00453EFC">
        <w:rPr>
          <w:rFonts w:ascii="Arial" w:hAnsi="Arial" w:cs="Arial"/>
          <w:sz w:val="23"/>
          <w:szCs w:val="23"/>
        </w:rPr>
        <w:t>data from SHARE Wave 6, with the release 8.0.0 as of February 2022. SHARE uses a multistage stratified sample. Its weighting variables make its data representative of the target populations in constituent countries.</w:t>
      </w:r>
    </w:p>
    <w:p w14:paraId="18E44D39" w14:textId="77777777" w:rsidR="004D414B" w:rsidRPr="00453EFC" w:rsidRDefault="004D414B" w:rsidP="004D414B">
      <w:pPr>
        <w:pStyle w:val="Default"/>
        <w:jc w:val="both"/>
        <w:rPr>
          <w:rFonts w:ascii="Arial" w:hAnsi="Arial" w:cs="Arial"/>
          <w:sz w:val="22"/>
          <w:szCs w:val="22"/>
        </w:rPr>
      </w:pPr>
      <w:r w:rsidRPr="00453EFC">
        <w:rPr>
          <w:rFonts w:ascii="Arial" w:hAnsi="Arial" w:cs="Arial"/>
          <w:sz w:val="23"/>
          <w:szCs w:val="23"/>
        </w:rPr>
        <w:t>Wave 6 does not still have full coverage of European countries, with the following countries only added in Wave 7: Finland, Lithuania, Latvia, Slovakia, Romania, Bulgaria, Malta and Cyprus.</w:t>
      </w:r>
    </w:p>
    <w:p w14:paraId="23B71C25" w14:textId="6A48B8CA" w:rsidR="004D414B" w:rsidRDefault="004D414B" w:rsidP="004D414B">
      <w:pPr>
        <w:autoSpaceDE w:val="0"/>
        <w:autoSpaceDN w:val="0"/>
        <w:adjustRightInd w:val="0"/>
        <w:spacing w:after="0" w:line="240" w:lineRule="auto"/>
        <w:jc w:val="both"/>
        <w:rPr>
          <w:rFonts w:ascii="Arial" w:hAnsi="Arial" w:cs="Arial"/>
          <w:color w:val="000000"/>
          <w:sz w:val="23"/>
          <w:szCs w:val="23"/>
        </w:rPr>
      </w:pPr>
    </w:p>
    <w:p w14:paraId="02E600BE" w14:textId="77777777" w:rsidR="000C4F0F" w:rsidRPr="00453EFC" w:rsidRDefault="000C4F0F" w:rsidP="004D414B">
      <w:pPr>
        <w:autoSpaceDE w:val="0"/>
        <w:autoSpaceDN w:val="0"/>
        <w:adjustRightInd w:val="0"/>
        <w:spacing w:after="0" w:line="240" w:lineRule="auto"/>
        <w:jc w:val="both"/>
        <w:rPr>
          <w:rFonts w:ascii="Arial" w:hAnsi="Arial" w:cs="Arial"/>
          <w:sz w:val="24"/>
          <w:szCs w:val="24"/>
        </w:rPr>
      </w:pPr>
    </w:p>
    <w:p w14:paraId="42BF837E"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Acknowledgements. "This analysis uses data or information from the Harmonized SHARE dataset and Codebook, Version F as of June 2022 developed by the Gateway to Global Aging Data. The development of the Harmonized SHARE was funded by the National Institute on Aging (R01 AG030153, RC2 AG036619, R03 AG043052). For more information, please refer to “https://g2aging.org/”.</w:t>
      </w:r>
    </w:p>
    <w:p w14:paraId="482460A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69BAA86"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China -CHARLS</w:t>
      </w:r>
    </w:p>
    <w:p w14:paraId="0CE9ACB3"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7B931695"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3"/>
          <w:szCs w:val="23"/>
        </w:rPr>
        <w:t>The China Health and Retirement Longitudinal Study (CHARLS) is a longitudinal study of individuals over age 45 in China. Version D incorporates the latest released version of CHARLS data, and adds variables for Wave 4. It contains 25,586 observations or rows. It is a Respondent-level file so each row represents a unique Respondent; The sample population was selected as part of a stratified, multistage probability design. We will use Wave 3. As we concentrate on ages 50 and above due to the other samples we do not include individuals younger than 50. This leaves us with a sample size of 16,344 individuals.</w:t>
      </w:r>
    </w:p>
    <w:p w14:paraId="54D63DE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3A109C02" w14:textId="77777777" w:rsidR="004D414B" w:rsidRPr="00453EFC" w:rsidRDefault="004D414B" w:rsidP="004D414B">
      <w:pPr>
        <w:autoSpaceDE w:val="0"/>
        <w:autoSpaceDN w:val="0"/>
        <w:adjustRightInd w:val="0"/>
        <w:spacing w:after="0" w:line="240" w:lineRule="auto"/>
        <w:jc w:val="both"/>
        <w:rPr>
          <w:rFonts w:ascii="Arial" w:hAnsi="Arial" w:cs="Arial"/>
          <w:sz w:val="23"/>
          <w:szCs w:val="23"/>
        </w:rPr>
      </w:pPr>
      <w:r w:rsidRPr="00453EFC">
        <w:rPr>
          <w:rFonts w:ascii="Arial" w:hAnsi="Arial" w:cs="Arial"/>
          <w:sz w:val="23"/>
          <w:szCs w:val="23"/>
        </w:rPr>
        <w:t xml:space="preserve">Acknowledgements . "This analysis uses data or information from the Harmonized CHARLS dataset and Codebook, Version D as of June 2021 developed by the Gateway to Global Aging Data. The development of the Harmonized CHARLS was funded by the National Institute on Aging (R01 AG030153, RC2 AG036619, R03 AG043052). For more information, please refer to </w:t>
      </w:r>
      <w:hyperlink r:id="rId22" w:history="1">
        <w:r w:rsidRPr="00453EFC">
          <w:rPr>
            <w:rStyle w:val="Hyperlink"/>
            <w:rFonts w:ascii="Arial" w:hAnsi="Arial" w:cs="Arial"/>
            <w:sz w:val="23"/>
            <w:szCs w:val="23"/>
          </w:rPr>
          <w:t>https://g2aging.org/</w:t>
        </w:r>
      </w:hyperlink>
      <w:r w:rsidRPr="00453EFC">
        <w:rPr>
          <w:rFonts w:ascii="Arial" w:hAnsi="Arial" w:cs="Arial"/>
          <w:sz w:val="23"/>
          <w:szCs w:val="23"/>
        </w:rPr>
        <w:t>.”</w:t>
      </w:r>
      <w:r w:rsidRPr="00453EFC">
        <w:rPr>
          <w:rFonts w:ascii="Arial" w:hAnsi="Arial" w:cs="Arial"/>
          <w:sz w:val="24"/>
          <w:szCs w:val="24"/>
        </w:rPr>
        <w:t xml:space="preserve"> </w:t>
      </w:r>
      <w:r w:rsidRPr="00453EFC">
        <w:rPr>
          <w:rFonts w:ascii="Arial" w:hAnsi="Arial" w:cs="Arial"/>
          <w:sz w:val="23"/>
          <w:szCs w:val="23"/>
        </w:rPr>
        <w:t>This document used CHARLS Waves 1 through 4 as of June 2021. CHARLS is supported by Peking University, the National Natural Science Foundation of China, the National Institute on Aging, and the World Bank.</w:t>
      </w:r>
    </w:p>
    <w:p w14:paraId="2A3DC634"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p>
    <w:p w14:paraId="1EE98BB0" w14:textId="77777777"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t>KLOSA- Korea</w:t>
      </w:r>
    </w:p>
    <w:p w14:paraId="2F36EEFA" w14:textId="16786B1C" w:rsidR="004D414B" w:rsidRPr="00453EFC" w:rsidRDefault="004D414B" w:rsidP="004D414B">
      <w:pPr>
        <w:autoSpaceDE w:val="0"/>
        <w:autoSpaceDN w:val="0"/>
        <w:adjustRightInd w:val="0"/>
        <w:spacing w:after="0" w:line="240" w:lineRule="auto"/>
        <w:jc w:val="both"/>
        <w:rPr>
          <w:rFonts w:ascii="Arial" w:hAnsi="Arial" w:cs="Arial"/>
          <w:sz w:val="24"/>
          <w:szCs w:val="24"/>
        </w:rPr>
      </w:pPr>
      <w:r w:rsidRPr="00453EFC">
        <w:rPr>
          <w:rFonts w:ascii="Arial" w:hAnsi="Arial" w:cs="Arial"/>
          <w:sz w:val="24"/>
          <w:szCs w:val="24"/>
        </w:rPr>
        <w:lastRenderedPageBreak/>
        <w:t>The Korean Longitudinal Study of Ageing (KLoSA) is a panel survey of people aged 45 and over and their partners, living in private households in Korea. The survey elicits information about demographics, income, assets, health, cognition, family structure and connections, health care use and costs, housing, job status and history, expectations, and insurance.</w:t>
      </w:r>
      <w:r w:rsidR="005F44CF">
        <w:rPr>
          <w:rFonts w:ascii="Arial" w:hAnsi="Arial" w:cs="Arial"/>
          <w:sz w:val="24"/>
          <w:szCs w:val="24"/>
        </w:rPr>
        <w:t xml:space="preserve"> </w:t>
      </w:r>
      <w:r w:rsidRPr="00453EFC">
        <w:rPr>
          <w:rFonts w:ascii="Arial" w:hAnsi="Arial" w:cs="Arial"/>
          <w:sz w:val="24"/>
          <w:szCs w:val="24"/>
        </w:rPr>
        <w:t xml:space="preserve">KLoSA surveys respondents every two years. Funded by the Korean Ministry of Labor, the Korean Institute of Labor (KLI) collected the first two waves, and the Korea Employment Information Service (KEIS) collected the Waves 3, 4, 5 and 6 of KLoSA, with the first wave of the KLoSA survey being conducted in fall/winter of 2006. The sample population was selected as part of a stratified, multi-stage area probability design. The first component of this sampling framework is the probability proportional to size (PPS) systematic sampling of the 2005 (South Korean) Census enumeration districts after stratifying by the location (15 major metropolitan cities and provinces) and characteristic of the district (urban or rural, and apartment building or non-apartment dwelling). Households were selected within PSUs from a listing of households in the Census identified as age-eligible; that is, inhabited by at least one person 45 years of age and older. This initial sample included 10,254 respondents age 45 and over. The second wave was conducted in 2008 and had 8,688 respondents. The third wave was conducted in 2010 and had 7,920 respondents. The fourth wave was conducted in 2012 and had 7,486 respondents. There was no refresher sample in Waves two through four. In 2014, a refreshment sample of individuals born in 1962 or 1963 was drawn and it included 920 individuals, which were added to the 7,029 remaining core sample respondents for a total of 7,949 Wave 5 respondents. The sixth wave was conducted in 2016 and had 7,490 respondents. We will focus on Wave 5. However, because we focus on ages &gt;50, the sample is not 7,949, but . We use the hamornized </w:t>
      </w:r>
      <w:r w:rsidRPr="00453EFC">
        <w:rPr>
          <w:rFonts w:ascii="Arial" w:hAnsi="Arial" w:cs="Arial"/>
          <w:sz w:val="23"/>
          <w:szCs w:val="23"/>
        </w:rPr>
        <w:t>Version C that contains 11,174 observations or rows. It is a Respondent-level file so each row represents a unique Respondent. It also adds new variables and makes adjustments and corrections.</w:t>
      </w:r>
    </w:p>
    <w:p w14:paraId="2608E057" w14:textId="77777777" w:rsidR="00E82EC4" w:rsidRDefault="00E82EC4" w:rsidP="00761211">
      <w:pPr>
        <w:jc w:val="both"/>
        <w:rPr>
          <w:rFonts w:ascii="Arial" w:hAnsi="Arial" w:cs="Arial"/>
          <w:color w:val="000000"/>
          <w:sz w:val="24"/>
          <w:szCs w:val="24"/>
          <w:shd w:val="clear" w:color="auto" w:fill="FFFFFF"/>
        </w:rPr>
      </w:pPr>
    </w:p>
    <w:p w14:paraId="3A4D68F0" w14:textId="77777777" w:rsidR="00E82EC4" w:rsidRDefault="00E82EC4" w:rsidP="00761211">
      <w:pPr>
        <w:jc w:val="both"/>
        <w:rPr>
          <w:rFonts w:ascii="Arial" w:hAnsi="Arial" w:cs="Arial"/>
          <w:color w:val="000000"/>
          <w:sz w:val="24"/>
          <w:szCs w:val="24"/>
          <w:shd w:val="clear" w:color="auto" w:fill="FFFFFF"/>
        </w:rPr>
      </w:pPr>
    </w:p>
    <w:p w14:paraId="7AD83137" w14:textId="77777777" w:rsidR="00E82EC4" w:rsidRPr="0030706E" w:rsidRDefault="00E82EC4" w:rsidP="00761211">
      <w:pPr>
        <w:jc w:val="both"/>
        <w:rPr>
          <w:rFonts w:ascii="Arial" w:hAnsi="Arial" w:cs="Arial"/>
          <w:color w:val="000000"/>
          <w:sz w:val="24"/>
          <w:szCs w:val="24"/>
          <w:shd w:val="clear" w:color="auto" w:fill="FFFFFF"/>
        </w:rPr>
      </w:pPr>
    </w:p>
    <w:p w14:paraId="263AE9EF" w14:textId="77777777" w:rsidR="00761211" w:rsidRPr="0030706E" w:rsidRDefault="00761211" w:rsidP="00761211">
      <w:pPr>
        <w:jc w:val="both"/>
        <w:rPr>
          <w:rFonts w:ascii="Arial" w:hAnsi="Arial" w:cs="Arial"/>
          <w:sz w:val="24"/>
          <w:szCs w:val="24"/>
        </w:rPr>
      </w:pPr>
    </w:p>
    <w:p w14:paraId="04D8B70F" w14:textId="77777777" w:rsidR="00D33E3E" w:rsidRPr="0030706E" w:rsidRDefault="00D33E3E">
      <w:pPr>
        <w:rPr>
          <w:rFonts w:ascii="Arial" w:hAnsi="Arial" w:cs="Arial"/>
          <w:sz w:val="24"/>
          <w:szCs w:val="24"/>
        </w:rPr>
      </w:pPr>
    </w:p>
    <w:sectPr w:rsidR="00D33E3E" w:rsidRPr="0030706E">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11-03T21:30:00Z" w:initials="Author">
    <w:p w14:paraId="51CD1D92" w14:textId="615438CF" w:rsidR="00DD7A9F" w:rsidRDefault="00DD7A9F">
      <w:pPr>
        <w:pStyle w:val="CommentText"/>
      </w:pPr>
      <w:r>
        <w:rPr>
          <w:rStyle w:val="CommentReference"/>
        </w:rPr>
        <w:annotationRef/>
      </w:r>
      <w:r>
        <w:t>Detalhar melhor depois</w:t>
      </w:r>
    </w:p>
  </w:comment>
  <w:comment w:id="1" w:author="Author" w:date="2022-11-03T21:29:00Z" w:initials="Author">
    <w:p w14:paraId="233CFCA6" w14:textId="2FE07AA0" w:rsidR="00DD7A9F" w:rsidRPr="00DD7A9F" w:rsidRDefault="00DD7A9F">
      <w:pPr>
        <w:pStyle w:val="CommentText"/>
        <w:rPr>
          <w:lang w:val="pt-BR"/>
        </w:rPr>
      </w:pPr>
      <w:r>
        <w:rPr>
          <w:rStyle w:val="CommentReference"/>
        </w:rPr>
        <w:annotationRef/>
      </w:r>
      <w:r w:rsidRPr="00DD7A9F">
        <w:rPr>
          <w:lang w:val="pt-BR"/>
        </w:rPr>
        <w:t xml:space="preserve">Eu tenho que checar isso </w:t>
      </w:r>
      <w:r>
        <w:rPr>
          <w:lang w:val="pt-BR"/>
        </w:rPr>
        <w:t>aqui na verdade.</w:t>
      </w:r>
    </w:p>
  </w:comment>
  <w:comment w:id="2" w:author="Author" w:date="2022-11-03T21:30:00Z" w:initials="Author">
    <w:p w14:paraId="6D8A18EB" w14:textId="142D3418" w:rsidR="00DD7A9F" w:rsidRPr="00DD7A9F" w:rsidRDefault="00DD7A9F">
      <w:pPr>
        <w:pStyle w:val="CommentText"/>
        <w:rPr>
          <w:lang w:val="pt-BR"/>
        </w:rPr>
      </w:pPr>
      <w:r>
        <w:rPr>
          <w:rStyle w:val="CommentReference"/>
        </w:rPr>
        <w:annotationRef/>
      </w:r>
      <w:r w:rsidRPr="00DD7A9F">
        <w:rPr>
          <w:lang w:val="pt-BR"/>
        </w:rPr>
        <w:t>Essa figura tem que mudar.</w:t>
      </w:r>
      <w:r>
        <w:rPr>
          <w:lang w:val="pt-BR"/>
        </w:rPr>
        <w:t xml:space="preserve"> Foi pro resumo da PAA... mas precisa melhorar etc</w:t>
      </w:r>
      <w:r w:rsidR="007D734F">
        <w:rPr>
          <w:lang w:val="pt-BR"/>
        </w:rPr>
        <w:t>. Nem sei se precisamos usar essa figura na verdade. Avaliar melhor.</w:t>
      </w:r>
    </w:p>
  </w:comment>
  <w:comment w:id="3" w:author="Author" w:date="2022-11-03T21:31:00Z" w:initials="Author">
    <w:p w14:paraId="02B48C33" w14:textId="37ADD2F1" w:rsidR="009F2603" w:rsidRPr="009F2603" w:rsidRDefault="009F2603">
      <w:pPr>
        <w:pStyle w:val="CommentText"/>
        <w:rPr>
          <w:lang w:val="pt-BR"/>
        </w:rPr>
      </w:pPr>
      <w:r>
        <w:rPr>
          <w:rStyle w:val="CommentReference"/>
        </w:rPr>
        <w:annotationRef/>
      </w:r>
      <w:r w:rsidRPr="009F2603">
        <w:rPr>
          <w:lang w:val="pt-BR"/>
        </w:rPr>
        <w:t>Essa tabela aqui tb nao p</w:t>
      </w:r>
      <w:r>
        <w:rPr>
          <w:lang w:val="pt-BR"/>
        </w:rPr>
        <w:t>recisa ficar. Foi retirada do próprio Gateway mas desconversa com a definição de disability que estamos usando. Isso aqui ajuda a colocar em perspectiva e foi bom para o resumo, mas não entra no texto principal.</w:t>
      </w:r>
    </w:p>
  </w:comment>
  <w:comment w:id="4" w:author="Author" w:date="2022-11-03T21:32:00Z" w:initials="Author">
    <w:p w14:paraId="00217C82" w14:textId="65CDF42F" w:rsidR="00021F9A" w:rsidRPr="00021F9A" w:rsidRDefault="00021F9A">
      <w:pPr>
        <w:pStyle w:val="CommentText"/>
        <w:rPr>
          <w:lang w:val="pt-BR"/>
        </w:rPr>
      </w:pPr>
      <w:r>
        <w:rPr>
          <w:rStyle w:val="CommentReference"/>
        </w:rPr>
        <w:annotationRef/>
      </w:r>
      <w:r w:rsidRPr="00021F9A">
        <w:rPr>
          <w:lang w:val="pt-BR"/>
        </w:rPr>
        <w:t xml:space="preserve">Kkk aqui eu copiei da </w:t>
      </w:r>
      <w:r>
        <w:rPr>
          <w:lang w:val="pt-BR"/>
        </w:rPr>
        <w:t>própria apresentação a figura para o resumo. Precisa melhorar. Mas a mensagem esta ai.</w:t>
      </w:r>
    </w:p>
  </w:comment>
  <w:comment w:id="5" w:author="Author" w:date="2022-11-03T21:34:00Z" w:initials="Author">
    <w:p w14:paraId="4F11F3B0" w14:textId="22336512" w:rsidR="00021F9A" w:rsidRPr="00021F9A" w:rsidRDefault="00021F9A">
      <w:pPr>
        <w:pStyle w:val="CommentText"/>
        <w:rPr>
          <w:lang w:val="pt-BR"/>
        </w:rPr>
      </w:pPr>
      <w:r>
        <w:rPr>
          <w:rStyle w:val="CommentReference"/>
        </w:rPr>
        <w:annotationRef/>
      </w:r>
      <w:r w:rsidRPr="00021F9A">
        <w:rPr>
          <w:lang w:val="pt-BR"/>
        </w:rPr>
        <w:t>Aqui tem que cortar bastante e</w:t>
      </w:r>
      <w:r>
        <w:rPr>
          <w:lang w:val="pt-BR"/>
        </w:rPr>
        <w:t xml:space="preserve"> rearranjar, claro.  Foi só para ter um debate para PAA. Mas agora com os resultados vou pode começar a escrever melhor.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CD1D92" w15:done="0"/>
  <w15:commentEx w15:paraId="233CFCA6" w15:done="0"/>
  <w15:commentEx w15:paraId="6D8A18EB" w15:done="0"/>
  <w15:commentEx w15:paraId="02B48C33" w15:done="0"/>
  <w15:commentEx w15:paraId="00217C82" w15:done="0"/>
  <w15:commentEx w15:paraId="4F11F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B161" w16cex:dateUtc="2022-11-03T20:30:00Z"/>
  <w16cex:commentExtensible w16cex:durableId="270EB147" w16cex:dateUtc="2022-11-03T20:29:00Z"/>
  <w16cex:commentExtensible w16cex:durableId="270EB172" w16cex:dateUtc="2022-11-03T20:30:00Z"/>
  <w16cex:commentExtensible w16cex:durableId="270EB1B9" w16cex:dateUtc="2022-11-03T20:31:00Z"/>
  <w16cex:commentExtensible w16cex:durableId="270EB20B" w16cex:dateUtc="2022-11-03T20:32:00Z"/>
  <w16cex:commentExtensible w16cex:durableId="270EB26C" w16cex:dateUtc="2022-11-03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CD1D92" w16cid:durableId="270EB161"/>
  <w16cid:commentId w16cid:paraId="233CFCA6" w16cid:durableId="270EB147"/>
  <w16cid:commentId w16cid:paraId="6D8A18EB" w16cid:durableId="270EB172"/>
  <w16cid:commentId w16cid:paraId="02B48C33" w16cid:durableId="270EB1B9"/>
  <w16cid:commentId w16cid:paraId="00217C82" w16cid:durableId="270EB20B"/>
  <w16cid:commentId w16cid:paraId="4F11F3B0" w16cid:durableId="270EB2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CC76" w14:textId="77777777" w:rsidR="00E17E87" w:rsidRDefault="00E17E87" w:rsidP="00761211">
      <w:pPr>
        <w:spacing w:after="0" w:line="240" w:lineRule="auto"/>
      </w:pPr>
      <w:r>
        <w:separator/>
      </w:r>
    </w:p>
  </w:endnote>
  <w:endnote w:type="continuationSeparator" w:id="0">
    <w:p w14:paraId="3726E6E8" w14:textId="77777777" w:rsidR="00E17E87" w:rsidRDefault="00E17E87" w:rsidP="0076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FF95" w14:textId="77777777" w:rsidR="00E17E87" w:rsidRDefault="00E17E87" w:rsidP="00761211">
      <w:pPr>
        <w:spacing w:after="0" w:line="240" w:lineRule="auto"/>
      </w:pPr>
      <w:r>
        <w:separator/>
      </w:r>
    </w:p>
  </w:footnote>
  <w:footnote w:type="continuationSeparator" w:id="0">
    <w:p w14:paraId="1196657D" w14:textId="77777777" w:rsidR="00E17E87" w:rsidRDefault="00E17E87" w:rsidP="00761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112C"/>
    <w:multiLevelType w:val="hybridMultilevel"/>
    <w:tmpl w:val="07849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785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11"/>
    <w:rsid w:val="000014FE"/>
    <w:rsid w:val="00003565"/>
    <w:rsid w:val="00012F3E"/>
    <w:rsid w:val="0001694C"/>
    <w:rsid w:val="00021F9A"/>
    <w:rsid w:val="000345E9"/>
    <w:rsid w:val="00044DA0"/>
    <w:rsid w:val="000606AF"/>
    <w:rsid w:val="00073DE5"/>
    <w:rsid w:val="000812FA"/>
    <w:rsid w:val="000900C3"/>
    <w:rsid w:val="0009572B"/>
    <w:rsid w:val="000B51E7"/>
    <w:rsid w:val="000C4F0F"/>
    <w:rsid w:val="000E2AF0"/>
    <w:rsid w:val="000F12D8"/>
    <w:rsid w:val="000F44DE"/>
    <w:rsid w:val="000F63D6"/>
    <w:rsid w:val="000F6B71"/>
    <w:rsid w:val="00102F6B"/>
    <w:rsid w:val="0010578A"/>
    <w:rsid w:val="0010582E"/>
    <w:rsid w:val="00135645"/>
    <w:rsid w:val="00140EA3"/>
    <w:rsid w:val="0014703C"/>
    <w:rsid w:val="0015415E"/>
    <w:rsid w:val="00154660"/>
    <w:rsid w:val="00155E95"/>
    <w:rsid w:val="001562E7"/>
    <w:rsid w:val="00162609"/>
    <w:rsid w:val="001826F0"/>
    <w:rsid w:val="001A4AC6"/>
    <w:rsid w:val="001B47E9"/>
    <w:rsid w:val="001D017E"/>
    <w:rsid w:val="00203B42"/>
    <w:rsid w:val="00222F05"/>
    <w:rsid w:val="002247FA"/>
    <w:rsid w:val="002364C9"/>
    <w:rsid w:val="002420AD"/>
    <w:rsid w:val="00244374"/>
    <w:rsid w:val="002534AE"/>
    <w:rsid w:val="00267D55"/>
    <w:rsid w:val="00274481"/>
    <w:rsid w:val="002751EC"/>
    <w:rsid w:val="00284997"/>
    <w:rsid w:val="002E2D5A"/>
    <w:rsid w:val="002F19AC"/>
    <w:rsid w:val="0030706E"/>
    <w:rsid w:val="003228D2"/>
    <w:rsid w:val="00331AB7"/>
    <w:rsid w:val="00346613"/>
    <w:rsid w:val="00353737"/>
    <w:rsid w:val="003A60AD"/>
    <w:rsid w:val="003C6AD1"/>
    <w:rsid w:val="003E0E89"/>
    <w:rsid w:val="003E5404"/>
    <w:rsid w:val="003F23F8"/>
    <w:rsid w:val="00401EDB"/>
    <w:rsid w:val="004051EC"/>
    <w:rsid w:val="00405EFF"/>
    <w:rsid w:val="00423D22"/>
    <w:rsid w:val="0042725B"/>
    <w:rsid w:val="00432F17"/>
    <w:rsid w:val="00455CC3"/>
    <w:rsid w:val="0047439F"/>
    <w:rsid w:val="00480E0C"/>
    <w:rsid w:val="00486901"/>
    <w:rsid w:val="004A7004"/>
    <w:rsid w:val="004B00DA"/>
    <w:rsid w:val="004B55E3"/>
    <w:rsid w:val="004C29B7"/>
    <w:rsid w:val="004D22DC"/>
    <w:rsid w:val="004D414B"/>
    <w:rsid w:val="0050001A"/>
    <w:rsid w:val="005254AA"/>
    <w:rsid w:val="00544148"/>
    <w:rsid w:val="005619CE"/>
    <w:rsid w:val="00564503"/>
    <w:rsid w:val="00593E85"/>
    <w:rsid w:val="005C345F"/>
    <w:rsid w:val="005C66AC"/>
    <w:rsid w:val="005E0435"/>
    <w:rsid w:val="005F44CF"/>
    <w:rsid w:val="006019E1"/>
    <w:rsid w:val="00612BF9"/>
    <w:rsid w:val="00612F65"/>
    <w:rsid w:val="006465DD"/>
    <w:rsid w:val="00656D69"/>
    <w:rsid w:val="0067138F"/>
    <w:rsid w:val="006729BF"/>
    <w:rsid w:val="00677528"/>
    <w:rsid w:val="00693EC7"/>
    <w:rsid w:val="006A12FE"/>
    <w:rsid w:val="006A30CA"/>
    <w:rsid w:val="006C169A"/>
    <w:rsid w:val="006D69B1"/>
    <w:rsid w:val="006D6B2A"/>
    <w:rsid w:val="006E73B5"/>
    <w:rsid w:val="006F1B66"/>
    <w:rsid w:val="006F511B"/>
    <w:rsid w:val="0070109E"/>
    <w:rsid w:val="007120FD"/>
    <w:rsid w:val="00716E64"/>
    <w:rsid w:val="00722402"/>
    <w:rsid w:val="00740303"/>
    <w:rsid w:val="0074094A"/>
    <w:rsid w:val="00751CDB"/>
    <w:rsid w:val="007525E6"/>
    <w:rsid w:val="00761211"/>
    <w:rsid w:val="0077343C"/>
    <w:rsid w:val="0077491F"/>
    <w:rsid w:val="00776BC7"/>
    <w:rsid w:val="00781EEF"/>
    <w:rsid w:val="007A67C7"/>
    <w:rsid w:val="007D0994"/>
    <w:rsid w:val="007D6FDF"/>
    <w:rsid w:val="007D734F"/>
    <w:rsid w:val="007E5C56"/>
    <w:rsid w:val="007F48C3"/>
    <w:rsid w:val="007F4D39"/>
    <w:rsid w:val="007F575B"/>
    <w:rsid w:val="008077F0"/>
    <w:rsid w:val="008122E7"/>
    <w:rsid w:val="00821F59"/>
    <w:rsid w:val="00832783"/>
    <w:rsid w:val="008336D5"/>
    <w:rsid w:val="008361EC"/>
    <w:rsid w:val="00855B44"/>
    <w:rsid w:val="008759BF"/>
    <w:rsid w:val="00880F64"/>
    <w:rsid w:val="008928DA"/>
    <w:rsid w:val="00897FFE"/>
    <w:rsid w:val="008A11DF"/>
    <w:rsid w:val="008A53D6"/>
    <w:rsid w:val="008B2CB9"/>
    <w:rsid w:val="008C136E"/>
    <w:rsid w:val="008D6BF5"/>
    <w:rsid w:val="00925BF6"/>
    <w:rsid w:val="00946BD8"/>
    <w:rsid w:val="00967481"/>
    <w:rsid w:val="00967FDE"/>
    <w:rsid w:val="00971A7C"/>
    <w:rsid w:val="009755CE"/>
    <w:rsid w:val="0098268D"/>
    <w:rsid w:val="009840D9"/>
    <w:rsid w:val="009C1CAD"/>
    <w:rsid w:val="009C6A8D"/>
    <w:rsid w:val="009D39FE"/>
    <w:rsid w:val="009E42FB"/>
    <w:rsid w:val="009F0ACD"/>
    <w:rsid w:val="009F2603"/>
    <w:rsid w:val="009F5D40"/>
    <w:rsid w:val="00A0249C"/>
    <w:rsid w:val="00A03BE0"/>
    <w:rsid w:val="00A14778"/>
    <w:rsid w:val="00A23EF4"/>
    <w:rsid w:val="00A2662A"/>
    <w:rsid w:val="00A40FC6"/>
    <w:rsid w:val="00A84B14"/>
    <w:rsid w:val="00AC448E"/>
    <w:rsid w:val="00AD7615"/>
    <w:rsid w:val="00AE0A54"/>
    <w:rsid w:val="00AF6E4D"/>
    <w:rsid w:val="00B0663E"/>
    <w:rsid w:val="00B10295"/>
    <w:rsid w:val="00B2277A"/>
    <w:rsid w:val="00B633E8"/>
    <w:rsid w:val="00B65354"/>
    <w:rsid w:val="00B81F4B"/>
    <w:rsid w:val="00B842A0"/>
    <w:rsid w:val="00B84752"/>
    <w:rsid w:val="00B913F1"/>
    <w:rsid w:val="00B943A1"/>
    <w:rsid w:val="00BA0E3A"/>
    <w:rsid w:val="00BD06D3"/>
    <w:rsid w:val="00BD61A3"/>
    <w:rsid w:val="00C05ED1"/>
    <w:rsid w:val="00C07B7C"/>
    <w:rsid w:val="00C10BDA"/>
    <w:rsid w:val="00C16FBA"/>
    <w:rsid w:val="00C17CF7"/>
    <w:rsid w:val="00C22990"/>
    <w:rsid w:val="00C25E96"/>
    <w:rsid w:val="00C3063D"/>
    <w:rsid w:val="00C34B3A"/>
    <w:rsid w:val="00C37CA2"/>
    <w:rsid w:val="00C50B3C"/>
    <w:rsid w:val="00C51E9F"/>
    <w:rsid w:val="00C533D0"/>
    <w:rsid w:val="00C57600"/>
    <w:rsid w:val="00C702ED"/>
    <w:rsid w:val="00C80778"/>
    <w:rsid w:val="00C81952"/>
    <w:rsid w:val="00CA2838"/>
    <w:rsid w:val="00CA3BFD"/>
    <w:rsid w:val="00CC485D"/>
    <w:rsid w:val="00CC6739"/>
    <w:rsid w:val="00CD4D33"/>
    <w:rsid w:val="00CD7A97"/>
    <w:rsid w:val="00CF21B7"/>
    <w:rsid w:val="00CF7BC0"/>
    <w:rsid w:val="00D01697"/>
    <w:rsid w:val="00D24482"/>
    <w:rsid w:val="00D33E3E"/>
    <w:rsid w:val="00D4175F"/>
    <w:rsid w:val="00D51ED1"/>
    <w:rsid w:val="00D766D0"/>
    <w:rsid w:val="00DB0A42"/>
    <w:rsid w:val="00DC0EE6"/>
    <w:rsid w:val="00DD7A9F"/>
    <w:rsid w:val="00DF6746"/>
    <w:rsid w:val="00E00875"/>
    <w:rsid w:val="00E00B71"/>
    <w:rsid w:val="00E10611"/>
    <w:rsid w:val="00E15992"/>
    <w:rsid w:val="00E17E87"/>
    <w:rsid w:val="00E212C5"/>
    <w:rsid w:val="00E63853"/>
    <w:rsid w:val="00E638BE"/>
    <w:rsid w:val="00E82EC4"/>
    <w:rsid w:val="00E93373"/>
    <w:rsid w:val="00EB15BD"/>
    <w:rsid w:val="00EB2F46"/>
    <w:rsid w:val="00EB7223"/>
    <w:rsid w:val="00EC1896"/>
    <w:rsid w:val="00ED6259"/>
    <w:rsid w:val="00EE6B0D"/>
    <w:rsid w:val="00F01444"/>
    <w:rsid w:val="00F24F5A"/>
    <w:rsid w:val="00F33884"/>
    <w:rsid w:val="00F533DF"/>
    <w:rsid w:val="00F65F88"/>
    <w:rsid w:val="00F83015"/>
    <w:rsid w:val="00F91BD9"/>
    <w:rsid w:val="00F97BEB"/>
    <w:rsid w:val="00FA7A0D"/>
    <w:rsid w:val="00FB5491"/>
    <w:rsid w:val="00FC6D45"/>
    <w:rsid w:val="00FE1829"/>
    <w:rsid w:val="00FF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72F06"/>
  <w15:chartTrackingRefBased/>
  <w15:docId w15:val="{A72D31A6-A81D-408F-9978-F164FD6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121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612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211"/>
    <w:rPr>
      <w:sz w:val="20"/>
      <w:szCs w:val="20"/>
    </w:rPr>
  </w:style>
  <w:style w:type="character" w:styleId="FootnoteReference">
    <w:name w:val="footnote reference"/>
    <w:basedOn w:val="DefaultParagraphFont"/>
    <w:uiPriority w:val="99"/>
    <w:semiHidden/>
    <w:unhideWhenUsed/>
    <w:rsid w:val="00761211"/>
    <w:rPr>
      <w:vertAlign w:val="superscript"/>
    </w:rPr>
  </w:style>
  <w:style w:type="character" w:styleId="Hyperlink">
    <w:name w:val="Hyperlink"/>
    <w:basedOn w:val="DefaultParagraphFont"/>
    <w:uiPriority w:val="99"/>
    <w:unhideWhenUsed/>
    <w:rsid w:val="00B2277A"/>
    <w:rPr>
      <w:color w:val="0563C1" w:themeColor="hyperlink"/>
      <w:u w:val="single"/>
    </w:rPr>
  </w:style>
  <w:style w:type="character" w:styleId="UnresolvedMention">
    <w:name w:val="Unresolved Mention"/>
    <w:basedOn w:val="DefaultParagraphFont"/>
    <w:uiPriority w:val="99"/>
    <w:semiHidden/>
    <w:unhideWhenUsed/>
    <w:rsid w:val="00B2277A"/>
    <w:rPr>
      <w:color w:val="605E5C"/>
      <w:shd w:val="clear" w:color="auto" w:fill="E1DFDD"/>
    </w:rPr>
  </w:style>
  <w:style w:type="paragraph" w:customStyle="1" w:styleId="Default">
    <w:name w:val="Default"/>
    <w:rsid w:val="004D414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A7004"/>
    <w:pPr>
      <w:ind w:left="720"/>
      <w:contextualSpacing/>
    </w:pPr>
  </w:style>
  <w:style w:type="character" w:styleId="CommentReference">
    <w:name w:val="annotation reference"/>
    <w:basedOn w:val="DefaultParagraphFont"/>
    <w:uiPriority w:val="99"/>
    <w:semiHidden/>
    <w:unhideWhenUsed/>
    <w:rsid w:val="00DD7A9F"/>
    <w:rPr>
      <w:sz w:val="16"/>
      <w:szCs w:val="16"/>
    </w:rPr>
  </w:style>
  <w:style w:type="paragraph" w:styleId="CommentText">
    <w:name w:val="annotation text"/>
    <w:basedOn w:val="Normal"/>
    <w:link w:val="CommentTextChar"/>
    <w:uiPriority w:val="99"/>
    <w:semiHidden/>
    <w:unhideWhenUsed/>
    <w:rsid w:val="00DD7A9F"/>
    <w:pPr>
      <w:spacing w:line="240" w:lineRule="auto"/>
    </w:pPr>
    <w:rPr>
      <w:sz w:val="20"/>
      <w:szCs w:val="20"/>
    </w:rPr>
  </w:style>
  <w:style w:type="character" w:customStyle="1" w:styleId="CommentTextChar">
    <w:name w:val="Comment Text Char"/>
    <w:basedOn w:val="DefaultParagraphFont"/>
    <w:link w:val="CommentText"/>
    <w:uiPriority w:val="99"/>
    <w:semiHidden/>
    <w:rsid w:val="00DD7A9F"/>
    <w:rPr>
      <w:sz w:val="20"/>
      <w:szCs w:val="20"/>
    </w:rPr>
  </w:style>
  <w:style w:type="paragraph" w:styleId="CommentSubject">
    <w:name w:val="annotation subject"/>
    <w:basedOn w:val="CommentText"/>
    <w:next w:val="CommentText"/>
    <w:link w:val="CommentSubjectChar"/>
    <w:uiPriority w:val="99"/>
    <w:semiHidden/>
    <w:unhideWhenUsed/>
    <w:rsid w:val="00DD7A9F"/>
    <w:rPr>
      <w:b/>
      <w:bCs/>
    </w:rPr>
  </w:style>
  <w:style w:type="character" w:customStyle="1" w:styleId="CommentSubjectChar">
    <w:name w:val="Comment Subject Char"/>
    <w:basedOn w:val="CommentTextChar"/>
    <w:link w:val="CommentSubject"/>
    <w:uiPriority w:val="99"/>
    <w:semiHidden/>
    <w:rsid w:val="00DD7A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2429">
      <w:bodyDiv w:val="1"/>
      <w:marLeft w:val="0"/>
      <w:marRight w:val="0"/>
      <w:marTop w:val="0"/>
      <w:marBottom w:val="0"/>
      <w:divBdr>
        <w:top w:val="none" w:sz="0" w:space="0" w:color="auto"/>
        <w:left w:val="none" w:sz="0" w:space="0" w:color="auto"/>
        <w:bottom w:val="none" w:sz="0" w:space="0" w:color="auto"/>
        <w:right w:val="none" w:sz="0" w:space="0" w:color="auto"/>
      </w:divBdr>
      <w:divsChild>
        <w:div w:id="1091580471">
          <w:marLeft w:val="547"/>
          <w:marRight w:val="0"/>
          <w:marTop w:val="0"/>
          <w:marBottom w:val="120"/>
          <w:divBdr>
            <w:top w:val="none" w:sz="0" w:space="0" w:color="auto"/>
            <w:left w:val="none" w:sz="0" w:space="0" w:color="auto"/>
            <w:bottom w:val="none" w:sz="0" w:space="0" w:color="auto"/>
            <w:right w:val="none" w:sz="0" w:space="0" w:color="auto"/>
          </w:divBdr>
        </w:div>
      </w:divsChild>
    </w:div>
    <w:div w:id="173569778">
      <w:bodyDiv w:val="1"/>
      <w:marLeft w:val="0"/>
      <w:marRight w:val="0"/>
      <w:marTop w:val="0"/>
      <w:marBottom w:val="0"/>
      <w:divBdr>
        <w:top w:val="none" w:sz="0" w:space="0" w:color="auto"/>
        <w:left w:val="none" w:sz="0" w:space="0" w:color="auto"/>
        <w:bottom w:val="none" w:sz="0" w:space="0" w:color="auto"/>
        <w:right w:val="none" w:sz="0" w:space="0" w:color="auto"/>
      </w:divBdr>
    </w:div>
    <w:div w:id="243615266">
      <w:bodyDiv w:val="1"/>
      <w:marLeft w:val="0"/>
      <w:marRight w:val="0"/>
      <w:marTop w:val="0"/>
      <w:marBottom w:val="0"/>
      <w:divBdr>
        <w:top w:val="none" w:sz="0" w:space="0" w:color="auto"/>
        <w:left w:val="none" w:sz="0" w:space="0" w:color="auto"/>
        <w:bottom w:val="none" w:sz="0" w:space="0" w:color="auto"/>
        <w:right w:val="none" w:sz="0" w:space="0" w:color="auto"/>
      </w:divBdr>
    </w:div>
    <w:div w:id="386563421">
      <w:bodyDiv w:val="1"/>
      <w:marLeft w:val="0"/>
      <w:marRight w:val="0"/>
      <w:marTop w:val="0"/>
      <w:marBottom w:val="0"/>
      <w:divBdr>
        <w:top w:val="none" w:sz="0" w:space="0" w:color="auto"/>
        <w:left w:val="none" w:sz="0" w:space="0" w:color="auto"/>
        <w:bottom w:val="none" w:sz="0" w:space="0" w:color="auto"/>
        <w:right w:val="none" w:sz="0" w:space="0" w:color="auto"/>
      </w:divBdr>
    </w:div>
    <w:div w:id="393430116">
      <w:bodyDiv w:val="1"/>
      <w:marLeft w:val="0"/>
      <w:marRight w:val="0"/>
      <w:marTop w:val="0"/>
      <w:marBottom w:val="0"/>
      <w:divBdr>
        <w:top w:val="none" w:sz="0" w:space="0" w:color="auto"/>
        <w:left w:val="none" w:sz="0" w:space="0" w:color="auto"/>
        <w:bottom w:val="none" w:sz="0" w:space="0" w:color="auto"/>
        <w:right w:val="none" w:sz="0" w:space="0" w:color="auto"/>
      </w:divBdr>
    </w:div>
    <w:div w:id="473371967">
      <w:bodyDiv w:val="1"/>
      <w:marLeft w:val="0"/>
      <w:marRight w:val="0"/>
      <w:marTop w:val="0"/>
      <w:marBottom w:val="0"/>
      <w:divBdr>
        <w:top w:val="none" w:sz="0" w:space="0" w:color="auto"/>
        <w:left w:val="none" w:sz="0" w:space="0" w:color="auto"/>
        <w:bottom w:val="none" w:sz="0" w:space="0" w:color="auto"/>
        <w:right w:val="none" w:sz="0" w:space="0" w:color="auto"/>
      </w:divBdr>
    </w:div>
    <w:div w:id="523248204">
      <w:bodyDiv w:val="1"/>
      <w:marLeft w:val="0"/>
      <w:marRight w:val="0"/>
      <w:marTop w:val="0"/>
      <w:marBottom w:val="0"/>
      <w:divBdr>
        <w:top w:val="none" w:sz="0" w:space="0" w:color="auto"/>
        <w:left w:val="none" w:sz="0" w:space="0" w:color="auto"/>
        <w:bottom w:val="none" w:sz="0" w:space="0" w:color="auto"/>
        <w:right w:val="none" w:sz="0" w:space="0" w:color="auto"/>
      </w:divBdr>
    </w:div>
    <w:div w:id="5532042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788">
          <w:marLeft w:val="547"/>
          <w:marRight w:val="0"/>
          <w:marTop w:val="0"/>
          <w:marBottom w:val="120"/>
          <w:divBdr>
            <w:top w:val="none" w:sz="0" w:space="0" w:color="auto"/>
            <w:left w:val="none" w:sz="0" w:space="0" w:color="auto"/>
            <w:bottom w:val="none" w:sz="0" w:space="0" w:color="auto"/>
            <w:right w:val="none" w:sz="0" w:space="0" w:color="auto"/>
          </w:divBdr>
        </w:div>
      </w:divsChild>
    </w:div>
    <w:div w:id="587738872">
      <w:bodyDiv w:val="1"/>
      <w:marLeft w:val="0"/>
      <w:marRight w:val="0"/>
      <w:marTop w:val="0"/>
      <w:marBottom w:val="0"/>
      <w:divBdr>
        <w:top w:val="none" w:sz="0" w:space="0" w:color="auto"/>
        <w:left w:val="none" w:sz="0" w:space="0" w:color="auto"/>
        <w:bottom w:val="none" w:sz="0" w:space="0" w:color="auto"/>
        <w:right w:val="none" w:sz="0" w:space="0" w:color="auto"/>
      </w:divBdr>
    </w:div>
    <w:div w:id="657423800">
      <w:bodyDiv w:val="1"/>
      <w:marLeft w:val="0"/>
      <w:marRight w:val="0"/>
      <w:marTop w:val="0"/>
      <w:marBottom w:val="0"/>
      <w:divBdr>
        <w:top w:val="none" w:sz="0" w:space="0" w:color="auto"/>
        <w:left w:val="none" w:sz="0" w:space="0" w:color="auto"/>
        <w:bottom w:val="none" w:sz="0" w:space="0" w:color="auto"/>
        <w:right w:val="none" w:sz="0" w:space="0" w:color="auto"/>
      </w:divBdr>
    </w:div>
    <w:div w:id="699668758">
      <w:bodyDiv w:val="1"/>
      <w:marLeft w:val="0"/>
      <w:marRight w:val="0"/>
      <w:marTop w:val="0"/>
      <w:marBottom w:val="0"/>
      <w:divBdr>
        <w:top w:val="none" w:sz="0" w:space="0" w:color="auto"/>
        <w:left w:val="none" w:sz="0" w:space="0" w:color="auto"/>
        <w:bottom w:val="none" w:sz="0" w:space="0" w:color="auto"/>
        <w:right w:val="none" w:sz="0" w:space="0" w:color="auto"/>
      </w:divBdr>
    </w:div>
    <w:div w:id="705564585">
      <w:bodyDiv w:val="1"/>
      <w:marLeft w:val="0"/>
      <w:marRight w:val="0"/>
      <w:marTop w:val="0"/>
      <w:marBottom w:val="0"/>
      <w:divBdr>
        <w:top w:val="none" w:sz="0" w:space="0" w:color="auto"/>
        <w:left w:val="none" w:sz="0" w:space="0" w:color="auto"/>
        <w:bottom w:val="none" w:sz="0" w:space="0" w:color="auto"/>
        <w:right w:val="none" w:sz="0" w:space="0" w:color="auto"/>
      </w:divBdr>
    </w:div>
    <w:div w:id="853609551">
      <w:bodyDiv w:val="1"/>
      <w:marLeft w:val="0"/>
      <w:marRight w:val="0"/>
      <w:marTop w:val="0"/>
      <w:marBottom w:val="0"/>
      <w:divBdr>
        <w:top w:val="none" w:sz="0" w:space="0" w:color="auto"/>
        <w:left w:val="none" w:sz="0" w:space="0" w:color="auto"/>
        <w:bottom w:val="none" w:sz="0" w:space="0" w:color="auto"/>
        <w:right w:val="none" w:sz="0" w:space="0" w:color="auto"/>
      </w:divBdr>
    </w:div>
    <w:div w:id="901448642">
      <w:bodyDiv w:val="1"/>
      <w:marLeft w:val="0"/>
      <w:marRight w:val="0"/>
      <w:marTop w:val="0"/>
      <w:marBottom w:val="0"/>
      <w:divBdr>
        <w:top w:val="none" w:sz="0" w:space="0" w:color="auto"/>
        <w:left w:val="none" w:sz="0" w:space="0" w:color="auto"/>
        <w:bottom w:val="none" w:sz="0" w:space="0" w:color="auto"/>
        <w:right w:val="none" w:sz="0" w:space="0" w:color="auto"/>
      </w:divBdr>
    </w:div>
    <w:div w:id="967782819">
      <w:bodyDiv w:val="1"/>
      <w:marLeft w:val="0"/>
      <w:marRight w:val="0"/>
      <w:marTop w:val="0"/>
      <w:marBottom w:val="0"/>
      <w:divBdr>
        <w:top w:val="none" w:sz="0" w:space="0" w:color="auto"/>
        <w:left w:val="none" w:sz="0" w:space="0" w:color="auto"/>
        <w:bottom w:val="none" w:sz="0" w:space="0" w:color="auto"/>
        <w:right w:val="none" w:sz="0" w:space="0" w:color="auto"/>
      </w:divBdr>
    </w:div>
    <w:div w:id="1137986574">
      <w:bodyDiv w:val="1"/>
      <w:marLeft w:val="0"/>
      <w:marRight w:val="0"/>
      <w:marTop w:val="0"/>
      <w:marBottom w:val="0"/>
      <w:divBdr>
        <w:top w:val="none" w:sz="0" w:space="0" w:color="auto"/>
        <w:left w:val="none" w:sz="0" w:space="0" w:color="auto"/>
        <w:bottom w:val="none" w:sz="0" w:space="0" w:color="auto"/>
        <w:right w:val="none" w:sz="0" w:space="0" w:color="auto"/>
      </w:divBdr>
    </w:div>
    <w:div w:id="1288048391">
      <w:bodyDiv w:val="1"/>
      <w:marLeft w:val="0"/>
      <w:marRight w:val="0"/>
      <w:marTop w:val="0"/>
      <w:marBottom w:val="0"/>
      <w:divBdr>
        <w:top w:val="none" w:sz="0" w:space="0" w:color="auto"/>
        <w:left w:val="none" w:sz="0" w:space="0" w:color="auto"/>
        <w:bottom w:val="none" w:sz="0" w:space="0" w:color="auto"/>
        <w:right w:val="none" w:sz="0" w:space="0" w:color="auto"/>
      </w:divBdr>
    </w:div>
    <w:div w:id="1469780383">
      <w:bodyDiv w:val="1"/>
      <w:marLeft w:val="0"/>
      <w:marRight w:val="0"/>
      <w:marTop w:val="0"/>
      <w:marBottom w:val="0"/>
      <w:divBdr>
        <w:top w:val="none" w:sz="0" w:space="0" w:color="auto"/>
        <w:left w:val="none" w:sz="0" w:space="0" w:color="auto"/>
        <w:bottom w:val="none" w:sz="0" w:space="0" w:color="auto"/>
        <w:right w:val="none" w:sz="0" w:space="0" w:color="auto"/>
      </w:divBdr>
    </w:div>
    <w:div w:id="1521311834">
      <w:bodyDiv w:val="1"/>
      <w:marLeft w:val="0"/>
      <w:marRight w:val="0"/>
      <w:marTop w:val="0"/>
      <w:marBottom w:val="0"/>
      <w:divBdr>
        <w:top w:val="none" w:sz="0" w:space="0" w:color="auto"/>
        <w:left w:val="none" w:sz="0" w:space="0" w:color="auto"/>
        <w:bottom w:val="none" w:sz="0" w:space="0" w:color="auto"/>
        <w:right w:val="none" w:sz="0" w:space="0" w:color="auto"/>
      </w:divBdr>
    </w:div>
    <w:div w:id="1775587989">
      <w:bodyDiv w:val="1"/>
      <w:marLeft w:val="0"/>
      <w:marRight w:val="0"/>
      <w:marTop w:val="0"/>
      <w:marBottom w:val="0"/>
      <w:divBdr>
        <w:top w:val="none" w:sz="0" w:space="0" w:color="auto"/>
        <w:left w:val="none" w:sz="0" w:space="0" w:color="auto"/>
        <w:bottom w:val="none" w:sz="0" w:space="0" w:color="auto"/>
        <w:right w:val="none" w:sz="0" w:space="0" w:color="auto"/>
      </w:divBdr>
    </w:div>
    <w:div w:id="1856578042">
      <w:bodyDiv w:val="1"/>
      <w:marLeft w:val="0"/>
      <w:marRight w:val="0"/>
      <w:marTop w:val="0"/>
      <w:marBottom w:val="0"/>
      <w:divBdr>
        <w:top w:val="none" w:sz="0" w:space="0" w:color="auto"/>
        <w:left w:val="none" w:sz="0" w:space="0" w:color="auto"/>
        <w:bottom w:val="none" w:sz="0" w:space="0" w:color="auto"/>
        <w:right w:val="none" w:sz="0" w:space="0" w:color="auto"/>
      </w:divBdr>
    </w:div>
    <w:div w:id="1955475596">
      <w:bodyDiv w:val="1"/>
      <w:marLeft w:val="0"/>
      <w:marRight w:val="0"/>
      <w:marTop w:val="0"/>
      <w:marBottom w:val="0"/>
      <w:divBdr>
        <w:top w:val="none" w:sz="0" w:space="0" w:color="auto"/>
        <w:left w:val="none" w:sz="0" w:space="0" w:color="auto"/>
        <w:bottom w:val="none" w:sz="0" w:space="0" w:color="auto"/>
        <w:right w:val="none" w:sz="0" w:space="0" w:color="auto"/>
      </w:divBdr>
    </w:div>
    <w:div w:id="2049262126">
      <w:bodyDiv w:val="1"/>
      <w:marLeft w:val="0"/>
      <w:marRight w:val="0"/>
      <w:marTop w:val="0"/>
      <w:marBottom w:val="0"/>
      <w:divBdr>
        <w:top w:val="none" w:sz="0" w:space="0" w:color="auto"/>
        <w:left w:val="none" w:sz="0" w:space="0" w:color="auto"/>
        <w:bottom w:val="none" w:sz="0" w:space="0" w:color="auto"/>
        <w:right w:val="none" w:sz="0" w:space="0" w:color="auto"/>
      </w:divBdr>
    </w:div>
    <w:div w:id="20851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essa.DiLego@oeaw.ac.at" TargetMode="Externa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2aging.or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2ag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share-project.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hyperlink" Target="https://g2ag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3725F3-575C-4DA6-8244-8E1C7661CA7D}">
  <we:reference id="wa104382081" version="1.28.0.0" store="en-US" storeType="OMEX"/>
  <we:alternateReferences>
    <we:reference id="WA104382081" version="1.28.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D0F5-B5BA-47A0-B239-178F79F4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12159</Words>
  <Characters>69312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di lego</dc:creator>
  <cp:keywords/>
  <dc:description/>
  <cp:lastModifiedBy>Author</cp:lastModifiedBy>
  <cp:revision>15</cp:revision>
  <dcterms:created xsi:type="dcterms:W3CDTF">2022-11-03T20:15:00Z</dcterms:created>
  <dcterms:modified xsi:type="dcterms:W3CDTF">2022-11-03T20:35:00Z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74f4c020-339f-300e-9a0b-e86d4ce26fc6</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http://www.zotero.org/styles/demographic-research</vt:lpwstr>
  </property>
  <property fmtid="{D5CDD505-2E9C-101B-9397-08002B2CF9AE}" pid="10" name="Mendeley Recent Style Name 2_1">
    <vt:lpwstr>Demographic Research</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http://www.zotero.org/styles/national-library-of-medicine</vt:lpwstr>
  </property>
  <property fmtid="{D5CDD505-2E9C-101B-9397-08002B2CF9AE}" pid="18" name="Mendeley Recent Style Name 6_1">
    <vt:lpwstr>National Library of Medicine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http://www.zotero.org/styles/springer-basic-author-date</vt:lpwstr>
  </property>
  <property fmtid="{D5CDD505-2E9C-101B-9397-08002B2CF9AE}" pid="22" name="Mendeley Recent Style Name 8_1">
    <vt:lpwstr>Springer - Basic (author-date)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