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Tea Freedman-Susskind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PI Mentor: Dr. Vanessa Jonsson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PhD Mentor: Natalie Dullerud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 July 2020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Second Interim Report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Progress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 tried to compare my calculated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 xml:space="preserve">G data with yeast-derived in vivo data to demonstrate its accuracy, but instead this just revealed underlying issues with how I was calculating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 xml:space="preserve">G—namely, that I was using a function that output </w:t>
      </w:r>
      <w:r>
        <w:rPr>
          <w:rFonts w:ascii="Liberation Serif" w:hAnsi="Liberation Serif"/>
          <w:i w:val="false"/>
          <w:iCs w:val="false"/>
        </w:rPr>
        <w:t>Δ</w:t>
      </w:r>
      <w:r>
        <w:rPr>
          <w:rFonts w:ascii="Liberation Serif" w:hAnsi="Liberation Serif"/>
          <w:i w:val="false"/>
          <w:iCs w:val="false"/>
        </w:rPr>
        <w:t xml:space="preserve">G instead of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 xml:space="preserve">G. I ran the function which produces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 xml:space="preserve">G data on old and new structures, all of which are SARS-CoV-2 spike protein fragments including its residue binding domain (RBD) bound to a variety of antibodies as well as the human ACE2 receptor. I used this analysis to identify aberrant mutations which either greatly enhance or detract from the bound complex’s stability. In addition, I furthered some analysis my co-mentor had undertaken of RBD mutations’ effects on the minimum concentration of that antibody necessary in vitro to neutralize half of </w:t>
      </w:r>
      <w:r>
        <w:rPr>
          <w:rFonts w:ascii="Liberation Serif" w:hAnsi="Liberation Serif"/>
          <w:i w:val="false"/>
          <w:iCs w:val="false"/>
        </w:rPr>
        <w:t>spike proteins, the IC50 value, by plotting mutations of interest in a bar graph and analyzing them within the complex’s structure.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Methods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 have continued to write scripts in Python to analyze data generated through FoldX, a Terminal-based program that simulates mutations and expected properties thereof using an energy minimization algorithm. In pairing simulated data with in vivo data </w:t>
      </w:r>
      <w:r>
        <w:rPr>
          <w:i w:val="false"/>
          <w:iCs w:val="false"/>
        </w:rPr>
        <w:t xml:space="preserve">from experiments in yeast, it became clear that there was a problem with my data, which proved to be the use of </w:t>
      </w:r>
      <w:r>
        <w:rPr>
          <w:rFonts w:ascii="Liberation Serif" w:hAnsi="Liberation Serif"/>
          <w:i w:val="false"/>
          <w:iCs w:val="false"/>
        </w:rPr>
        <w:t>Δ</w:t>
      </w:r>
      <w:r>
        <w:rPr>
          <w:i w:val="false"/>
          <w:iCs w:val="false"/>
        </w:rPr>
        <w:t xml:space="preserve">G values from FoldX’s BuildModel function instead of </w:t>
      </w:r>
      <w:r>
        <w:rPr>
          <w:rFonts w:ascii="Liberation Serif" w:hAnsi="Liberation Serif"/>
          <w:i w:val="false"/>
          <w:iCs w:val="false"/>
        </w:rPr>
        <w:t xml:space="preserve">ΔΔG values, which could be had from the PositionScan function </w:t>
      </w:r>
      <w:r>
        <w:rPr>
          <w:i w:val="false"/>
          <w:iCs w:val="false"/>
        </w:rPr>
        <w:t xml:space="preserve">(Starr et al). I proceeded to run all the structures I had previously collected </w:t>
      </w:r>
      <w:r>
        <w:rPr>
          <w:rFonts w:ascii="Liberation Serif" w:hAnsi="Liberation Serif"/>
          <w:i w:val="false"/>
          <w:iCs w:val="false"/>
        </w:rPr>
        <w:t>Δ</w:t>
      </w:r>
      <w:r>
        <w:rPr>
          <w:rFonts w:ascii="Liberation Serif" w:hAnsi="Liberation Serif"/>
          <w:i w:val="false"/>
          <w:iCs w:val="false"/>
        </w:rPr>
        <w:t xml:space="preserve">G data from through PositionScan to get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 xml:space="preserve">G, and reanalyzed the structures based on the now correct values. I used this opportunity to clean up my Python analysis scripts, and automate mutation running. In addition, while troubleshooting </w:t>
      </w:r>
      <w:r>
        <w:rPr>
          <w:rFonts w:ascii="Liberation Serif" w:hAnsi="Liberation Serif"/>
          <w:i w:val="false"/>
          <w:iCs w:val="false"/>
        </w:rPr>
        <w:t xml:space="preserve">an especially slow mutation run, I discovered that PositionScan had been repairing the original protein file with each mutation, and so added in a repair command prior to running the PositionScan. </w:t>
      </w:r>
      <w:r>
        <w:rPr>
          <w:rFonts w:ascii="Liberation Serif" w:hAnsi="Liberation Serif"/>
          <w:i w:val="false"/>
          <w:iCs w:val="false"/>
        </w:rPr>
        <w:t xml:space="preserve">I also added to the library of graphs generated using the Seaborn Python library for each protein file, </w:t>
      </w:r>
      <w:r>
        <w:rPr>
          <w:rFonts w:ascii="Liberation Serif" w:hAnsi="Liberation Serif"/>
          <w:i w:val="false"/>
          <w:iCs w:val="false"/>
        </w:rPr>
        <w:t xml:space="preserve">creating a box plot and frequency plot for each chain in the protein structures </w:t>
      </w:r>
      <w:r>
        <w:rPr>
          <w:rFonts w:ascii="Liberation Serif" w:hAnsi="Liberation Serif"/>
          <w:i w:val="false"/>
          <w:iCs w:val="false"/>
        </w:rPr>
        <w:t xml:space="preserve">and implemented automatic saving. I used some of these graphs to analyze </w:t>
      </w:r>
      <w:r>
        <w:rPr>
          <w:rFonts w:ascii="Liberation Serif" w:hAnsi="Liberation Serif"/>
          <w:i w:val="false"/>
          <w:iCs w:val="false"/>
        </w:rPr>
        <w:t>data generated by my co-mentor on mutational improvements to and detractions of</w:t>
      </w:r>
      <w:r>
        <w:rPr>
          <w:rFonts w:ascii="Liberation Serif" w:hAnsi="Liberation Serif"/>
          <w:i w:val="false"/>
          <w:iCs w:val="false"/>
        </w:rPr>
        <w:t xml:space="preserve"> </w:t>
      </w:r>
      <w:r>
        <w:rPr>
          <w:rFonts w:ascii="Liberation Serif" w:hAnsi="Liberation Serif"/>
          <w:i w:val="false"/>
          <w:iCs w:val="false"/>
        </w:rPr>
        <w:t>IC50</w:t>
      </w:r>
      <w:r>
        <w:rPr>
          <w:rFonts w:ascii="Liberation Serif" w:hAnsi="Liberation Serif"/>
          <w:i w:val="false"/>
          <w:iCs w:val="false"/>
        </w:rPr>
        <w:t xml:space="preserve"> neutralization data </w:t>
      </w:r>
      <w:r>
        <w:rPr>
          <w:rFonts w:ascii="Liberation Serif" w:hAnsi="Liberation Serif"/>
          <w:i w:val="false"/>
          <w:iCs w:val="false"/>
        </w:rPr>
        <w:t>for the C105 antibody</w:t>
      </w:r>
      <w:r>
        <w:rPr>
          <w:rFonts w:ascii="Liberation Serif" w:hAnsi="Liberation Serif"/>
          <w:i w:val="false"/>
          <w:iCs w:val="false"/>
        </w:rPr>
        <w:t xml:space="preserve">, </w:t>
      </w:r>
      <w:r>
        <w:rPr>
          <w:rFonts w:ascii="Liberation Serif" w:hAnsi="Liberation Serif"/>
          <w:i w:val="false"/>
          <w:iCs w:val="false"/>
        </w:rPr>
        <w:t xml:space="preserve">and explored its location in the structure </w:t>
      </w:r>
      <w:r>
        <w:rPr>
          <w:rFonts w:ascii="Liberation Serif" w:hAnsi="Liberation Serif"/>
          <w:i w:val="false"/>
          <w:iCs w:val="false"/>
        </w:rPr>
        <w:t xml:space="preserve">using YASARA </w:t>
      </w:r>
      <w:r>
        <w:rPr>
          <w:rFonts w:ascii="Liberation Serif" w:hAnsi="Liberation Serif"/>
          <w:i w:val="false"/>
          <w:iCs w:val="false"/>
        </w:rPr>
        <w:t>(cite 6xcm).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2540</wp:posOffset>
                </wp:positionH>
                <wp:positionV relativeFrom="paragraph">
                  <wp:posOffset>400050</wp:posOffset>
                </wp:positionV>
                <wp:extent cx="3355975" cy="3151505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31515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55975" cy="2516505"/>
                                  <wp:effectExtent l="0" t="0" r="0" b="0"/>
                                  <wp:docPr id="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5975" cy="251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Figure 1|Bar plot of large values of coefficients relating impact of mutations to the C105 antibody to neutralization potency.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53000</wp14:pctWidth>
                </wp14:sizeRelH>
              </wp:anchor>
            </w:drawing>
          </mc:Choice>
          <mc:Fallback>
            <w:pict>
              <v:rect style="position:absolute;rotation:0;width:264.25pt;height:248.15pt;mso-wrap-distance-left:0pt;mso-wrap-distance-right:0pt;mso-wrap-distance-top:0pt;mso-wrap-distance-bottom:0pt;margin-top:31.5pt;mso-position-vertical-relative:text;margin-left:0.2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55975" cy="2516505"/>
                            <wp:effectExtent l="0" t="0" r="0" b="0"/>
                            <wp:docPr id="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5975" cy="2516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Figure 1|Bar plot of large values of coefficients relating impact of mutations to the C105 antibody to neutralization potency.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18415</wp:posOffset>
                </wp:positionH>
                <wp:positionV relativeFrom="paragraph">
                  <wp:posOffset>108585</wp:posOffset>
                </wp:positionV>
                <wp:extent cx="6286500" cy="2468880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4688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86500" cy="2042160"/>
                                  <wp:effectExtent l="0" t="0" r="0" b="0"/>
                                  <wp:docPr id="5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0" cy="204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bookmarkStart w:id="0" w:name="__DdeLink__870_1027568629"/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|</w:t>
                            </w:r>
                            <w:r>
                              <w:rPr/>
                              <w:t xml:space="preserve">Box plot of </w:t>
                            </w:r>
                            <w:r>
                              <w:rPr>
                                <w:rFonts w:cs="Lohit Devanagari" w:ascii="Liberation Serif" w:hAnsi="Liberation Serif"/>
                              </w:rPr>
                              <w:t xml:space="preserve">Δ Δ </w:t>
                            </w:r>
                            <w:r>
                              <w:rPr>
                                <w:rFonts w:cs="Lohit Devanagari" w:ascii="Liberation Serif" w:hAnsi="Liberation Serif"/>
                              </w:rPr>
                              <w:t xml:space="preserve">G of mutations at each location of the </w:t>
                            </w:r>
                            <w:r>
                              <w:rPr/>
                              <w:t xml:space="preserve">RBD complexed with 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 xml:space="preserve"> REGN10987 antibody.</w:t>
                            </w:r>
                            <w:bookmarkEnd w:id="0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5pt;height:194.4pt;mso-wrap-distance-left:0pt;mso-wrap-distance-right:0pt;mso-wrap-distance-top:0pt;mso-wrap-distance-bottom:0pt;margin-top:8.55pt;mso-position-vertical-relative:text;margin-left:1.4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86500" cy="204216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0" cy="204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bookmarkStart w:id="1" w:name="__DdeLink__870_1027568629"/>
                      <w:r>
                        <w:rPr/>
                        <w:t xml:space="preserve">Figure </w:t>
                      </w:r>
                      <w:r>
                        <w:rPr/>
                        <w:t>2</w:t>
                      </w:r>
                      <w:r>
                        <w:rPr/>
                        <w:t>|</w:t>
                      </w:r>
                      <w:r>
                        <w:rPr/>
                        <w:t xml:space="preserve">Box plot of </w:t>
                      </w:r>
                      <w:r>
                        <w:rPr>
                          <w:rFonts w:cs="Lohit Devanagari" w:ascii="Liberation Serif" w:hAnsi="Liberation Serif"/>
                        </w:rPr>
                        <w:t xml:space="preserve">Δ Δ </w:t>
                      </w:r>
                      <w:r>
                        <w:rPr>
                          <w:rFonts w:cs="Lohit Devanagari" w:ascii="Liberation Serif" w:hAnsi="Liberation Serif"/>
                        </w:rPr>
                        <w:t xml:space="preserve">G of mutations at each location of the </w:t>
                      </w:r>
                      <w:r>
                        <w:rPr/>
                        <w:t xml:space="preserve">RBD complexed with </w:t>
                      </w:r>
                      <w:r>
                        <w:rPr/>
                        <w:t>a</w:t>
                      </w:r>
                      <w:r>
                        <w:rPr/>
                        <w:t xml:space="preserve"> REGN10987 antibody.</w:t>
                      </w:r>
                      <w:bookmarkEnd w:id="1"/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30480</wp:posOffset>
                </wp:positionH>
                <wp:positionV relativeFrom="paragraph">
                  <wp:posOffset>40005</wp:posOffset>
                </wp:positionV>
                <wp:extent cx="3178810" cy="3070860"/>
                <wp:effectExtent l="0" t="0" r="0" b="0"/>
                <wp:wrapTopAndBottom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3070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78810" cy="238379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8810" cy="2383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t xml:space="preserve">3|Frequency plot of </w:t>
                            </w:r>
                            <w:r>
                              <w:rPr>
                                <w:rFonts w:cs="Lohit Devanagari" w:ascii="Liberation Serif" w:hAnsi="Liberation Serif"/>
                              </w:rPr>
                              <w:t xml:space="preserve">Δ Δ </w:t>
                            </w:r>
                            <w:r>
                              <w:rPr>
                                <w:rFonts w:cs="Lohit Devanagari" w:ascii="Liberation Serif" w:hAnsi="Liberation Serif"/>
                              </w:rPr>
                              <w:t xml:space="preserve">G of mutations  of the </w:t>
                            </w:r>
                            <w:r>
                              <w:rPr/>
                              <w:t xml:space="preserve">RBD complexed with </w:t>
                            </w:r>
                            <w:r>
                              <w:rPr/>
                              <w:t>a</w:t>
                            </w:r>
                            <w:r>
                              <w:rPr/>
                              <w:t xml:space="preserve"> REGN10987 antibody.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0.3pt;height:241.8pt;mso-wrap-distance-left:0pt;mso-wrap-distance-right:0pt;mso-wrap-distance-top:0pt;mso-wrap-distance-bottom:0pt;margin-top:3.15pt;mso-position-vertical-relative:text;margin-left:2.4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78810" cy="238379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8810" cy="2383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t xml:space="preserve">3|Frequency plot of </w:t>
                      </w:r>
                      <w:r>
                        <w:rPr>
                          <w:rFonts w:cs="Lohit Devanagari" w:ascii="Liberation Serif" w:hAnsi="Liberation Serif"/>
                        </w:rPr>
                        <w:t xml:space="preserve">Δ Δ </w:t>
                      </w:r>
                      <w:r>
                        <w:rPr>
                          <w:rFonts w:cs="Lohit Devanagari" w:ascii="Liberation Serif" w:hAnsi="Liberation Serif"/>
                        </w:rPr>
                        <w:t xml:space="preserve">G of mutations  of the </w:t>
                      </w:r>
                      <w:r>
                        <w:rPr/>
                        <w:t xml:space="preserve">RBD complexed with </w:t>
                      </w:r>
                      <w:r>
                        <w:rPr/>
                        <w:t>a</w:t>
                      </w:r>
                      <w:r>
                        <w:rPr/>
                        <w:t xml:space="preserve"> REGN10987 antibody.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Challenges</w:t>
      </w:r>
    </w:p>
    <w:p>
      <w:pPr>
        <w:pStyle w:val="TextBody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speed that mutation analysis runs at has proved a major limiting factor in my </w:t>
      </w:r>
      <w:r>
        <w:rPr>
          <w:i w:val="false"/>
          <w:iCs w:val="false"/>
        </w:rPr>
        <w:t>research. I alleviated part of this problem by repairing protein files prior to running the analysis, streamlining the process because a file repair job is run automatically with each mutation for an unrepaired file. I also set the FoldX task to the highest priority on my machine.</w:t>
      </w:r>
    </w:p>
    <w:p>
      <w:pPr>
        <w:pStyle w:val="TextBody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Another challenge has been fitting my calculated </w:t>
      </w:r>
      <w:r>
        <w:rPr>
          <w:rFonts w:ascii="Liberation Serif" w:hAnsi="Liberation Serif"/>
          <w:i w:val="false"/>
          <w:iCs w:val="false"/>
        </w:rPr>
        <w:t>ΔΔ</w:t>
      </w:r>
      <w:r>
        <w:rPr>
          <w:rFonts w:ascii="Liberation Serif" w:hAnsi="Liberation Serif"/>
          <w:i w:val="false"/>
          <w:iCs w:val="false"/>
        </w:rPr>
        <w:t>G values with data from in vivo experiments. Investigating this problem led me to realize that I had been using the wrong values (</w:t>
      </w:r>
      <w:r>
        <w:rPr>
          <w:rFonts w:ascii="Liberation Serif" w:hAnsi="Liberation Serif"/>
          <w:i w:val="false"/>
          <w:iCs w:val="false"/>
        </w:rPr>
        <w:t>Δ</w:t>
      </w:r>
      <w:r>
        <w:rPr>
          <w:rFonts w:ascii="Liberation Serif" w:hAnsi="Liberation Serif"/>
          <w:i w:val="false"/>
          <w:iCs w:val="false"/>
        </w:rPr>
        <w:t xml:space="preserve">G) and the wrong FoldX function for my purposes. </w:t>
      </w:r>
      <w:r>
        <w:rPr>
          <w:rFonts w:ascii="Liberation Serif" w:hAnsi="Liberation Serif"/>
          <w:i w:val="false"/>
          <w:iCs w:val="false"/>
        </w:rPr>
        <w:t>Additionally, I had been pairing data from the wrong protein file—the spike protein’s residue binding domain (RBD) complexed with a B38 antibody—instead of the file with a comparable complex, that of the RBD and the human ACE2 receptor.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Future Work</w:t>
      </w:r>
    </w:p>
    <w:p>
      <w:pPr>
        <w:pStyle w:val="TextBody"/>
        <w:spacing w:before="0" w:after="140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Before the end of the SURF program, I would like to finish running FoldX analysis to garner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ΔΔ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G mutation data for all relevant complexes. I would like to pair this data with relevant in vivo data to demonstrate the technique’s effectiveness, and pick out and explore mutations of interests. I also hope to identify binding regions between antibodies and the spike protein’s RBD through analysis of distance between the molecules, and pair this distance analysis with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ΔΔ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G analysis.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LibreOffice/6.0.7.3$Linux_X86_64 LibreOffice_project/00m0$Build-3</Application>
  <Pages>3</Pages>
  <Words>681</Words>
  <Characters>3490</Characters>
  <CharactersWithSpaces>4152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2020-07-25T22:08:13Z</dcterms:created>
  <dc:creator/>
  <dc:description/>
  <dc:language>en-US</dc:language>
  <cp:lastModifiedBy/>
  <dcterms:modified xsi:type="dcterms:W3CDTF">2020-07-26T21:55:53Z</dcterms:modified>
  <cp:revision>10</cp:revision>
  <dc:subject/>
  <dc:title/>
</cp:coreProperties>
</file>