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Основы информационной безопасности</w:t>
      </w:r>
    </w:p>
    <w:p>
      <w:pPr>
        <w:pStyle w:val="Author"/>
      </w:pPr>
      <w:r>
        <w:t xml:space="preserve">Кабанова В.Д., НПМбд02-21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пользователя guest2, добавление его в группу пользователей guest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3.1</w:t>
      </w:r>
    </w:p>
    <w:p>
      <w:pPr>
        <w:pStyle w:val="Compact"/>
        <w:numPr>
          <w:ilvl w:val="0"/>
          <w:numId w:val="1001"/>
        </w:numPr>
      </w:pPr>
      <w:r>
        <w:t xml:space="preserve">Заполнение таблицы 3.2 на основе таблицы 3.1.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pStyle w:val="Compact"/>
        <w:numPr>
          <w:ilvl w:val="0"/>
          <w:numId w:val="1002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2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2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2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2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2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2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2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2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2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2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2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2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2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2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2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2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2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2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2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2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2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2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2"/>
        </w:numPr>
      </w:pPr>
      <w:r>
        <w:t xml:space="preserve">staff - разрешает запись в папку /usr/local</w:t>
      </w:r>
    </w:p>
    <w:bookmarkEnd w:id="22"/>
    <w:bookmarkStart w:id="7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Пользователь guest был создан в лабораторной работе №2, поэтому в этой лабораторной работе его не создаем заново</w:t>
      </w:r>
    </w:p>
    <w:p>
      <w:pPr>
        <w:pStyle w:val="Compact"/>
        <w:numPr>
          <w:ilvl w:val="0"/>
          <w:numId w:val="1003"/>
        </w:numPr>
      </w:pPr>
      <w:r>
        <w:t xml:space="preserve">Пароль для пользователя guest тоже был задан в лабораторной работе №2.</w:t>
      </w:r>
    </w:p>
    <w:p>
      <w:pPr>
        <w:pStyle w:val="Compact"/>
        <w:numPr>
          <w:ilvl w:val="0"/>
          <w:numId w:val="1003"/>
        </w:numPr>
      </w:pPr>
      <w:r>
        <w:t xml:space="preserve">С правами администратора создаю пользователя guest с помощью команды</w:t>
      </w:r>
      <w:r>
        <w:t xml:space="preserve"> </w:t>
      </w:r>
      <w:r>
        <w:rPr>
          <w:rStyle w:val="VerbatimChar"/>
        </w:rPr>
        <w:t xml:space="preserve">useradd</w:t>
      </w:r>
      <w:r>
        <w:t xml:space="preserve">, далее с помощью команды</w:t>
      </w:r>
      <w:r>
        <w:t xml:space="preserve"> </w:t>
      </w:r>
      <w:r>
        <w:rPr>
          <w:rStyle w:val="VerbatimChar"/>
        </w:rPr>
        <w:t xml:space="preserve">passwd</w:t>
      </w:r>
      <w:r>
        <w:t xml:space="preserve"> </w:t>
      </w:r>
      <w:r>
        <w:t xml:space="preserve">задаю пароль пользователю (рис. 1).</w:t>
      </w:r>
    </w:p>
    <w:bookmarkStart w:id="26" w:name="fig:001"/>
    <w:p>
      <w:pPr>
        <w:pStyle w:val="CaptionedFigure"/>
      </w:pPr>
      <w:r>
        <w:drawing>
          <wp:inline>
            <wp:extent cx="3733800" cy="935448"/>
            <wp:effectExtent b="0" l="0" r="0" t="0"/>
            <wp:docPr descr="Создание пользователя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</w:t>
      </w:r>
    </w:p>
    <w:bookmarkEnd w:id="26"/>
    <w:p>
      <w:pPr>
        <w:pStyle w:val="Compact"/>
        <w:numPr>
          <w:ilvl w:val="0"/>
          <w:numId w:val="1004"/>
        </w:numPr>
      </w:pPr>
      <w:r>
        <w:t xml:space="preserve">Добавляю пользователя guest2 в группу guest (рис. 2).</w:t>
      </w:r>
    </w:p>
    <w:bookmarkStart w:id="30" w:name="fig:002"/>
    <w:p>
      <w:pPr>
        <w:pStyle w:val="CaptionedFigure"/>
      </w:pPr>
      <w:r>
        <w:drawing>
          <wp:inline>
            <wp:extent cx="3733800" cy="413928"/>
            <wp:effectExtent b="0" l="0" r="0" t="0"/>
            <wp:docPr descr="Добавление пользователя в группу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пользователя в группу</w:t>
      </w:r>
    </w:p>
    <w:bookmarkEnd w:id="30"/>
    <w:p>
      <w:pPr>
        <w:pStyle w:val="Compact"/>
        <w:numPr>
          <w:ilvl w:val="0"/>
          <w:numId w:val="1005"/>
        </w:numPr>
      </w:pPr>
      <w:r>
        <w:t xml:space="preserve">Зашла на двух разных консолях от имени двух разных пользователей с помощью команды</w:t>
      </w:r>
      <w:r>
        <w:t xml:space="preserve"> </w:t>
      </w:r>
      <w:r>
        <w:rPr>
          <w:rStyle w:val="VerbatimChar"/>
        </w:rPr>
        <w:t xml:space="preserve">su &lt;имя пользователя&gt;</w:t>
      </w:r>
      <w:r>
        <w:t xml:space="preserve"> </w:t>
      </w:r>
      <w:r>
        <w:t xml:space="preserve">(рис. 3).</w:t>
      </w:r>
    </w:p>
    <w:bookmarkStart w:id="34" w:name="fig:003"/>
    <w:p>
      <w:pPr>
        <w:pStyle w:val="CaptionedFigure"/>
      </w:pPr>
      <w:r>
        <w:drawing>
          <wp:inline>
            <wp:extent cx="2933700" cy="390525"/>
            <wp:effectExtent b="0" l="0" r="0" t="0"/>
            <wp:docPr descr="Вход в терминал от имени другого пользователя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Вход в терминал от имени другого пользователя</w:t>
      </w:r>
    </w:p>
    <w:bookmarkEnd w:id="34"/>
    <w:p>
      <w:pPr>
        <w:pStyle w:val="Compact"/>
        <w:numPr>
          <w:ilvl w:val="0"/>
          <w:numId w:val="1006"/>
        </w:numPr>
      </w:pPr>
      <w:r>
        <w:t xml:space="preserve">Проверяю путь директории, в которой я нахожусь с помощью</w:t>
      </w:r>
      <w:r>
        <w:t xml:space="preserve"> </w:t>
      </w:r>
      <w:r>
        <w:rPr>
          <w:rStyle w:val="VerbatimChar"/>
        </w:rPr>
        <w:t xml:space="preserve">pwd</w:t>
      </w:r>
      <w:r>
        <w:t xml:space="preserve">.</w:t>
      </w:r>
    </w:p>
    <w:p>
      <w:pPr>
        <w:pStyle w:val="FirstParagraph"/>
      </w:pPr>
      <w:r>
        <w:t xml:space="preserve">Проверка для пользователя guest (рис. 4).</w:t>
      </w:r>
    </w:p>
    <w:bookmarkStart w:id="38" w:name="fig:004"/>
    <w:p>
      <w:pPr>
        <w:pStyle w:val="CaptionedFigure"/>
      </w:pPr>
      <w:r>
        <w:drawing>
          <wp:inline>
            <wp:extent cx="2686050" cy="342900"/>
            <wp:effectExtent b="0" l="0" r="0" t="0"/>
            <wp:docPr descr="Текущая директория для guest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 для guest</w:t>
      </w:r>
    </w:p>
    <w:bookmarkEnd w:id="38"/>
    <w:p>
      <w:pPr>
        <w:pStyle w:val="BodyText"/>
      </w:pPr>
      <w:r>
        <w:t xml:space="preserve">Проверка для пользователя guest2 (рис. 5).</w:t>
      </w:r>
    </w:p>
    <w:bookmarkStart w:id="42" w:name="fig:005"/>
    <w:p>
      <w:pPr>
        <w:pStyle w:val="CaptionedFigure"/>
      </w:pPr>
      <w:r>
        <w:drawing>
          <wp:inline>
            <wp:extent cx="2667000" cy="323850"/>
            <wp:effectExtent b="0" l="0" r="0" t="0"/>
            <wp:docPr descr="Текущая директория для guest2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Текущая директория для guest2</w:t>
      </w:r>
    </w:p>
    <w:bookmarkEnd w:id="42"/>
    <w:p>
      <w:pPr>
        <w:pStyle w:val="BodyText"/>
      </w:pPr>
      <w:r>
        <w:t xml:space="preserve">Стоит отметить, что вход в терминал от имени пользователей был выполнен в домашней директории пользователя evdvorkina, которую команда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вывела. Домашней директорией пользователей она не является. Текущая директория с приглашением командной строки совпадает.</w:t>
      </w:r>
    </w:p>
    <w:p>
      <w:pPr>
        <w:pStyle w:val="Compact"/>
        <w:numPr>
          <w:ilvl w:val="0"/>
          <w:numId w:val="1007"/>
        </w:numPr>
      </w:pPr>
      <w:r>
        <w:t xml:space="preserve">Проверяю имя пользователей с поомощью команды whoami, с помощью команды id могу увидеть группы, к которым принадлежит пользователь и коды этих групп (gid), команда groups просто выведет список групп, в которые входит пользователь.</w:t>
      </w:r>
    </w:p>
    <w:p>
      <w:pPr>
        <w:pStyle w:val="FirstParagraph"/>
      </w:pPr>
      <w:r>
        <w:t xml:space="preserve">id -Gn - выведет названия групп, которым принадлежит пользователь</w:t>
      </w:r>
    </w:p>
    <w:p>
      <w:pPr>
        <w:pStyle w:val="BodyText"/>
      </w:pPr>
      <w:r>
        <w:t xml:space="preserve">id -G - выведет только код групп, которым принадлежит пользователь.</w:t>
      </w:r>
    </w:p>
    <w:p>
      <w:pPr>
        <w:pStyle w:val="BodyText"/>
      </w:pPr>
      <w:r>
        <w:t xml:space="preserve">Проверка для пользователя guest2 (рис. 6).</w:t>
      </w:r>
    </w:p>
    <w:bookmarkStart w:id="46" w:name="fig:006"/>
    <w:p>
      <w:pPr>
        <w:pStyle w:val="CaptionedFigure"/>
      </w:pPr>
      <w:r>
        <w:drawing>
          <wp:inline>
            <wp:extent cx="3733800" cy="953211"/>
            <wp:effectExtent b="0" l="0" r="0" t="0"/>
            <wp:docPr descr="Информация о пользователе guest2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3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guest2</w:t>
      </w:r>
    </w:p>
    <w:bookmarkEnd w:id="46"/>
    <w:p>
      <w:pPr>
        <w:pStyle w:val="BodyText"/>
      </w:pPr>
      <w:r>
        <w:t xml:space="preserve">Проверка для пользователя guest (рис. 7).</w:t>
      </w:r>
    </w:p>
    <w:bookmarkStart w:id="50" w:name="fig:007"/>
    <w:p>
      <w:pPr>
        <w:pStyle w:val="CaptionedFigure"/>
      </w:pPr>
      <w:r>
        <w:drawing>
          <wp:inline>
            <wp:extent cx="3733800" cy="1223220"/>
            <wp:effectExtent b="0" l="0" r="0" t="0"/>
            <wp:docPr descr="Информация о пользователе guest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3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пользователе guest</w:t>
      </w:r>
    </w:p>
    <w:bookmarkEnd w:id="50"/>
    <w:p>
      <w:pPr>
        <w:pStyle w:val="BodyText"/>
      </w:pPr>
      <w:r>
        <w:t xml:space="preserve">Пользователь guest2 входит в две группы пользователей: в группу guest, потому что я сама его туда добавила, и в группу guest2, которая создалась автоматически при создании пользователя.</w:t>
      </w:r>
    </w:p>
    <w:p>
      <w:pPr>
        <w:pStyle w:val="Compact"/>
        <w:numPr>
          <w:ilvl w:val="0"/>
          <w:numId w:val="1008"/>
        </w:numPr>
      </w:pPr>
      <w:r>
        <w:t xml:space="preserve">Вывела интересующее меня содержимое файла etc/group, видно, что в группе guest два пользователя, а в группе guest2 один (рис. 8).</w:t>
      </w:r>
    </w:p>
    <w:bookmarkStart w:id="54" w:name="fig:008"/>
    <w:p>
      <w:pPr>
        <w:pStyle w:val="CaptionedFigure"/>
      </w:pPr>
      <w:r>
        <w:drawing>
          <wp:inline>
            <wp:extent cx="3733800" cy="384238"/>
            <wp:effectExtent b="0" l="0" r="0" t="0"/>
            <wp:docPr descr="Содержимое файла etc/group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файла etc/group</w:t>
      </w:r>
    </w:p>
    <w:bookmarkEnd w:id="54"/>
    <w:p>
      <w:pPr>
        <w:pStyle w:val="Compact"/>
        <w:numPr>
          <w:ilvl w:val="0"/>
          <w:numId w:val="1009"/>
        </w:numPr>
      </w:pPr>
      <w:r>
        <w:t xml:space="preserve">От имени пользователя guest2 регистрирую его в группе guest с помощью команды</w:t>
      </w:r>
      <w:r>
        <w:t xml:space="preserve"> </w:t>
      </w:r>
      <w:r>
        <w:rPr>
          <w:rStyle w:val="VerbatimChar"/>
        </w:rPr>
        <w:t xml:space="preserve">newgrp</w:t>
      </w:r>
      <w:r>
        <w:t xml:space="preserve"> </w:t>
      </w:r>
      <w:r>
        <w:t xml:space="preserve">(рис. 9).</w:t>
      </w:r>
    </w:p>
    <w:bookmarkStart w:id="58" w:name="fig:009"/>
    <w:p>
      <w:pPr>
        <w:pStyle w:val="CaptionedFigure"/>
      </w:pPr>
      <w:r>
        <w:drawing>
          <wp:inline>
            <wp:extent cx="3371850" cy="390525"/>
            <wp:effectExtent b="0" l="0" r="0" t="0"/>
            <wp:docPr descr="Регистрация пользователя в группе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Регистрация пользователя в группе</w:t>
      </w:r>
    </w:p>
    <w:bookmarkEnd w:id="58"/>
    <w:p>
      <w:pPr>
        <w:pStyle w:val="Compact"/>
        <w:numPr>
          <w:ilvl w:val="0"/>
          <w:numId w:val="1010"/>
        </w:numPr>
      </w:pPr>
      <w:r>
        <w:t xml:space="preserve">Добавляю права на чтение, запись и исполнение группе пользвателей guest (guest, guest2) на директорию home/guest в которой находятся все файлы для последующей работы (рис. 10).</w:t>
      </w:r>
    </w:p>
    <w:bookmarkStart w:id="62" w:name="fig:010"/>
    <w:p>
      <w:pPr>
        <w:pStyle w:val="CaptionedFigure"/>
      </w:pPr>
      <w:r>
        <w:drawing>
          <wp:inline>
            <wp:extent cx="3695700" cy="809625"/>
            <wp:effectExtent b="0" l="0" r="0" t="0"/>
            <wp:docPr descr="Изменение прав директории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bookmarkEnd w:id="62"/>
    <w:p>
      <w:pPr>
        <w:pStyle w:val="Compact"/>
        <w:numPr>
          <w:ilvl w:val="0"/>
          <w:numId w:val="1011"/>
        </w:numPr>
      </w:pPr>
      <w:r>
        <w:t xml:space="preserve">От имени пользователя guest снимаю все атрибуты с директории dir1, созданной в предыдущей лабораторной работе. Проверяю, что права действительно сняты (рис. 11).</w:t>
      </w:r>
    </w:p>
    <w:bookmarkStart w:id="66" w:name="fig:011"/>
    <w:p>
      <w:pPr>
        <w:pStyle w:val="CaptionedFigure"/>
      </w:pPr>
      <w:r>
        <w:drawing>
          <wp:inline>
            <wp:extent cx="3733800" cy="1655467"/>
            <wp:effectExtent b="0" l="0" r="0" t="0"/>
            <wp:docPr descr="Изменение прав директории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прав директории</w:t>
      </w:r>
    </w:p>
    <w:bookmarkEnd w:id="66"/>
    <w:bookmarkStart w:id="71" w:name="заполнение-таблицы-3.1"/>
    <w:p>
      <w:pPr>
        <w:pStyle w:val="Heading2"/>
      </w:pPr>
      <w:r>
        <w:t xml:space="preserve">Заполнение таблицы 3.1</w:t>
      </w:r>
    </w:p>
    <w:p>
      <w:pPr>
        <w:pStyle w:val="FirstParagraph"/>
      </w:pPr>
      <w:r>
        <w:t xml:space="preserve">Далее проверяю как пользователь guest2 будет взаимодействовать с файлами в этой директории (рис. 12).</w:t>
      </w:r>
    </w:p>
    <w:bookmarkStart w:id="70" w:name="fig:012"/>
    <w:p>
      <w:pPr>
        <w:pStyle w:val="CaptionedFigure"/>
      </w:pPr>
      <w:r>
        <w:drawing>
          <wp:inline>
            <wp:extent cx="3733800" cy="2024072"/>
            <wp:effectExtent b="0" l="0" r="0" t="0"/>
            <wp:docPr descr="Пример заполнения таблицы 3.1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4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Пример заполнения таблицы 3.1</w:t>
      </w:r>
    </w:p>
    <w:bookmarkEnd w:id="70"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--------— 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------x-—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-----w--—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-----wx-—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----r---—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----r-x-—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----rw--—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d-------—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d----w--—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d---r---—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d---r-x-—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d---rw--—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d---rwx-—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----rwx-—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71"/>
    <w:bookmarkStart w:id="72" w:name="заполнение-таблицы-3.2"/>
    <w:p>
      <w:pPr>
        <w:pStyle w:val="Heading2"/>
      </w:pPr>
      <w:r>
        <w:t xml:space="preserve">Заполнение таблицы 3.2</w:t>
      </w:r>
    </w:p>
    <w:p>
      <w:pPr>
        <w:pStyle w:val="FirstParagraph"/>
      </w:pPr>
      <w:r>
        <w:t xml:space="preserve">На основе таблицы 3.1 заполняю таблицу 3.2.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----r---— (040)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d-----x-— (010)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-----w--— (020)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d----wx-— (030)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--------—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bookmarkEnd w:id="72"/>
    <w:bookmarkEnd w:id="73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74"/>
    <w:bookmarkStart w:id="75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https://losst.pro/gruppy-polzovatelej-linux#Что_такое_группы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Кабанова В.Д., НПМбд02-21</dc:creator>
  <dc:language>ru-RU</dc:language>
  <cp:keywords/>
  <dcterms:created xsi:type="dcterms:W3CDTF">2024-09-16T11:22:18Z</dcterms:created>
  <dcterms:modified xsi:type="dcterms:W3CDTF">2024-09-16T11:22:18Z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