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второму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четыре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[@guide, @parasram]</w:t>
      </w:r>
    </w:p>
    <w:bookmarkEnd w:id="22"/>
    <w:bookmarkStart w:id="9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Затем клонирую нужный репозиторий GitHub (рис. 1-2).</w:t>
      </w:r>
    </w:p>
    <w:p>
      <w:pPr>
        <w:pStyle w:val="BodyText"/>
      </w:pPr>
      <w:bookmarkStart w:id="26" w:name="fig:001"/>
      <w:r>
        <w:drawing>
          <wp:inline>
            <wp:extent cx="2590800" cy="476250"/>
            <wp:effectExtent b="0" l="0" r="0" t="0"/>
            <wp:docPr descr="Клонирова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3733800" cy="1071847"/>
            <wp:effectExtent b="0" l="0" r="0" t="0"/>
            <wp:docPr descr="Клониров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Проверяю, что файлы склонировались правильно, далее повышаю права доступа к этой папке до 777 (рис. 3)</w:t>
      </w:r>
    </w:p>
    <w:bookmarkStart w:id="34" w:name="fig:003"/>
    <w:p>
      <w:pPr>
        <w:pStyle w:val="CaptionedFigure"/>
      </w:pPr>
      <w:r>
        <w:drawing>
          <wp:inline>
            <wp:extent cx="3705225" cy="1123950"/>
            <wp:effectExtent b="0" l="0" r="0" t="0"/>
            <wp:docPr descr="Изменение прав доступ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4"/>
    <w:p>
      <w:pPr>
        <w:pStyle w:val="BodyText"/>
      </w:pPr>
      <w:r>
        <w:t xml:space="preserve">Чтобы настроить DVWA, нужно перейти в каталог</w:t>
      </w:r>
      <w:r>
        <w:t xml:space="preserve"> </w:t>
      </w:r>
      <w:r>
        <w:rPr>
          <w:rStyle w:val="VerbatimChar"/>
        </w:rPr>
        <w:t xml:space="preserve">/dvwa/config</w:t>
      </w:r>
      <w:r>
        <w:t xml:space="preserve">, затем проверяю содержимое каталога (рис. 4)</w:t>
      </w:r>
    </w:p>
    <w:bookmarkStart w:id="38" w:name="fig:004"/>
    <w:p>
      <w:pPr>
        <w:pStyle w:val="CaptionedFigure"/>
      </w:pPr>
      <w:r>
        <w:drawing>
          <wp:inline>
            <wp:extent cx="3695700" cy="1028700"/>
            <wp:effectExtent b="0" l="0" r="0" t="0"/>
            <wp:docPr descr="Перемещение по директориям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bookmarkEnd w:id="38"/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Копируем файл, а не изменяем его, чтобы у нас был запасной вариант, если что-то пойдет не так (рис. 5)</w:t>
      </w:r>
    </w:p>
    <w:bookmarkStart w:id="42" w:name="fig:005"/>
    <w:p>
      <w:pPr>
        <w:pStyle w:val="CaptionedFigure"/>
      </w:pPr>
      <w:r>
        <w:drawing>
          <wp:inline>
            <wp:extent cx="3733800" cy="1045106"/>
            <wp:effectExtent b="0" l="0" r="0" t="0"/>
            <wp:docPr descr="Создание копии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bookmarkEnd w:id="42"/>
    <w:p>
      <w:pPr>
        <w:pStyle w:val="BodyText"/>
      </w:pPr>
      <w:r>
        <w:t xml:space="preserve">Далее открываю файл в текстовом редакторе (рис. 6)</w:t>
      </w:r>
    </w:p>
    <w:bookmarkStart w:id="46" w:name="fig:006"/>
    <w:p>
      <w:pPr>
        <w:pStyle w:val="CaptionedFigure"/>
      </w:pPr>
      <w:r>
        <w:drawing>
          <wp:inline>
            <wp:extent cx="3543300" cy="504825"/>
            <wp:effectExtent b="0" l="0" r="0" t="0"/>
            <wp:docPr descr="Открытие файла в редактор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bookmarkEnd w:id="46"/>
    <w:p>
      <w:pPr>
        <w:pStyle w:val="BodyText"/>
      </w:pPr>
      <w:r>
        <w:t xml:space="preserve">Изменяю данные об имени пользователя и пароле (рис. 7)</w:t>
      </w:r>
    </w:p>
    <w:bookmarkStart w:id="50" w:name="fig:007"/>
    <w:p>
      <w:pPr>
        <w:pStyle w:val="CaptionedFigure"/>
      </w:pPr>
      <w:r>
        <w:drawing>
          <wp:inline>
            <wp:extent cx="3733800" cy="3005826"/>
            <wp:effectExtent b="0" l="0" r="0" t="0"/>
            <wp:docPr descr="Редактирование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</w:t>
      </w:r>
    </w:p>
    <w:bookmarkEnd w:id="50"/>
    <w:p>
      <w:pPr>
        <w:pStyle w:val="BodyText"/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 (рис. 8)</w:t>
      </w:r>
    </w:p>
    <w:bookmarkStart w:id="54" w:name="fig:008"/>
    <w:p>
      <w:pPr>
        <w:pStyle w:val="CaptionedFigure"/>
      </w:pPr>
      <w:r>
        <w:drawing>
          <wp:inline>
            <wp:extent cx="3733800" cy="1246514"/>
            <wp:effectExtent b="0" l="0" r="0" t="0"/>
            <wp:docPr descr="Запуск mysql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mysql</w:t>
      </w:r>
    </w:p>
    <w:bookmarkEnd w:id="54"/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“MariaDB”</w:t>
      </w:r>
      <w:r>
        <w:t xml:space="preserve">, далее создаем в ней нового пользователя, используя учетные данные из файла config.inc.php (рис. 9)</w:t>
      </w:r>
    </w:p>
    <w:bookmarkStart w:id="58" w:name="fig:009"/>
    <w:p>
      <w:pPr>
        <w:pStyle w:val="CaptionedFigure"/>
      </w:pPr>
      <w:r>
        <w:drawing>
          <wp:inline>
            <wp:extent cx="3733800" cy="2188779"/>
            <wp:effectExtent b="0" l="0" r="0" t="0"/>
            <wp:docPr descr="Авторизация в базе данных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базе данных</w:t>
      </w:r>
    </w:p>
    <w:bookmarkEnd w:id="58"/>
    <w:p>
      <w:pPr>
        <w:pStyle w:val="BodyText"/>
      </w:pPr>
      <w:r>
        <w:t xml:space="preserve">Теперь нужно пользователю предоставить привилегии для работы с этой базой данных (рис. 10)</w:t>
      </w:r>
    </w:p>
    <w:bookmarkStart w:id="62" w:name="fig:010"/>
    <w:p>
      <w:pPr>
        <w:pStyle w:val="CaptionedFigure"/>
      </w:pPr>
      <w:r>
        <w:drawing>
          <wp:inline>
            <wp:extent cx="3733800" cy="711755"/>
            <wp:effectExtent b="0" l="0" r="0" t="0"/>
            <wp:docPr descr="Изменение пра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bookmarkEnd w:id="62"/>
    <w:p>
      <w:pPr>
        <w:pStyle w:val="BodyText"/>
      </w:pPr>
      <w:r>
        <w:t xml:space="preserve">Необходимо настроить сервер apache2, перехожу в соответствующую директорию (рис. 11)</w:t>
      </w:r>
    </w:p>
    <w:bookmarkStart w:id="66" w:name="fig:011"/>
    <w:p>
      <w:pPr>
        <w:pStyle w:val="CaptionedFigure"/>
      </w:pPr>
      <w:r>
        <w:drawing>
          <wp:inline>
            <wp:extent cx="3695700" cy="514350"/>
            <wp:effectExtent b="0" l="0" r="0" t="0"/>
            <wp:docPr descr="Перемещение между директориям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bookmarkEnd w:id="66"/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нужно будет изменить один параметр, поэтому открываю файл в текстовом редакторе (рис. 12)</w:t>
      </w:r>
    </w:p>
    <w:bookmarkStart w:id="70" w:name="fig:012"/>
    <w:p>
      <w:pPr>
        <w:pStyle w:val="CaptionedFigure"/>
      </w:pPr>
      <w:r>
        <w:drawing>
          <wp:inline>
            <wp:extent cx="3152775" cy="457200"/>
            <wp:effectExtent b="0" l="0" r="0" t="0"/>
            <wp:docPr descr="Открытие файла в текстовом редактор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bookmarkEnd w:id="70"/>
    <w:p>
      <w:pPr>
        <w:pStyle w:val="BodyText"/>
      </w:pPr>
      <w:r>
        <w:t xml:space="preserve">В файле параметры allow_url_fopen и allow_url_include должны быть поставлены как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(рис. 13)</w:t>
      </w:r>
    </w:p>
    <w:bookmarkStart w:id="74" w:name="fig:013"/>
    <w:p>
      <w:pPr>
        <w:pStyle w:val="CaptionedFigure"/>
      </w:pPr>
      <w:r>
        <w:drawing>
          <wp:inline>
            <wp:extent cx="3733800" cy="3003661"/>
            <wp:effectExtent b="0" l="0" r="0" t="0"/>
            <wp:docPr descr="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74"/>
    <w:p>
      <w:pPr>
        <w:pStyle w:val="BodyText"/>
      </w:pPr>
      <w:r>
        <w:t xml:space="preserve">Запускаем службу веб-сервера apache и проверяем, запущена ли служба (рис. 14)</w:t>
      </w:r>
    </w:p>
    <w:bookmarkStart w:id="78" w:name="fig:014"/>
    <w:p>
      <w:pPr>
        <w:pStyle w:val="CaptionedFigure"/>
      </w:pPr>
      <w:r>
        <w:drawing>
          <wp:inline>
            <wp:extent cx="3733800" cy="2437580"/>
            <wp:effectExtent b="0" l="0" r="0" t="0"/>
            <wp:docPr descr="Запуск apche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apche</w:t>
      </w:r>
    </w:p>
    <w:bookmarkEnd w:id="78"/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 (рис. 15)</w:t>
      </w:r>
    </w:p>
    <w:bookmarkStart w:id="82" w:name="fig:015"/>
    <w:p>
      <w:pPr>
        <w:pStyle w:val="CaptionedFigure"/>
      </w:pPr>
      <w:r>
        <w:drawing>
          <wp:inline>
            <wp:extent cx="3733800" cy="3053138"/>
            <wp:effectExtent b="0" l="0" r="0" t="0"/>
            <wp:docPr descr="Запуск веб-приложения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bookmarkEnd w:id="82"/>
    <w:p>
      <w:pPr>
        <w:pStyle w:val="BodyText"/>
      </w:pPr>
      <w:r>
        <w:t xml:space="preserve">Прокручиваем страницу вниз и нажимем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 </w:t>
      </w:r>
      <w:r>
        <w:t xml:space="preserve">(рис. 16)</w:t>
      </w:r>
    </w:p>
    <w:bookmarkStart w:id="86" w:name="fig:016"/>
    <w:p>
      <w:pPr>
        <w:pStyle w:val="CaptionedFigure"/>
      </w:pPr>
      <w:r>
        <w:drawing>
          <wp:inline>
            <wp:extent cx="3733800" cy="602393"/>
            <wp:effectExtent b="0" l="0" r="0" t="0"/>
            <wp:docPr descr="“Создание базы данных”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“Создание базы данных”</w:t>
      </w:r>
    </w:p>
    <w:bookmarkEnd w:id="86"/>
    <w:p>
      <w:pPr>
        <w:pStyle w:val="BodyText"/>
      </w:pPr>
      <w:r>
        <w:t xml:space="preserve">Авторизуюсь с помощью предложенных по умолчанию данных (рис. 17)</w:t>
      </w:r>
    </w:p>
    <w:bookmarkStart w:id="90" w:name="fig:017"/>
    <w:p>
      <w:pPr>
        <w:pStyle w:val="CaptionedFigure"/>
      </w:pPr>
      <w:r>
        <w:drawing>
          <wp:inline>
            <wp:extent cx="3733800" cy="2629020"/>
            <wp:effectExtent b="0" l="0" r="0" t="0"/>
            <wp:docPr descr="Авторизация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bookmarkEnd w:id="90"/>
    <w:p>
      <w:pPr>
        <w:pStyle w:val="BodyText"/>
      </w:pPr>
      <w:r>
        <w:t xml:space="preserve">Оказываюсь на домшней странице веб-приложения, на этом установка окончена (рис. 18)</w:t>
      </w:r>
    </w:p>
    <w:bookmarkStart w:id="94" w:name="fig:018"/>
    <w:p>
      <w:pPr>
        <w:pStyle w:val="CaptionedFigure"/>
      </w:pPr>
      <w:r>
        <w:drawing>
          <wp:inline>
            <wp:extent cx="3733800" cy="1731249"/>
            <wp:effectExtent b="0" l="0" r="0" t="0"/>
            <wp:docPr descr="Домашняя страница DVWA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страница DVWA</w:t>
      </w:r>
    </w:p>
    <w:bookmarkEnd w:id="94"/>
    <w:bookmarkEnd w:id="95"/>
    <w:bookmarkStart w:id="9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уязвимого веб-приложения DVWA.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Кабанова Варвара, НПМбд02-21</dc:creator>
  <dc:language>ru-RU</dc:language>
  <cp:keywords/>
  <dcterms:created xsi:type="dcterms:W3CDTF">2024-09-16T13:46:50Z</dcterms:created>
  <dcterms:modified xsi:type="dcterms:W3CDTF">2024-09-16T13:46:50Z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