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Валерия Лиджиева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t xml:space="preserve">2.2 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4" w:name="X96408e5875a87c3988b6e422c610951d55e7583"/>
    <w:p>
      <w:pPr>
        <w:pStyle w:val="Heading2"/>
      </w:pPr>
      <w:r>
        <w:t xml:space="preserve">3.1 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t xml:space="preserve">3.2 Контрольный пример</w:t>
      </w:r>
    </w:p>
    <w:bookmarkStart w:id="28" w:name="fig:001"/>
    <w:p>
      <w:pPr>
        <w:pStyle w:val="CaptionedFigure"/>
      </w:pPr>
      <w:r>
        <w:drawing>
          <wp:inline>
            <wp:extent cx="3733800" cy="1532631"/>
            <wp:effectExtent b="0" l="0" r="0" t="0"/>
            <wp:docPr descr="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взлома ключа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1071832"/>
            <wp:effectExtent b="0" l="0" r="0" t="0"/>
            <wp:docPr descr="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шифрования и дешивровки</w:t>
      </w:r>
    </w:p>
    <w:bookmarkEnd w:id="32"/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Валерия Лиджиева</dc:creator>
  <dc:language>ru-RU</dc:language>
  <cp:keywords/>
  <dcterms:created xsi:type="dcterms:W3CDTF">2026-04-07T11:23:53Z</dcterms:created>
  <dcterms:modified xsi:type="dcterms:W3CDTF">2026-04-07T11:23:53Z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