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Bold large run</w:t>
      </w:r>
      <w:r>
        <w:rPr>
          <w:i/>
        </w:rPr>
        <w:t> and italic run</w:t>
      </w:r>
      <w:r>
        <w:rPr>
          <w:u w:val="single"/>
        </w:rPr>
        <w:t> and underlined run</w:t>
      </w:r>
    </w:p>
    <w:p>
      <w:r>
        <w:rPr>
          <w:vertAlign w:val="subscript"/>
        </w:rPr>
        <w:t>Subscript</w:t>
      </w:r>
      <w:r>
        <w:rPr>
          <w:vertAlign w:val="superscript"/>
        </w:rPr>
        <w:t>Superscript</w:t>
      </w:r>
      <w:r>
        <w:rPr>
          <w:smallCaps/>
        </w:rPr>
        <w:t>SMALLCAPS</w:t>
      </w:r>
      <w:r>
        <w:rPr>
          <w:color w:val="CC0000"/>
        </w:rPr>
        <w:t>Colored</w:t>
      </w:r>
    </w:p>
    <w:p>
      <w:r>
        <w:t>Plain paragraph after nested formatting.</w:t>
      </w:r>
    </w:p>
  </w:body>
</w:document>
</file>