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20" w:line="269" w:lineRule="auto"/>
      </w:pPr>
      <w:r>
        <w:rPr>
          <w:rFonts w:ascii="Aptos" w:hAnsi="Aptos"/>
          <w:b w:val="0"/>
          <w:i w:val="0"/>
          <w:color w:val="17212B"/>
          <w:sz w:val="20"/>
        </w:rPr>
      </w:r>
    </w:p>
    <w:tbl>
      <w:tblPr>
        <w:tblW w:type="auto" w:w="0"/>
        <w:jc w:val="center"/>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9994"/>
      </w:tblGrid>
      <w:tr>
        <w:trPr>
          <w:cantSplit w:val="true"/>
        </w:trPr>
        <w:tc>
          <w:tcPr>
            <w:tcW w:type="dxa" w:w="9994"/>
            <w:shd w:fill="FFFFFF"/>
            <w:tcMar>
              <w:top w:w="220" w:type="dxa"/>
              <w:start w:w="260" w:type="dxa"/>
              <w:bottom w:w="220" w:type="dxa"/>
              <w:end w:w="260" w:type="dxa"/>
            </w:tcMar>
          </w:tcPr>
          <w:p>
            <w:pPr>
              <w:spacing w:after="300"/>
              <w:jc w:val="center"/>
            </w:pPr>
            <w:r>
              <w:drawing>
                <wp:inline xmlns:a="http://schemas.openxmlformats.org/drawingml/2006/main" xmlns:pic="http://schemas.openxmlformats.org/drawingml/2006/picture">
                  <wp:extent cx="5120640" cy="1897737"/>
                  <wp:docPr id="1" name="Picture 1" descr="Data and Cybersecurity Limited logo" title="DCS logo"/>
                  <wp:cNvGraphicFramePr>
                    <a:graphicFrameLocks noChangeAspect="1"/>
                  </wp:cNvGraphicFramePr>
                  <a:graphic>
                    <a:graphicData uri="http://schemas.openxmlformats.org/drawingml/2006/picture">
                      <pic:pic>
                        <pic:nvPicPr>
                          <pic:cNvPr id="0" name="4DCS Primary (Royal Blue)@600x-8.png"/>
                          <pic:cNvPicPr/>
                        </pic:nvPicPr>
                        <pic:blipFill>
                          <a:blip r:embed="rId10"/>
                          <a:stretch>
                            <a:fillRect/>
                          </a:stretch>
                        </pic:blipFill>
                        <pic:spPr>
                          <a:xfrm>
                            <a:off x="0" y="0"/>
                            <a:ext cx="5120640" cy="1897737"/>
                          </a:xfrm>
                          <a:prstGeom prst="rect"/>
                        </pic:spPr>
                      </pic:pic>
                    </a:graphicData>
                  </a:graphic>
                </wp:inline>
              </w:drawing>
            </w:r>
          </w:p>
          <w:p>
            <w:pPr>
              <w:spacing w:after="100"/>
              <w:jc w:val="center"/>
            </w:pPr>
            <w:r>
              <w:rPr>
                <w:rFonts w:ascii="Aptos" w:hAnsi="Aptos"/>
                <w:b/>
                <w:i w:val="0"/>
                <w:color w:val="F21F2E"/>
                <w:sz w:val="21"/>
              </w:rPr>
              <w:t>SERVICE PROPOSAL</w:t>
            </w:r>
          </w:p>
          <w:p>
            <w:pPr>
              <w:spacing w:after="140"/>
              <w:jc w:val="center"/>
            </w:pPr>
            <w:r>
              <w:rPr>
                <w:rFonts w:ascii="Aptos Display" w:hAnsi="Aptos Display"/>
                <w:b/>
                <w:i w:val="0"/>
                <w:color w:val="082B72"/>
                <w:sz w:val="46"/>
              </w:rPr>
              <w:t>Digital Impersonation, Image Misuse &amp; Online Harm Response</w:t>
            </w:r>
          </w:p>
          <w:p>
            <w:pPr>
              <w:spacing w:after="240"/>
              <w:jc w:val="center"/>
            </w:pPr>
            <w:r>
              <w:rPr>
                <w:rFonts w:ascii="Aptos" w:hAnsi="Aptos"/>
                <w:b w:val="0"/>
                <w:i w:val="0"/>
                <w:color w:val="596875"/>
                <w:sz w:val="23"/>
              </w:rPr>
              <w:t>A detailed 30-day service and investment proposal to protect the Minister, the Ministry and members of the public from fraudulent profiles and employment scams.</w:t>
            </w:r>
          </w:p>
          <w:p>
            <w:pPr>
              <w:spacing w:after="40"/>
              <w:jc w:val="center"/>
            </w:pPr>
            <w:r>
              <w:rPr>
                <w:rFonts w:ascii="Aptos" w:hAnsi="Aptos"/>
                <w:b/>
                <w:i w:val="0"/>
                <w:color w:val="158A98"/>
                <w:sz w:val="17"/>
              </w:rPr>
              <w:t>Prepared for</w:t>
            </w:r>
          </w:p>
          <w:p>
            <w:pPr>
              <w:spacing w:after="200"/>
              <w:jc w:val="center"/>
            </w:pPr>
            <w:r>
              <w:rPr>
                <w:rFonts w:ascii="Aptos" w:hAnsi="Aptos"/>
                <w:b/>
                <w:i w:val="0"/>
                <w:color w:val="082B72"/>
                <w:sz w:val="22"/>
              </w:rPr>
              <w:t>The Honourable Pearnel Charles Jr., MP, JP</w:t>
              <w:br/>
              <w:t>Minister of Labour and Social Security</w:t>
              <w:br/>
              <w:t>and the Ministry of Labour and Social Security</w:t>
            </w:r>
          </w:p>
          <w:p>
            <w:pPr>
              <w:spacing w:after="40"/>
              <w:jc w:val="center"/>
            </w:pPr>
            <w:r>
              <w:rPr>
                <w:rFonts w:ascii="Aptos" w:hAnsi="Aptos"/>
                <w:b/>
                <w:i w:val="0"/>
                <w:color w:val="596875"/>
                <w:sz w:val="17"/>
              </w:rPr>
              <w:t>26 August 2026  |  CONFIDENTIAL</w:t>
            </w:r>
          </w:p>
        </w:tc>
      </w:tr>
    </w:tbl>
    <w:p>
      <w:pPr>
        <w:sectPr>
          <w:headerReference w:type="default" r:id="rId9"/>
          <w:pgSz w:w="12240" w:h="15840"/>
          <w:pgMar w:top="1037" w:right="1123" w:bottom="979" w:left="1123" w:header="720" w:footer="720" w:gutter="0"/>
          <w:cols w:space="720"/>
          <w:docGrid w:linePitch="360"/>
        </w:sectPr>
      </w:pPr>
    </w:p>
    <w:p>
      <w:pPr>
        <w:pStyle w:val="Heading1"/>
        <w:keepNext/>
      </w:pPr>
      <w:r>
        <w:t>1. Executive summary</w:t>
      </w:r>
    </w:p>
    <w:p>
      <w:pPr>
        <w:keepNext w:val="0"/>
        <w:spacing w:before="0" w:after="140" w:line="269" w:lineRule="auto"/>
      </w:pPr>
      <w:r>
        <w:rPr>
          <w:rFonts w:ascii="Aptos" w:hAnsi="Aptos"/>
          <w:b w:val="0"/>
          <w:i w:val="0"/>
          <w:color w:val="17212B"/>
          <w:sz w:val="20"/>
        </w:rPr>
        <w:t>Data and Cybersecurity Limited (DCS) proposes an urgent, coordinated response to the unauthorized use of the Minister’s image, voice and official footage in social-media content promoting purported overseas employment and Canadian work-permit opportunities. The observed activity is capable of misleading members of the public into believing that unofficial profiles, telephone numbers or employment agents are connected to the Minister or the Ministry.</w:t>
      </w:r>
      <w:r>
        <w:rPr>
          <w:rFonts w:ascii="Aptos" w:hAnsi="Aptos"/>
          <w:color w:val="17212B"/>
          <w:sz w:val="20"/>
        </w:rPr>
        <w:t xml:space="preserve"> The engagement is structured as a results-based professional service with defined response times, included incident capacity, documented acceptance criteria and management reporting throughout the 30-day period.</w:t>
      </w:r>
    </w:p>
    <w:p>
      <w:pPr>
        <w:keepNext w:val="0"/>
        <w:spacing w:before="0" w:after="140" w:line="269" w:lineRule="auto"/>
      </w:pPr>
      <w:r>
        <w:rPr>
          <w:rFonts w:ascii="Aptos" w:hAnsi="Aptos"/>
          <w:b w:val="0"/>
          <w:i w:val="0"/>
          <w:color w:val="17212B"/>
          <w:sz w:val="20"/>
        </w:rPr>
        <w:t>The evidence supplied to DCS indicates a recurring campaign rather than a single isolated post. Multiple TikTok identities have used related Ministry-facing content, the same contact number has appeared across posts, and at least one member of the public sought direct confirmation after being approached. One observed post had accumulated approximately 2,819 likes, 364 comments and 1,996 shares, demonstrating significant exposure.</w:t>
      </w:r>
    </w:p>
    <w:tbl>
      <w:tblPr>
        <w:tblW w:type="auto" w:w="0"/>
        <w:jc w:val="center"/>
        <w:tblLook w:firstColumn="1" w:firstRow="1" w:lastColumn="0" w:lastRow="0" w:noHBand="0" w:noVBand="1" w:val="04A0"/>
        <w:tblBorders>
          <w:top w:val="single" w:sz="0" w:color="082B72"/>
          <w:left w:val="single" w:sz="0" w:color="082B72"/>
          <w:bottom w:val="single" w:sz="0" w:color="082B72"/>
          <w:right w:val="single" w:sz="0" w:color="082B72"/>
          <w:insideH w:val="single" w:sz="0" w:color="082B72"/>
          <w:insideV w:val="single" w:sz="0" w:color="082B72"/>
        </w:tblBorders>
      </w:tblPr>
      <w:tblGrid>
        <w:gridCol w:w="9994"/>
      </w:tblGrid>
      <w:tr>
        <w:trPr>
          <w:cantSplit w:val="true"/>
        </w:trPr>
        <w:tc>
          <w:tcPr>
            <w:tcW w:type="dxa" w:w="9994"/>
            <w:shd w:fill="082B72"/>
            <w:tcMar>
              <w:top w:w="150" w:type="dxa"/>
              <w:start w:w="180" w:type="dxa"/>
              <w:bottom w:w="150" w:type="dxa"/>
              <w:end w:w="180" w:type="dxa"/>
            </w:tcMar>
          </w:tcPr>
          <w:p>
            <w:pPr>
              <w:spacing w:after="40"/>
              <w:jc w:val="center"/>
            </w:pPr>
            <w:r>
              <w:rPr>
                <w:rFonts w:ascii="Aptos" w:hAnsi="Aptos"/>
                <w:b/>
                <w:i w:val="0"/>
                <w:color w:val="FFFFFF"/>
                <w:sz w:val="18"/>
              </w:rPr>
              <w:t>RECOMMENDED INTERVENTION</w:t>
            </w:r>
          </w:p>
          <w:p>
            <w:pPr>
              <w:spacing w:after="40"/>
              <w:jc w:val="center"/>
            </w:pPr>
            <w:r>
              <w:rPr>
                <w:rFonts w:ascii="Aptos Display" w:hAnsi="Aptos Display"/>
                <w:b/>
                <w:i w:val="0"/>
                <w:color w:val="FFFFFF"/>
                <w:sz w:val="36"/>
              </w:rPr>
              <w:t>30-day containment and response programme</w:t>
            </w:r>
          </w:p>
          <w:p>
            <w:pPr>
              <w:spacing w:after="0"/>
              <w:jc w:val="center"/>
            </w:pPr>
            <w:r>
              <w:rPr>
                <w:rFonts w:ascii="Aptos" w:hAnsi="Aptos"/>
                <w:b w:val="0"/>
                <w:i w:val="0"/>
                <w:color w:val="D7EFF8"/>
                <w:sz w:val="17"/>
              </w:rPr>
              <w:t>Discovery, evidence preservation, takedown action, public protection and transition to ongoing monitoring</w:t>
            </w:r>
          </w:p>
          <w:p>
            <w:pPr>
              <w:spacing w:before="100"/>
              <w:jc w:val="center"/>
            </w:pPr>
            <w:r>
              <w:rPr>
                <w:rFonts w:ascii="Aptos" w:hAnsi="Aptos"/>
                <w:b/>
                <w:color w:val="F38B00"/>
                <w:sz w:val="20"/>
              </w:rPr>
              <w:t>TOTAL CLIENT INVESTMENT: J$2,600,000.00 INCLUDING GCT</w:t>
            </w:r>
          </w:p>
          <w:p>
            <w:pPr>
              <w:spacing w:before="80"/>
              <w:jc w:val="center"/>
            </w:pPr>
            <w:r>
              <w:rPr>
                <w:rFonts w:ascii="Aptos" w:hAnsi="Aptos"/>
                <w:b/>
                <w:color w:val="064FF6"/>
                <w:sz w:val="17"/>
              </w:rPr>
              <w:t>DEFINED CAPACITY: 50 CANDIDATES | 30 EVIDENCE FILES | 25 SUBMISSIONS | 15 ESCALATIONS</w:t>
            </w:r>
          </w:p>
        </w:tc>
      </w:tr>
    </w:tbl>
    <w:p>
      <w:pPr>
        <w:pStyle w:val="Heading1"/>
        <w:keepNext/>
      </w:pPr>
      <w:r>
        <w:t>2. The problem requiring intervention</w:t>
      </w:r>
    </w:p>
    <w:p>
      <w:pPr>
        <w:pStyle w:val="ListBullet"/>
        <w:keepLines/>
        <w:spacing w:after="60" w:line="259" w:lineRule="auto"/>
      </w:pPr>
      <w:r>
        <w:rPr>
          <w:rFonts w:ascii="Aptos" w:hAnsi="Aptos"/>
          <w:b w:val="0"/>
          <w:i w:val="0"/>
          <w:color w:val="17212B"/>
          <w:sz w:val="20"/>
        </w:rPr>
        <w:t>Fraudulent profiles are using official-looking footage and the likeness of public officials or programme representatives.</w:t>
      </w:r>
    </w:p>
    <w:p>
      <w:pPr>
        <w:pStyle w:val="ListBullet"/>
        <w:keepLines/>
        <w:spacing w:after="60" w:line="259" w:lineRule="auto"/>
      </w:pPr>
      <w:r>
        <w:rPr>
          <w:rFonts w:ascii="Aptos" w:hAnsi="Aptos"/>
          <w:b w:val="0"/>
          <w:i w:val="0"/>
          <w:color w:val="17212B"/>
          <w:sz w:val="20"/>
        </w:rPr>
        <w:t>Posts direct viewers to unofficial telephone numbers and purported employment or work-permit opportunities.</w:t>
      </w:r>
    </w:p>
    <w:p>
      <w:pPr>
        <w:pStyle w:val="ListBullet"/>
        <w:keepLines/>
        <w:spacing w:after="60" w:line="259" w:lineRule="auto"/>
      </w:pPr>
      <w:r>
        <w:rPr>
          <w:rFonts w:ascii="Aptos" w:hAnsi="Aptos"/>
          <w:b w:val="0"/>
          <w:i w:val="0"/>
          <w:color w:val="17212B"/>
          <w:sz w:val="20"/>
        </w:rPr>
        <w:t>The content exploits public trust in the Minister, the Ministry and Jamaica’s overseas-employment programmes.</w:t>
      </w:r>
    </w:p>
    <w:p>
      <w:pPr>
        <w:pStyle w:val="ListBullet"/>
        <w:keepLines/>
        <w:spacing w:after="60" w:line="259" w:lineRule="auto"/>
      </w:pPr>
      <w:r>
        <w:rPr>
          <w:rFonts w:ascii="Aptos" w:hAnsi="Aptos"/>
          <w:b w:val="0"/>
          <w:i w:val="0"/>
          <w:color w:val="17212B"/>
          <w:sz w:val="20"/>
        </w:rPr>
        <w:t>High sharing and engagement can rapidly expose vulnerable jobseekers to financial loss, identity theft and misinformation.</w:t>
      </w:r>
    </w:p>
    <w:p>
      <w:pPr>
        <w:pStyle w:val="ListBullet"/>
        <w:keepLines/>
        <w:spacing w:after="60" w:line="259" w:lineRule="auto"/>
      </w:pPr>
      <w:r>
        <w:rPr>
          <w:rFonts w:ascii="Aptos" w:hAnsi="Aptos"/>
          <w:b w:val="0"/>
          <w:i w:val="0"/>
          <w:color w:val="17212B"/>
          <w:sz w:val="20"/>
        </w:rPr>
        <w:t>Removing one account will not resolve the risk because perpetrators can recreate accounts, rename profiles and reuse archived footage.</w:t>
      </w:r>
    </w:p>
    <w:p>
      <w:pPr>
        <w:pStyle w:val="Heading1"/>
        <w:keepNext/>
      </w:pPr>
      <w:r>
        <w:t>3. Objectives of the engagement</w:t>
      </w:r>
    </w:p>
    <w:p>
      <w:pPr>
        <w:pStyle w:val="ListNumber"/>
        <w:keepLines/>
        <w:spacing w:after="80" w:line="259" w:lineRule="auto"/>
      </w:pPr>
      <w:r>
        <w:rPr>
          <w:rFonts w:ascii="Aptos" w:hAnsi="Aptos"/>
          <w:b w:val="0"/>
          <w:i w:val="0"/>
          <w:color w:val="17212B"/>
          <w:sz w:val="20"/>
        </w:rPr>
        <w:t>Identify the known and reasonably discoverable online footprint of the impersonation campaign.</w:t>
      </w:r>
    </w:p>
    <w:p>
      <w:pPr>
        <w:pStyle w:val="ListNumber"/>
        <w:keepLines/>
        <w:spacing w:after="80" w:line="259" w:lineRule="auto"/>
      </w:pPr>
      <w:r>
        <w:rPr>
          <w:rFonts w:ascii="Aptos" w:hAnsi="Aptos"/>
          <w:b w:val="0"/>
          <w:i w:val="0"/>
          <w:color w:val="17212B"/>
          <w:sz w:val="20"/>
        </w:rPr>
        <w:t>Preserve reliable evidence before profiles, posts or messages are changed or deleted.</w:t>
      </w:r>
    </w:p>
    <w:p>
      <w:pPr>
        <w:pStyle w:val="ListNumber"/>
        <w:keepLines/>
        <w:spacing w:after="80" w:line="259" w:lineRule="auto"/>
      </w:pPr>
      <w:r>
        <w:rPr>
          <w:rFonts w:ascii="Aptos" w:hAnsi="Aptos"/>
          <w:b w:val="0"/>
          <w:i w:val="0"/>
          <w:color w:val="17212B"/>
          <w:sz w:val="20"/>
        </w:rPr>
        <w:t>Support swift platform reporting, takedown and escalation using the strongest applicable grounds.</w:t>
      </w:r>
    </w:p>
    <w:p>
      <w:pPr>
        <w:pStyle w:val="ListNumber"/>
        <w:keepLines/>
        <w:spacing w:after="80" w:line="259" w:lineRule="auto"/>
      </w:pPr>
      <w:r>
        <w:rPr>
          <w:rFonts w:ascii="Aptos" w:hAnsi="Aptos"/>
          <w:b w:val="0"/>
          <w:i w:val="0"/>
          <w:color w:val="17212B"/>
          <w:sz w:val="20"/>
        </w:rPr>
        <w:t>Reduce the likelihood that members of the public mistake fraudulent profiles for official channels.</w:t>
      </w:r>
    </w:p>
    <w:p>
      <w:pPr>
        <w:pStyle w:val="ListNumber"/>
        <w:keepLines/>
        <w:spacing w:after="80" w:line="259" w:lineRule="auto"/>
      </w:pPr>
      <w:r>
        <w:rPr>
          <w:rFonts w:ascii="Aptos" w:hAnsi="Aptos"/>
          <w:b w:val="0"/>
          <w:i w:val="0"/>
          <w:color w:val="17212B"/>
          <w:sz w:val="20"/>
        </w:rPr>
        <w:t>Create a repeatable Ministry response process for future impersonation and employment-scam incidents.</w:t>
      </w:r>
    </w:p>
    <w:p>
      <w:pPr>
        <w:pStyle w:val="Heading1"/>
        <w:keepNext/>
      </w:pPr>
      <w:r>
        <w:t>4. Proposed scope of services</w:t>
      </w:r>
    </w:p>
    <w:p>
      <w:pPr>
        <w:keepLines/>
        <w:spacing w:after="160"/>
      </w:pPr>
      <w:r>
        <w:t>The engagement comprises six connected services. Each service is delivered on a rolling basis so that new discoveries can immediately inform evidence preservation, platform action, public warnings and referrals without waiting until the end of the 30-day period.</w:t>
      </w:r>
    </w:p>
    <w:tbl>
      <w:tblPr>
        <w:tblW w:type="dxa" w:w="9700"/>
        <w:jc w:val="left"/>
        <w:tblLayout w:type="fixed"/>
        <w:tblLook w:firstColumn="1" w:firstRow="1" w:lastColumn="0" w:lastRow="0" w:noHBand="0" w:noVBand="1" w:val="04A0"/>
        <w:tblBorders>
          <w:top w:val="single" w:sz="5" w:space="0" w:color="D4DDEA"/>
          <w:left w:val="single" w:sz="5" w:space="0" w:color="D4DDEA"/>
          <w:bottom w:val="single" w:sz="5" w:space="0" w:color="D4DDEA"/>
          <w:right w:val="single" w:sz="5" w:space="0" w:color="D4DDEA"/>
          <w:insideH w:val="single" w:sz="5" w:space="0" w:color="D4DDEA"/>
          <w:insideV w:val="single" w:sz="5" w:space="0" w:color="D4DDEA"/>
        </w:tblBorders>
        <w:tblInd w:w="120" w:type="dxa"/>
      </w:tblPr>
      <w:tblGrid>
        <w:gridCol w:w="700"/>
        <w:gridCol w:w="6450"/>
        <w:gridCol w:w="2550"/>
      </w:tblGrid>
      <w:tr>
        <w:trPr>
          <w:tblHeader w:val="true"/>
          <w:cantSplit w:val="true"/>
        </w:trPr>
        <w:tc>
          <w:tcPr>
            <w:tcW w:type="dxa" w:w="700"/>
            <w:shd w:fill="082B72"/>
            <w:tcMar>
              <w:top w:w="110" w:type="dxa"/>
              <w:start w:w="130" w:type="dxa"/>
              <w:bottom w:w="110" w:type="dxa"/>
              <w:end w:w="130" w:type="dxa"/>
            </w:tcMar>
            <w:vAlign w:val="center"/>
          </w:tcPr>
          <w:p>
            <w:pPr>
              <w:spacing w:after="0" w:line="240" w:lineRule="auto"/>
            </w:pPr>
            <w:r>
              <w:rPr>
                <w:rFonts w:ascii="Aptos" w:hAnsi="Aptos"/>
                <w:b/>
                <w:color w:val="FFFFFF"/>
                <w:sz w:val="18"/>
              </w:rPr>
              <w:t>No.</w:t>
            </w:r>
          </w:p>
        </w:tc>
        <w:tc>
          <w:tcPr>
            <w:tcW w:type="dxa" w:w="6450"/>
            <w:shd w:fill="082B72"/>
            <w:tcMar>
              <w:top w:w="110" w:type="dxa"/>
              <w:start w:w="130" w:type="dxa"/>
              <w:bottom w:w="110" w:type="dxa"/>
              <w:end w:w="130" w:type="dxa"/>
            </w:tcMar>
            <w:vAlign w:val="center"/>
          </w:tcPr>
          <w:p>
            <w:pPr>
              <w:spacing w:after="0" w:line="240" w:lineRule="auto"/>
            </w:pPr>
            <w:r>
              <w:rPr>
                <w:rFonts w:ascii="Aptos" w:hAnsi="Aptos"/>
                <w:b/>
                <w:color w:val="FFFFFF"/>
                <w:sz w:val="18"/>
              </w:rPr>
              <w:t>Service</w:t>
            </w:r>
          </w:p>
        </w:tc>
        <w:tc>
          <w:tcPr>
            <w:tcW w:type="dxa" w:w="2550"/>
            <w:shd w:fill="082B72"/>
            <w:tcMar>
              <w:top w:w="110" w:type="dxa"/>
              <w:start w:w="130" w:type="dxa"/>
              <w:bottom w:w="110" w:type="dxa"/>
              <w:end w:w="130" w:type="dxa"/>
            </w:tcMar>
            <w:vAlign w:val="center"/>
          </w:tcPr>
          <w:p>
            <w:pPr>
              <w:spacing w:after="0" w:line="240" w:lineRule="auto"/>
            </w:pPr>
            <w:r>
              <w:rPr>
                <w:rFonts w:ascii="Aptos" w:hAnsi="Aptos"/>
                <w:b/>
                <w:color w:val="FFFFFF"/>
                <w:sz w:val="18"/>
              </w:rPr>
              <w:t>Price (JMD, excl. GCT)</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1</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Incident mobilisation and authority mapping</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J$225,000.00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2</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Cross-platform impersonation and image-misuse discovery scan</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J$610,000.00</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3</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Evidence preservation, incident register and campaign mapping</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J$380,000.00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4</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Platform reporting, takedown support and escalation</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J$505,000.00</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5</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Public-protection communications and victim-reporting system</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J$235,000.00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6</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Referral support, final reporting and transition monitoring</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J$305,869.57</w:t>
            </w:r>
          </w:p>
        </w:tc>
      </w:tr>
    </w:tbl>
    <w:p>
      <w:pPr>
        <w:spacing w:before="100" w:after="160"/>
      </w:pPr>
      <w:r>
        <w:rPr>
          <w:rFonts w:ascii="Aptos" w:hAnsi="Aptos"/>
          <w:b/>
          <w:color w:val="064FF6"/>
          <w:sz w:val="18"/>
        </w:rPr>
        <w:t>All six services form one integrated engagement. Detailed service descriptions and client value are set out below.</w:t>
      </w:r>
    </w:p>
    <w:p>
      <w:pPr>
        <w:pStyle w:val="Heading2"/>
        <w:keepNext/>
        <w:pageBreakBefore w:val="0"/>
        <w:spacing w:before="240" w:after="40"/>
      </w:pPr>
      <w:r>
        <w:t>4.1 Incident mobilisation and authority mapping</w:t>
      </w:r>
    </w:p>
    <w:p>
      <w:pPr>
        <w:keepNext/>
        <w:spacing w:after="120"/>
      </w:pPr>
      <w:r>
        <w:rPr>
          <w:rFonts w:ascii="Aptos" w:hAnsi="Aptos"/>
          <w:b/>
          <w:color w:val="F38B00"/>
          <w:sz w:val="19"/>
        </w:rPr>
        <w:t>SERVICE INVESTMENT: J$225,000.00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convert scattered reports, screenshots and informal notifications into a controlled response programme with clear authority, ownership, priorities and decision channels.</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Conduct an urgent mobilisation meeting with the designated Ministry focal point and relevant communications, legal, security and programme representatives.</w:t>
      </w:r>
    </w:p>
    <w:p>
      <w:pPr>
        <w:pStyle w:val="ListBullet"/>
        <w:keepLines/>
        <w:spacing w:after="60" w:line="252" w:lineRule="auto"/>
      </w:pPr>
      <w:r>
        <w:rPr>
          <w:rFonts w:ascii="Aptos" w:hAnsi="Aptos"/>
          <w:color w:val="17212B"/>
          <w:sz w:val="20"/>
        </w:rPr>
        <w:t>Review all known accounts, posts, telephone numbers, messages and victim reports; classify immediate risks according to reach, credibility, financial solicitation and potential public harm.</w:t>
      </w:r>
    </w:p>
    <w:p>
      <w:pPr>
        <w:pStyle w:val="ListBullet"/>
        <w:keepLines/>
        <w:spacing w:after="60" w:line="252" w:lineRule="auto"/>
      </w:pPr>
      <w:r>
        <w:rPr>
          <w:rFonts w:ascii="Aptos" w:hAnsi="Aptos"/>
          <w:color w:val="17212B"/>
          <w:sz w:val="20"/>
        </w:rPr>
        <w:t>Confirm the Minister's and Ministry's official accounts, contact channels, overseas-employment programmes, content owners and persons authorized to approve platform reports and public statements.</w:t>
      </w:r>
    </w:p>
    <w:p>
      <w:pPr>
        <w:pStyle w:val="ListBullet"/>
        <w:keepLines/>
        <w:spacing w:after="60" w:line="252" w:lineRule="auto"/>
      </w:pPr>
      <w:r>
        <w:rPr>
          <w:rFonts w:ascii="Aptos" w:hAnsi="Aptos"/>
          <w:color w:val="17212B"/>
          <w:sz w:val="20"/>
        </w:rPr>
        <w:t>Create the initial search-indicator set, including names and spelling variations, photographs, official videos, programme names, usernames, telephone numbers and phrases used by the suspected scam campaign.</w:t>
      </w:r>
    </w:p>
    <w:p>
      <w:pPr>
        <w:pStyle w:val="ListBullet"/>
        <w:keepLines/>
        <w:spacing w:after="60" w:line="252" w:lineRule="auto"/>
      </w:pPr>
      <w:r>
        <w:rPr>
          <w:rFonts w:ascii="Aptos" w:hAnsi="Aptos"/>
          <w:color w:val="17212B"/>
          <w:sz w:val="20"/>
        </w:rPr>
        <w:t>Establish the incident-intake, approval, reporting and escalation process that will govern the full 30-day engagement.</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Platforms often reject or delay complaints when authority, ownership or the official identity being impersonated is unclear. This service gives the Ministry one accountable process, accelerates later action and reduces the risk of inconsistent reports or communications.</w:t>
      </w:r>
    </w:p>
    <w:p>
      <w:pPr>
        <w:keepNext w:val="0"/>
        <w:spacing w:after="120" w:line="259" w:lineRule="auto"/>
      </w:pPr>
      <w:r>
        <w:rPr>
          <w:rFonts w:ascii="Aptos" w:hAnsi="Aptos"/>
          <w:b/>
          <w:color w:val="082B72"/>
          <w:sz w:val="20"/>
        </w:rPr>
        <w:t xml:space="preserve">Tangible outputs. </w:t>
      </w:r>
      <w:r>
        <w:rPr>
          <w:rFonts w:ascii="Aptos" w:hAnsi="Aptos"/>
          <w:color w:val="17212B"/>
          <w:sz w:val="20"/>
        </w:rPr>
        <w:t>Mobilisation note; official identity and digital-asset baseline; authority and rights-ownership matrix; priority incident list; escalation contacts; and approved incident-intake procedure.</w:t>
      </w:r>
    </w:p>
    <w:p>
      <w:pPr>
        <w:pStyle w:val="Heading2"/>
        <w:keepNext/>
        <w:pageBreakBefore w:val="0"/>
        <w:spacing w:before="240" w:after="40"/>
      </w:pPr>
      <w:r>
        <w:t>4.2 Cross-platform impersonation and image-misuse discovery scan</w:t>
      </w:r>
    </w:p>
    <w:p>
      <w:pPr>
        <w:keepNext/>
        <w:spacing w:after="120"/>
      </w:pPr>
      <w:r>
        <w:rPr>
          <w:rFonts w:ascii="Aptos" w:hAnsi="Aptos"/>
          <w:b/>
          <w:color w:val="F38B00"/>
          <w:sz w:val="19"/>
        </w:rPr>
        <w:t>SERVICE INVESTMENT: J$610,000.00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determine whether the known TikTok activity is part of a wider campaign and identify where the Minister's name, image, voice, videos, Ministry branding or programme credibility is being misused online.</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Search TikTok, Facebook, Instagram, YouTube, X, LinkedIn and the indexed web, together with publicly accessible pages and links connected to messaging or employment offers.</w:t>
      </w:r>
    </w:p>
    <w:p>
      <w:pPr>
        <w:pStyle w:val="ListBullet"/>
        <w:keepLines/>
        <w:spacing w:after="60" w:line="252" w:lineRule="auto"/>
      </w:pPr>
      <w:r>
        <w:rPr>
          <w:rFonts w:ascii="Aptos" w:hAnsi="Aptos"/>
          <w:color w:val="17212B"/>
          <w:sz w:val="20"/>
        </w:rPr>
        <w:t>Run name, username, phrase and telephone-number searches using the known indicators and the new indicators discovered during the engagement.</w:t>
      </w:r>
    </w:p>
    <w:p>
      <w:pPr>
        <w:pStyle w:val="ListBullet"/>
        <w:keepLines/>
        <w:spacing w:after="60" w:line="252" w:lineRule="auto"/>
      </w:pPr>
      <w:r>
        <w:rPr>
          <w:rFonts w:ascii="Aptos" w:hAnsi="Aptos"/>
          <w:color w:val="17212B"/>
          <w:sz w:val="20"/>
        </w:rPr>
        <w:t>Use reverse-image analysis and searches of distinctive video frames to locate copied, cropped, edited or reposted official photographs and footage.</w:t>
      </w:r>
    </w:p>
    <w:p>
      <w:pPr>
        <w:pStyle w:val="ListBullet"/>
        <w:keepLines/>
        <w:spacing w:after="60" w:line="252" w:lineRule="auto"/>
      </w:pPr>
      <w:r>
        <w:rPr>
          <w:rFonts w:ascii="Aptos" w:hAnsi="Aptos"/>
          <w:color w:val="17212B"/>
          <w:sz w:val="20"/>
        </w:rPr>
        <w:t>Search for programme-related scam themes, including overseas employment, farm work, Canadian work permits, recruitment fees and unofficial agents that may falsely imply Ministry endorsement.</w:t>
      </w:r>
    </w:p>
    <w:p>
      <w:pPr>
        <w:pStyle w:val="ListBullet"/>
        <w:keepLines/>
        <w:spacing w:after="60" w:line="252" w:lineRule="auto"/>
      </w:pPr>
      <w:r>
        <w:rPr>
          <w:rFonts w:ascii="Aptos" w:hAnsi="Aptos"/>
          <w:color w:val="17212B"/>
          <w:sz w:val="20"/>
        </w:rPr>
        <w:t>Manually validate results to separate genuine Ministry content, news reporting, commentary and criticism from deceptive impersonation, unauthorized commercial use and suspected fraud.</w:t>
      </w:r>
    </w:p>
    <w:p>
      <w:pPr>
        <w:pStyle w:val="ListBullet"/>
        <w:keepLines/>
        <w:spacing w:after="60" w:line="252" w:lineRule="auto"/>
      </w:pPr>
      <w:r>
        <w:rPr>
          <w:rFonts w:ascii="Aptos" w:hAnsi="Aptos"/>
          <w:color w:val="17212B"/>
          <w:sz w:val="20"/>
        </w:rPr>
        <w:t>Risk-rate each validated result by audience reach, deception method, engagement, victim exposure, payment solicitation and likelihood of account replacement.</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The client receives a view of the campaign's discoverable footprint rather than a response limited to the accounts already supplied. This supports earlier intervention, reveals recurring identifiers and reduces the chance that a removed account simply reappears elsewhere unnoticed.</w:t>
      </w:r>
    </w:p>
    <w:p>
      <w:pPr>
        <w:keepNext w:val="0"/>
        <w:spacing w:after="120" w:line="259" w:lineRule="auto"/>
      </w:pPr>
      <w:r>
        <w:rPr>
          <w:rFonts w:ascii="Aptos" w:hAnsi="Aptos"/>
          <w:b/>
          <w:color w:val="082B72"/>
          <w:sz w:val="20"/>
        </w:rPr>
        <w:t xml:space="preserve">Tangible outputs. </w:t>
      </w:r>
      <w:r>
        <w:rPr>
          <w:rFonts w:ascii="Aptos" w:hAnsi="Aptos"/>
          <w:color w:val="17212B"/>
          <w:sz w:val="20"/>
        </w:rPr>
        <w:t>Cross-platform findings register; validated and suspected account list; image/video reuse findings; expanded indicator list; platform and risk classification; and priority action queue.</w:t>
      </w:r>
    </w:p>
    <w:p>
      <w:pPr>
        <w:pStyle w:val="Heading2"/>
        <w:keepNext/>
        <w:pageBreakBefore w:val="0"/>
        <w:spacing w:before="240" w:after="40"/>
      </w:pPr>
      <w:r>
        <w:t>4.3 Evidence preservation, incident register and campaign mapping</w:t>
      </w:r>
    </w:p>
    <w:p>
      <w:pPr>
        <w:keepNext/>
        <w:spacing w:after="120"/>
      </w:pPr>
      <w:r>
        <w:rPr>
          <w:rFonts w:ascii="Aptos" w:hAnsi="Aptos"/>
          <w:b/>
          <w:color w:val="F38B00"/>
          <w:sz w:val="19"/>
        </w:rPr>
        <w:t>SERVICE INVESTMENT: J$380,000.00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preserve reliable records of harmful content before it is edited, renamed or deleted and to show how apparently separate profiles, telephone numbers, posts and scam messages may be connected.</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Capture account names, profile identifiers, URLs, post links, captions, representations made, engagement levels, dates observed, contact numbers, payment instructions and relevant visual material.</w:t>
      </w:r>
    </w:p>
    <w:p>
      <w:pPr>
        <w:pStyle w:val="ListBullet"/>
        <w:keepLines/>
        <w:spacing w:after="60" w:line="252" w:lineRule="auto"/>
      </w:pPr>
      <w:r>
        <w:rPr>
          <w:rFonts w:ascii="Aptos" w:hAnsi="Aptos"/>
          <w:color w:val="17212B"/>
          <w:sz w:val="20"/>
        </w:rPr>
        <w:t>Preserve screenshots, screen recordings and relevant image or video frames with source and collection details sufficient for an organized administrative or referral record.</w:t>
      </w:r>
    </w:p>
    <w:p>
      <w:pPr>
        <w:pStyle w:val="ListBullet"/>
        <w:keepLines/>
        <w:spacing w:after="60" w:line="252" w:lineRule="auto"/>
      </w:pPr>
      <w:r>
        <w:rPr>
          <w:rFonts w:ascii="Aptos" w:hAnsi="Aptos"/>
          <w:color w:val="17212B"/>
          <w:sz w:val="20"/>
        </w:rPr>
        <w:t>Maintain a controlled incident register recording discovery, validation, risk level, evidence location, action taken, platform response, current status and next step.</w:t>
      </w:r>
    </w:p>
    <w:p>
      <w:pPr>
        <w:pStyle w:val="ListBullet"/>
        <w:keepLines/>
        <w:spacing w:after="60" w:line="252" w:lineRule="auto"/>
      </w:pPr>
      <w:r>
        <w:rPr>
          <w:rFonts w:ascii="Aptos" w:hAnsi="Aptos"/>
          <w:color w:val="17212B"/>
          <w:sz w:val="20"/>
        </w:rPr>
        <w:t>Map recurring indicators such as reused footage, shared telephone numbers, similar names, repeated language, linked pages and replacement accounts to identify campaign patterns.</w:t>
      </w:r>
    </w:p>
    <w:p>
      <w:pPr>
        <w:pStyle w:val="ListBullet"/>
        <w:keepLines/>
        <w:spacing w:after="60" w:line="252" w:lineRule="auto"/>
      </w:pPr>
      <w:r>
        <w:rPr>
          <w:rFonts w:ascii="Aptos" w:hAnsi="Aptos"/>
          <w:color w:val="17212B"/>
          <w:sz w:val="20"/>
        </w:rPr>
        <w:t>Separate confirmed facts from investigative leads so that unverified assumptions are not presented as proof of account ownership or criminal responsibility.</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Online evidence is fragile and can disappear within minutes. A consistent evidential record protects institutional memory, supports credible platform complaints and gives competent authorities a usable starting point if legal or investigative action becomes necessary.</w:t>
      </w:r>
    </w:p>
    <w:p>
      <w:pPr>
        <w:keepNext w:val="0"/>
        <w:spacing w:after="120" w:line="259" w:lineRule="auto"/>
      </w:pPr>
      <w:r>
        <w:rPr>
          <w:rFonts w:ascii="Aptos" w:hAnsi="Aptos"/>
          <w:b/>
          <w:color w:val="082B72"/>
          <w:sz w:val="20"/>
        </w:rPr>
        <w:t xml:space="preserve">Tangible outputs. </w:t>
      </w:r>
      <w:r>
        <w:rPr>
          <w:rFonts w:ascii="Aptos" w:hAnsi="Aptos"/>
          <w:color w:val="17212B"/>
          <w:sz w:val="20"/>
        </w:rPr>
        <w:t>Evidence file for each validated incident; master incident register; recurring-indicator and relationship map; status and action log; and referral-ready evidence index.</w:t>
      </w:r>
    </w:p>
    <w:p>
      <w:pPr>
        <w:pStyle w:val="Heading2"/>
        <w:keepNext/>
        <w:pageBreakBefore w:val="0"/>
        <w:spacing w:before="240" w:after="40"/>
      </w:pPr>
      <w:r>
        <w:t>4.4 Platform reporting, takedown support and escalation</w:t>
      </w:r>
    </w:p>
    <w:p>
      <w:pPr>
        <w:keepNext/>
        <w:spacing w:after="120"/>
      </w:pPr>
      <w:r>
        <w:rPr>
          <w:rFonts w:ascii="Aptos" w:hAnsi="Aptos"/>
          <w:b/>
          <w:color w:val="F38B00"/>
          <w:sz w:val="19"/>
        </w:rPr>
        <w:t>SERVICE INVESTMENT: J$505,000.00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pursue removal, restriction or other platform action against validated harmful content using the strongest grounds supported by the facts and the rights held by the Minister or Ministry.</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Select the appropriate reporting basis for each incident, including impersonation, fraud or scam activity, privacy or likeness misuse, copyright infringement and, where legally available, trademark infringement.</w:t>
      </w:r>
    </w:p>
    <w:p>
      <w:pPr>
        <w:pStyle w:val="ListBullet"/>
        <w:keepLines/>
        <w:spacing w:after="60" w:line="252" w:lineRule="auto"/>
      </w:pPr>
      <w:r>
        <w:rPr>
          <w:rFonts w:ascii="Aptos" w:hAnsi="Aptos"/>
          <w:color w:val="17212B"/>
          <w:sz w:val="20"/>
        </w:rPr>
        <w:t>Prepare and submit evidence-led reports against accounts, individual posts, copied videos and related content, supported by the necessary identity, authorization and ownership material.</w:t>
      </w:r>
    </w:p>
    <w:p>
      <w:pPr>
        <w:pStyle w:val="ListBullet"/>
        <w:keepLines/>
        <w:spacing w:after="60" w:line="252" w:lineRule="auto"/>
      </w:pPr>
      <w:r>
        <w:rPr>
          <w:rFonts w:ascii="Aptos" w:hAnsi="Aptos"/>
          <w:color w:val="17212B"/>
          <w:sz w:val="20"/>
        </w:rPr>
        <w:t>Prioritize high-reach and high-harm incidents and submit action requests on a rolling basis while the wider discovery scan continues.</w:t>
      </w:r>
    </w:p>
    <w:p>
      <w:pPr>
        <w:pStyle w:val="ListBullet"/>
        <w:keepLines/>
        <w:spacing w:after="60" w:line="252" w:lineRule="auto"/>
      </w:pPr>
      <w:r>
        <w:rPr>
          <w:rFonts w:ascii="Aptos" w:hAnsi="Aptos"/>
          <w:color w:val="17212B"/>
          <w:sz w:val="20"/>
        </w:rPr>
        <w:t>Track acknowledgement, review, rejection, restriction and removal outcomes; follow up on unanswered submissions and use recognized appeal or escalation channels where available.</w:t>
      </w:r>
    </w:p>
    <w:p>
      <w:pPr>
        <w:pStyle w:val="ListBullet"/>
        <w:keepLines/>
        <w:spacing w:after="60" w:line="252" w:lineRule="auto"/>
      </w:pPr>
      <w:r>
        <w:rPr>
          <w:rFonts w:ascii="Aptos" w:hAnsi="Aptos"/>
          <w:color w:val="17212B"/>
          <w:sz w:val="20"/>
        </w:rPr>
        <w:t>Document unsuccessful actions and the reason given so that the Ministry can decide whether a revised complaint, legal notice, public warning or law-enforcement referral is the better next step.</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A properly evidenced and rights-based submission is more credible than repeated generic reports. This service centralizes enforcement, creates accountability for every complaint and improves the Ministry's ability to respond consistently when platforms require clarification or additional proof.</w:t>
      </w:r>
    </w:p>
    <w:p>
      <w:pPr>
        <w:keepNext w:val="0"/>
        <w:spacing w:after="120" w:line="259" w:lineRule="auto"/>
      </w:pPr>
      <w:r>
        <w:rPr>
          <w:rFonts w:ascii="Aptos" w:hAnsi="Aptos"/>
          <w:b/>
          <w:color w:val="082B72"/>
          <w:sz w:val="20"/>
        </w:rPr>
        <w:t xml:space="preserve">Tangible outputs. </w:t>
      </w:r>
      <w:r>
        <w:rPr>
          <w:rFonts w:ascii="Aptos" w:hAnsi="Aptos"/>
          <w:color w:val="17212B"/>
          <w:sz w:val="20"/>
        </w:rPr>
        <w:t>Completed platform submissions; supporting authorization and evidence packs; takedown and escalation tracker; platform-response log; outcome verification; and unresolved-incident recommendations.</w:t>
      </w:r>
    </w:p>
    <w:p>
      <w:pPr>
        <w:pStyle w:val="Heading2"/>
        <w:keepNext/>
        <w:pageBreakBefore w:val="0"/>
        <w:spacing w:before="240" w:after="40"/>
      </w:pPr>
      <w:r>
        <w:t>4.5 Public-protection communications and victim-reporting system</w:t>
      </w:r>
    </w:p>
    <w:p>
      <w:pPr>
        <w:keepNext/>
        <w:spacing w:after="120"/>
      </w:pPr>
      <w:r>
        <w:rPr>
          <w:rFonts w:ascii="Aptos" w:hAnsi="Aptos"/>
          <w:b/>
          <w:color w:val="F38B00"/>
          <w:sz w:val="19"/>
        </w:rPr>
        <w:t>SERVICE INVESTMENT: J$235,000.00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reduce further victim exposure while platform action is pending and make it easier for members of the public to distinguish official Ministry channels from fraudulent employment agents.</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Draft a clear public advisory explaining the scam pattern, confirming official channels and warning the public not to make payments or send personal information to unofficial agents.</w:t>
      </w:r>
    </w:p>
    <w:p>
      <w:pPr>
        <w:pStyle w:val="ListBullet"/>
        <w:keepLines/>
        <w:spacing w:after="60" w:line="252" w:lineRule="auto"/>
      </w:pPr>
      <w:r>
        <w:rPr>
          <w:rFonts w:ascii="Aptos" w:hAnsi="Aptos"/>
          <w:color w:val="17212B"/>
          <w:sz w:val="20"/>
        </w:rPr>
        <w:t>Prepare a verified-channel notice and practical red-flag guidance covering unsolicited work-permit offers, unofficial telephone numbers, pressure to pay fees and requests to continue conversations privately.</w:t>
      </w:r>
    </w:p>
    <w:p>
      <w:pPr>
        <w:pStyle w:val="ListBullet"/>
        <w:keepLines/>
        <w:spacing w:after="60" w:line="252" w:lineRule="auto"/>
      </w:pPr>
      <w:r>
        <w:rPr>
          <w:rFonts w:ascii="Aptos" w:hAnsi="Aptos"/>
          <w:color w:val="17212B"/>
          <w:sz w:val="20"/>
        </w:rPr>
        <w:t>Develop a frequently asked questions document and response templates for communications staff who receive queries from potential victims, journalists or members of the public.</w:t>
      </w:r>
    </w:p>
    <w:p>
      <w:pPr>
        <w:pStyle w:val="ListBullet"/>
        <w:keepLines/>
        <w:spacing w:after="60" w:line="252" w:lineRule="auto"/>
      </w:pPr>
      <w:r>
        <w:rPr>
          <w:rFonts w:ascii="Aptos" w:hAnsi="Aptos"/>
          <w:color w:val="17212B"/>
          <w:sz w:val="20"/>
        </w:rPr>
        <w:t>Design a victim-reporting workflow specifying the screenshots, links, messages, payment records, contact numbers and consent needed for triage and possible referral.</w:t>
      </w:r>
    </w:p>
    <w:p>
      <w:pPr>
        <w:pStyle w:val="ListBullet"/>
        <w:keepLines/>
        <w:spacing w:after="60" w:line="252" w:lineRule="auto"/>
      </w:pPr>
      <w:r>
        <w:rPr>
          <w:rFonts w:ascii="Aptos" w:hAnsi="Aptos"/>
          <w:color w:val="17212B"/>
          <w:sz w:val="20"/>
        </w:rPr>
        <w:t>Coordinate the recommended timing of warnings with the containment work so public messaging protects citizens without unnecessarily compromising active reporting or referral actions.</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Takedowns can take time and new accounts can appear quickly. Clear official communication interrupts the scam's social-engineering advantage, protects vulnerable jobseekers and demonstrates that the Minister and Ministry are responding actively and responsibly.</w:t>
      </w:r>
    </w:p>
    <w:p>
      <w:pPr>
        <w:keepNext w:val="0"/>
        <w:spacing w:after="120" w:line="259" w:lineRule="auto"/>
      </w:pPr>
      <w:r>
        <w:rPr>
          <w:rFonts w:ascii="Aptos" w:hAnsi="Aptos"/>
          <w:b/>
          <w:color w:val="082B72"/>
          <w:sz w:val="20"/>
        </w:rPr>
        <w:t xml:space="preserve">Tangible outputs. </w:t>
      </w:r>
      <w:r>
        <w:rPr>
          <w:rFonts w:ascii="Aptos" w:hAnsi="Aptos"/>
          <w:color w:val="17212B"/>
          <w:sz w:val="20"/>
        </w:rPr>
        <w:t>Public advisory; verified-channel notice; scam red-flag guide; frequently asked questions; victim-reporting protocol; and approved response templates for public enquiries.</w:t>
      </w:r>
    </w:p>
    <w:p>
      <w:pPr>
        <w:pStyle w:val="Heading2"/>
        <w:keepNext/>
        <w:pageBreakBefore w:val="0"/>
        <w:spacing w:before="240" w:after="40"/>
      </w:pPr>
      <w:r>
        <w:t>4.6 Referral support, final reporting and transition monitoring</w:t>
      </w:r>
    </w:p>
    <w:p>
      <w:pPr>
        <w:keepNext/>
        <w:spacing w:after="120"/>
      </w:pPr>
      <w:r>
        <w:rPr>
          <w:rFonts w:ascii="Aptos" w:hAnsi="Aptos"/>
          <w:b/>
          <w:color w:val="F38B00"/>
          <w:sz w:val="19"/>
        </w:rPr>
        <w:t>SERVICE INVESTMENT: J$305,869.57 (exclusive of GCT)</w:t>
      </w:r>
    </w:p>
    <w:p>
      <w:pPr>
        <w:keepNext/>
        <w:spacing w:after="120" w:line="259" w:lineRule="auto"/>
      </w:pPr>
      <w:r>
        <w:rPr>
          <w:rFonts w:ascii="Aptos" w:hAnsi="Aptos"/>
          <w:b/>
          <w:color w:val="082B72"/>
          <w:sz w:val="20"/>
        </w:rPr>
        <w:t xml:space="preserve">Purpose. </w:t>
      </w:r>
      <w:r>
        <w:rPr>
          <w:rFonts w:ascii="Aptos" w:hAnsi="Aptos"/>
          <w:color w:val="17212B"/>
          <w:sz w:val="20"/>
        </w:rPr>
        <w:t>To close the initial intervention with an auditable record of what was found and done, support lawful referrals where justified, and leave the Ministry with a repeatable response model for future incidents.</w:t>
      </w:r>
    </w:p>
    <w:p>
      <w:pPr>
        <w:keepNext/>
        <w:spacing w:after="60"/>
      </w:pPr>
      <w:r>
        <w:rPr>
          <w:rFonts w:ascii="Aptos" w:hAnsi="Aptos"/>
          <w:b/>
          <w:color w:val="082B72"/>
          <w:sz w:val="20"/>
        </w:rPr>
        <w:t>What DCS will do</w:t>
      </w:r>
    </w:p>
    <w:p>
      <w:pPr>
        <w:pStyle w:val="ListBullet"/>
        <w:keepLines/>
        <w:spacing w:after="60" w:line="252" w:lineRule="auto"/>
      </w:pPr>
      <w:r>
        <w:rPr>
          <w:rFonts w:ascii="Aptos" w:hAnsi="Aptos"/>
          <w:color w:val="17212B"/>
          <w:sz w:val="20"/>
        </w:rPr>
        <w:t>Identify incidents that may warrant referral based on evidence of deception, financial solicitation, reported victim loss, identity misuse or recurring campaign activity.</w:t>
      </w:r>
    </w:p>
    <w:p>
      <w:pPr>
        <w:pStyle w:val="ListBullet"/>
        <w:keepLines/>
        <w:spacing w:after="60" w:line="252" w:lineRule="auto"/>
      </w:pPr>
      <w:r>
        <w:rPr>
          <w:rFonts w:ascii="Aptos" w:hAnsi="Aptos"/>
          <w:color w:val="17212B"/>
          <w:sz w:val="20"/>
        </w:rPr>
        <w:t>Organize the relevant incident chronology, evidence index, known indicators, victim material supplied by the client and action history for referral by the Ministry to the appropriate authority or institution.</w:t>
      </w:r>
    </w:p>
    <w:p>
      <w:pPr>
        <w:pStyle w:val="ListBullet"/>
        <w:keepLines/>
        <w:spacing w:after="60" w:line="252" w:lineRule="auto"/>
      </w:pPr>
      <w:r>
        <w:rPr>
          <w:rFonts w:ascii="Aptos" w:hAnsi="Aptos"/>
          <w:color w:val="17212B"/>
          <w:sz w:val="20"/>
        </w:rPr>
        <w:t>Conduct a closing rescan to identify replacement accounts, confirm takedown outcomes and document content that remains active or has migrated.</w:t>
      </w:r>
    </w:p>
    <w:p>
      <w:pPr>
        <w:pStyle w:val="ListBullet"/>
        <w:keepLines/>
        <w:spacing w:after="60" w:line="252" w:lineRule="auto"/>
      </w:pPr>
      <w:r>
        <w:rPr>
          <w:rFonts w:ascii="Aptos" w:hAnsi="Aptos"/>
          <w:color w:val="17212B"/>
          <w:sz w:val="20"/>
        </w:rPr>
        <w:t>Prepare a final report covering findings, actions, outcomes, unresolved risks, limitations, priority recommendations and the controls needed to manage recurrence.</w:t>
      </w:r>
    </w:p>
    <w:p>
      <w:pPr>
        <w:pStyle w:val="ListBullet"/>
        <w:keepLines/>
        <w:spacing w:after="60" w:line="252" w:lineRule="auto"/>
      </w:pPr>
      <w:r>
        <w:rPr>
          <w:rFonts w:ascii="Aptos" w:hAnsi="Aptos"/>
          <w:color w:val="17212B"/>
          <w:sz w:val="20"/>
        </w:rPr>
        <w:t>Deliver an executive briefing and a practical monitoring-and-response plan, including recommended roles, approval thresholds, reporting cadence and escalation routes.</w:t>
      </w:r>
    </w:p>
    <w:p>
      <w:pPr>
        <w:keepNext w:val="0"/>
        <w:spacing w:after="120" w:line="259" w:lineRule="auto"/>
      </w:pPr>
      <w:r>
        <w:rPr>
          <w:rFonts w:ascii="Aptos" w:hAnsi="Aptos"/>
          <w:b/>
          <w:color w:val="082B72"/>
          <w:sz w:val="20"/>
        </w:rPr>
        <w:t xml:space="preserve">Value to the Minister and Ministry. </w:t>
      </w:r>
      <w:r>
        <w:rPr>
          <w:rFonts w:ascii="Aptos" w:hAnsi="Aptos"/>
          <w:color w:val="17212B"/>
          <w:sz w:val="20"/>
        </w:rPr>
        <w:t>The Ministry gains more than a one-time account removal exercise. It receives a documented control framework, a management record of decisions and outcomes, and a practical basis for continued monitoring, law-enforcement cooperation and reputational protection.</w:t>
      </w:r>
    </w:p>
    <w:p>
      <w:pPr>
        <w:keepNext w:val="0"/>
        <w:spacing w:after="120" w:line="259" w:lineRule="auto"/>
      </w:pPr>
      <w:r>
        <w:rPr>
          <w:rFonts w:ascii="Aptos" w:hAnsi="Aptos"/>
          <w:b/>
          <w:color w:val="082B72"/>
          <w:sz w:val="20"/>
        </w:rPr>
        <w:t xml:space="preserve">Tangible outputs. </w:t>
      </w:r>
      <w:r>
        <w:rPr>
          <w:rFonts w:ascii="Aptos" w:hAnsi="Aptos"/>
          <w:color w:val="17212B"/>
          <w:sz w:val="20"/>
        </w:rPr>
        <w:t>Referral-ready incident package where supported; closing rescan; final findings and outcomes report; executive briefing; residual-risk register; and ongoing monitoring and response roadmap.</w:t>
      </w:r>
    </w:p>
    <w:p>
      <w:pPr>
        <w:pStyle w:val="Heading2"/>
        <w:keepNext/>
        <w:pageBreakBefore/>
      </w:pPr>
      <w:r>
        <w:t>4.7 Expected results and service standards</w:t>
      </w:r>
    </w:p>
    <w:p>
      <w:pPr>
        <w:spacing w:after="160"/>
      </w:pPr>
      <w:r>
        <w:t>The J$2.6 million investment is supported by the measurable results below. DCS will be accountable for completing the stated actions and producing the stated evidence of completion. Actual takedown, disclosure, prosecution and recovery decisions remain controlled by the relevant platforms and competent authorities.</w:t>
      </w:r>
    </w:p>
    <w:tbl>
      <w:tblPr>
        <w:tblW w:type="dxa" w:w="9700"/>
        <w:jc w:val="left"/>
        <w:tblLayout w:type="fixed"/>
        <w:tblLook w:firstColumn="1" w:firstRow="1" w:lastColumn="0" w:lastRow="0" w:noHBand="0" w:noVBand="1" w:val="04A0"/>
        <w:tblBorders>
          <w:top w:val="single" w:sz="5" w:space="0" w:color="D4DDEA"/>
          <w:left w:val="single" w:sz="5" w:space="0" w:color="D4DDEA"/>
          <w:bottom w:val="single" w:sz="5" w:space="0" w:color="D4DDEA"/>
          <w:right w:val="single" w:sz="5" w:space="0" w:color="D4DDEA"/>
          <w:insideH w:val="single" w:sz="5" w:space="0" w:color="D4DDEA"/>
          <w:insideV w:val="single" w:sz="5" w:space="0" w:color="D4DDEA"/>
        </w:tblBorders>
        <w:tblInd w:w="120" w:type="dxa"/>
      </w:tblPr>
      <w:tblGrid>
        <w:gridCol w:w="2200"/>
        <w:gridCol w:w="4750"/>
        <w:gridCol w:w="2750"/>
      </w:tblGrid>
      <w:tr>
        <w:trPr>
          <w:tblHeader w:val="true"/>
          <w:cantSplit w:val="true"/>
        </w:trPr>
        <w:tc>
          <w:tcPr>
            <w:tcW w:type="dxa" w:w="2200"/>
            <w:shd w:fill="082B72"/>
            <w:tcMar>
              <w:top w:w="110" w:type="dxa"/>
              <w:start w:w="130" w:type="dxa"/>
              <w:bottom w:w="110" w:type="dxa"/>
              <w:end w:w="130" w:type="dxa"/>
            </w:tcMar>
            <w:vAlign w:val="center"/>
          </w:tcPr>
          <w:p>
            <w:pPr>
              <w:spacing w:after="0" w:line="240" w:lineRule="auto"/>
            </w:pPr>
            <w:r>
              <w:rPr>
                <w:rFonts w:ascii="Aptos" w:hAnsi="Aptos"/>
                <w:b/>
                <w:color w:val="FFFFFF"/>
                <w:sz w:val="17"/>
              </w:rPr>
              <w:t>Client result</w:t>
            </w:r>
          </w:p>
        </w:tc>
        <w:tc>
          <w:tcPr>
            <w:tcW w:type="dxa" w:w="4750"/>
            <w:shd w:fill="082B72"/>
            <w:tcMar>
              <w:top w:w="110" w:type="dxa"/>
              <w:start w:w="130" w:type="dxa"/>
              <w:bottom w:w="110" w:type="dxa"/>
              <w:end w:w="130" w:type="dxa"/>
            </w:tcMar>
            <w:vAlign w:val="center"/>
          </w:tcPr>
          <w:p>
            <w:pPr>
              <w:spacing w:after="0" w:line="240" w:lineRule="auto"/>
            </w:pPr>
            <w:r>
              <w:rPr>
                <w:rFonts w:ascii="Aptos" w:hAnsi="Aptos"/>
                <w:b/>
                <w:color w:val="FFFFFF"/>
                <w:sz w:val="17"/>
              </w:rPr>
              <w:t>DCS commitment</w:t>
            </w:r>
          </w:p>
        </w:tc>
        <w:tc>
          <w:tcPr>
            <w:tcW w:type="dxa" w:w="2750"/>
            <w:shd w:fill="082B72"/>
            <w:tcMar>
              <w:top w:w="110" w:type="dxa"/>
              <w:start w:w="130" w:type="dxa"/>
              <w:bottom w:w="110" w:type="dxa"/>
              <w:end w:w="130" w:type="dxa"/>
            </w:tcMar>
            <w:vAlign w:val="center"/>
          </w:tcPr>
          <w:p>
            <w:pPr>
              <w:spacing w:after="0" w:line="240" w:lineRule="auto"/>
            </w:pPr>
            <w:r>
              <w:rPr>
                <w:rFonts w:ascii="Aptos" w:hAnsi="Aptos"/>
                <w:b/>
                <w:color w:val="FFFFFF"/>
                <w:sz w:val="17"/>
              </w:rPr>
              <w:t>Evidence of completion</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Controlled response established</w:t>
            </w:r>
          </w:p>
        </w:tc>
        <w:tc>
          <w:tcPr>
            <w:tcW w:type="dxa" w:w="4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Complete the mobilisation meeting, authority matrix, official-channel baseline and priority incident list within three business days after receipt of the required authorizations and source materials.</w:t>
            </w:r>
          </w:p>
        </w:tc>
        <w:tc>
          <w:tcPr>
            <w:tcW w:type="dxa" w:w="2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Approved mobilisation note, authority matrix and priority queue.</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Discoverable campaign footprint assessed</w:t>
            </w:r>
          </w:p>
        </w:tc>
        <w:tc>
          <w:tcPr>
            <w:tcW w:type="dxa" w:w="4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Complete the initial scan of seven named platform/web environments by Day 10 and conduct refresh checks through Day 30. Review up to 50 candidate accounts, posts, pages or media assets within the included scope.</w:t>
            </w:r>
          </w:p>
        </w:tc>
        <w:tc>
          <w:tcPr>
            <w:tcW w:type="dxa" w:w="2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Search log, candidate register, validated findings and risk ratings.</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High-risk evidence protected</w:t>
            </w:r>
          </w:p>
        </w:tc>
        <w:tc>
          <w:tcPr>
            <w:tcW w:type="dxa" w:w="4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Preserve critical/high-risk content within one business day of validation and create complete evidence files for up to 30 validated incidents.</w:t>
            </w:r>
          </w:p>
        </w:tc>
        <w:tc>
          <w:tcPr>
            <w:tcW w:type="dxa" w:w="2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Timestamped evidence files, evidence index and incident register.</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Platform action pursued</w:t>
            </w:r>
          </w:p>
        </w:tc>
        <w:tc>
          <w:tcPr>
            <w:tcW w:type="dxa" w:w="4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Prepare, submit and track up to 25 evidence-led platform complaints, plus up to 15 follow-up, appeal or escalation actions where the platform provides an eligible route.</w:t>
            </w:r>
          </w:p>
        </w:tc>
        <w:tc>
          <w:tcPr>
            <w:tcW w:type="dxa" w:w="2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Submission receipts, tracker entries, platform responses and outcome verification.</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Public warning package ready</w:t>
            </w:r>
          </w:p>
        </w:tc>
        <w:tc>
          <w:tcPr>
            <w:tcW w:type="dxa" w:w="4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Deliver the advisory, official-channel notice, red-flag guide, FAQ, response templates and victim-reporting workflow by Day 12, subject to Ministry review and approval.</w:t>
            </w:r>
          </w:p>
        </w:tc>
        <w:tc>
          <w:tcPr>
            <w:tcW w:type="dxa" w:w="2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Publication-ready communications and approved reporting workflow.</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Decision-makers kept informed</w:t>
            </w:r>
          </w:p>
        </w:tc>
        <w:tc>
          <w:tcPr>
            <w:tcW w:type="dxa" w:w="4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Provide two written status updates per week, urgent notification within four business hours after validation of a critical incident, and mobilisation, midpoint and final briefings.</w:t>
            </w:r>
          </w:p>
        </w:tc>
        <w:tc>
          <w:tcPr>
            <w:tcW w:type="dxa" w:w="275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Status reports, urgent alerts, briefing records and action decisions.</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Referral and transition completed</w:t>
            </w:r>
          </w:p>
        </w:tc>
        <w:tc>
          <w:tcPr>
            <w:tcW w:type="dxa" w:w="4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Prepare referral-ready material where supported by the evidence, conduct a closing rescan and deliver the final report, results dashboard and 90-day monitoring roadmap by Day 30.</w:t>
            </w:r>
          </w:p>
        </w:tc>
        <w:tc>
          <w:tcPr>
            <w:tcW w:type="dxa" w:w="275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Referral pack, closing scan, dashboard, final report and roadmap.</w:t>
            </w:r>
          </w:p>
        </w:tc>
      </w:tr>
    </w:tbl>
    <w:p>
      <w:pPr>
        <w:pStyle w:val="Heading2"/>
        <w:keepNext/>
        <w:pageBreakBefore/>
      </w:pPr>
      <w:r>
        <w:t>4.8 DCS action plan: first 30 days</w:t>
      </w:r>
    </w:p>
    <w:tbl>
      <w:tblPr>
        <w:tblW w:type="dxa" w:w="9700"/>
        <w:jc w:val="left"/>
        <w:tblLayout w:type="fixed"/>
        <w:tblLook w:firstColumn="1" w:firstRow="1" w:lastColumn="0" w:lastRow="0" w:noHBand="0" w:noVBand="1" w:val="04A0"/>
        <w:tblBorders>
          <w:top w:val="single" w:sz="5" w:space="0" w:color="D4DDEA"/>
          <w:left w:val="single" w:sz="5" w:space="0" w:color="D4DDEA"/>
          <w:bottom w:val="single" w:sz="5" w:space="0" w:color="D4DDEA"/>
          <w:right w:val="single" w:sz="5" w:space="0" w:color="D4DDEA"/>
          <w:insideH w:val="single" w:sz="5" w:space="0" w:color="D4DDEA"/>
          <w:insideV w:val="single" w:sz="5" w:space="0" w:color="D4DDEA"/>
        </w:tblBorders>
        <w:tblInd w:w="120" w:type="dxa"/>
      </w:tblPr>
      <w:tblGrid>
        <w:gridCol w:w="1300"/>
        <w:gridCol w:w="5300"/>
        <w:gridCol w:w="3100"/>
      </w:tblGrid>
      <w:tr>
        <w:trPr>
          <w:tblHeader w:val="true"/>
          <w:cantSplit w:val="true"/>
        </w:trPr>
        <w:tc>
          <w:tcPr>
            <w:tcW w:type="dxa" w:w="1300"/>
            <w:shd w:fill="082B72"/>
            <w:tcMar>
              <w:top w:w="110" w:type="dxa"/>
              <w:start w:w="130" w:type="dxa"/>
              <w:bottom w:w="110" w:type="dxa"/>
              <w:end w:w="130" w:type="dxa"/>
            </w:tcMar>
            <w:vAlign w:val="center"/>
          </w:tcPr>
          <w:p>
            <w:pPr>
              <w:spacing w:after="0" w:line="240" w:lineRule="auto"/>
            </w:pPr>
            <w:r>
              <w:rPr>
                <w:rFonts w:ascii="Aptos" w:hAnsi="Aptos"/>
                <w:b/>
                <w:color w:val="FFFFFF"/>
                <w:sz w:val="17"/>
              </w:rPr>
              <w:t>Period</w:t>
            </w:r>
          </w:p>
        </w:tc>
        <w:tc>
          <w:tcPr>
            <w:tcW w:type="dxa" w:w="5300"/>
            <w:shd w:fill="082B72"/>
            <w:tcMar>
              <w:top w:w="110" w:type="dxa"/>
              <w:start w:w="130" w:type="dxa"/>
              <w:bottom w:w="110" w:type="dxa"/>
              <w:end w:w="130" w:type="dxa"/>
            </w:tcMar>
            <w:vAlign w:val="center"/>
          </w:tcPr>
          <w:p>
            <w:pPr>
              <w:spacing w:after="0" w:line="240" w:lineRule="auto"/>
            </w:pPr>
            <w:r>
              <w:rPr>
                <w:rFonts w:ascii="Aptos" w:hAnsi="Aptos"/>
                <w:b/>
                <w:color w:val="FFFFFF"/>
                <w:sz w:val="17"/>
              </w:rPr>
              <w:t>Actions DCS will perform</w:t>
            </w:r>
          </w:p>
        </w:tc>
        <w:tc>
          <w:tcPr>
            <w:tcW w:type="dxa" w:w="3100"/>
            <w:shd w:fill="082B72"/>
            <w:tcMar>
              <w:top w:w="110" w:type="dxa"/>
              <w:start w:w="130" w:type="dxa"/>
              <w:bottom w:w="110" w:type="dxa"/>
              <w:end w:w="130" w:type="dxa"/>
            </w:tcMar>
            <w:vAlign w:val="center"/>
          </w:tcPr>
          <w:p>
            <w:pPr>
              <w:spacing w:after="0" w:line="240" w:lineRule="auto"/>
            </w:pPr>
            <w:r>
              <w:rPr>
                <w:rFonts w:ascii="Aptos" w:hAnsi="Aptos"/>
                <w:b/>
                <w:color w:val="FFFFFF"/>
                <w:sz w:val="17"/>
              </w:rPr>
              <w:t>Result for the Ministry</w:t>
            </w:r>
          </w:p>
        </w:tc>
      </w:tr>
      <w:tr>
        <w:trPr>
          <w:cantSplit w:val="true"/>
        </w:trPr>
        <w:tc>
          <w:tcPr>
            <w:tcW w:type="dxa" w:w="1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Days 1-3</w:t>
            </w:r>
          </w:p>
        </w:tc>
        <w:tc>
          <w:tcPr>
            <w:tcW w:type="dxa" w:w="5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Mobilise the response team; validate authorization; collect known incidents; confirm official accounts and content ownership; establish evidence, approval and escalation protocols.</w:t>
            </w:r>
          </w:p>
        </w:tc>
        <w:tc>
          <w:tcPr>
            <w:tcW w:type="dxa" w:w="31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A single controlled response process and an agreed priority list.</w:t>
            </w:r>
          </w:p>
        </w:tc>
      </w:tr>
      <w:tr>
        <w:trPr>
          <w:cantSplit w:val="true"/>
        </w:trPr>
        <w:tc>
          <w:tcPr>
            <w:tcW w:type="dxa" w:w="1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Days 2-10</w:t>
            </w:r>
          </w:p>
        </w:tc>
        <w:tc>
          <w:tcPr>
            <w:tcW w:type="dxa" w:w="5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Run platform, web, username, telephone-number, reverse-image and video-frame searches; validate candidates; rate harm and expand the indicator set.</w:t>
            </w:r>
          </w:p>
        </w:tc>
        <w:tc>
          <w:tcPr>
            <w:tcW w:type="dxa" w:w="31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An initial campaign-footprint assessment and action queue.</w:t>
            </w:r>
          </w:p>
        </w:tc>
      </w:tr>
      <w:tr>
        <w:trPr>
          <w:cantSplit w:val="true"/>
        </w:trPr>
        <w:tc>
          <w:tcPr>
            <w:tcW w:type="dxa" w:w="1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Days 3-20</w:t>
            </w:r>
          </w:p>
        </w:tc>
        <w:tc>
          <w:tcPr>
            <w:tcW w:type="dxa" w:w="5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Preserve evidence; map linked indicators; prepare and submit prioritized complaints; monitor responses; pursue eligible follow-ups, appeals and escalations.</w:t>
            </w:r>
          </w:p>
        </w:tc>
        <w:tc>
          <w:tcPr>
            <w:tcW w:type="dxa" w:w="31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Documented action against the highest-risk validated content.</w:t>
            </w:r>
          </w:p>
        </w:tc>
      </w:tr>
      <w:tr>
        <w:trPr>
          <w:cantSplit w:val="true"/>
        </w:trPr>
        <w:tc>
          <w:tcPr>
            <w:tcW w:type="dxa" w:w="1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Days 5-12</w:t>
            </w:r>
          </w:p>
        </w:tc>
        <w:tc>
          <w:tcPr>
            <w:tcW w:type="dxa" w:w="5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Draft the public advisory, verified-channel notice, scam red flags, FAQ, response templates and victim-intake protocol; support approval and publication readiness.</w:t>
            </w:r>
          </w:p>
        </w:tc>
        <w:tc>
          <w:tcPr>
            <w:tcW w:type="dxa" w:w="31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A coordinated public-protection and victim-reporting package.</w:t>
            </w:r>
          </w:p>
        </w:tc>
      </w:tr>
      <w:tr>
        <w:trPr>
          <w:cantSplit w:val="true"/>
        </w:trPr>
        <w:tc>
          <w:tcPr>
            <w:tcW w:type="dxa" w:w="1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Days 11-23</w:t>
            </w:r>
          </w:p>
        </w:tc>
        <w:tc>
          <w:tcPr>
            <w:tcW w:type="dxa" w:w="53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Identify referral-worthy incidents; organize chronologies, indicators, supplied victim records and prior platform actions; brief the Ministry on referral options.</w:t>
            </w:r>
          </w:p>
        </w:tc>
        <w:tc>
          <w:tcPr>
            <w:tcW w:type="dxa" w:w="31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Referral-ready evidence packages where the facts support referral.</w:t>
            </w:r>
          </w:p>
        </w:tc>
      </w:tr>
      <w:tr>
        <w:trPr>
          <w:cantSplit w:val="true"/>
        </w:trPr>
        <w:tc>
          <w:tcPr>
            <w:tcW w:type="dxa" w:w="1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Days 21-30</w:t>
            </w:r>
          </w:p>
        </w:tc>
        <w:tc>
          <w:tcPr>
            <w:tcW w:type="dxa" w:w="53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Conduct replacement-account and outcome checks; reconcile the incident register; quantify results and residual risks; deliver the executive briefing and monitoring roadmap.</w:t>
            </w:r>
          </w:p>
        </w:tc>
        <w:tc>
          <w:tcPr>
            <w:tcW w:type="dxa" w:w="31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A verified close-out record and practical next-stage operating plan.</w:t>
            </w:r>
          </w:p>
        </w:tc>
      </w:tr>
    </w:tbl>
    <w:p>
      <w:pPr>
        <w:pStyle w:val="Heading2"/>
        <w:keepNext/>
        <w:pageBreakBefore/>
      </w:pPr>
      <w:r>
        <w:t>4.9 Included capacity, response levels and accountability</w:t>
      </w:r>
    </w:p>
    <w:p>
      <w:pPr>
        <w:spacing w:after="140"/>
      </w:pPr>
      <w:r>
        <w:t>The following service volumes are included in the fixed 30-day fee. They make the engagement measurable while protecting both parties from an undefined or unlimited incident load.</w:t>
      </w:r>
    </w:p>
    <w:tbl>
      <w:tblPr>
        <w:tblW w:type="dxa" w:w="9700"/>
        <w:jc w:val="left"/>
        <w:tblLayout w:type="fixed"/>
        <w:tblLook w:firstColumn="1" w:firstRow="1" w:lastColumn="0" w:lastRow="0" w:noHBand="0" w:noVBand="1" w:val="04A0"/>
        <w:tblBorders>
          <w:top w:val="single" w:sz="5" w:space="0" w:color="D4DDEA"/>
          <w:left w:val="single" w:sz="5" w:space="0" w:color="D4DDEA"/>
          <w:bottom w:val="single" w:sz="5" w:space="0" w:color="D4DDEA"/>
          <w:right w:val="single" w:sz="5" w:space="0" w:color="D4DDEA"/>
          <w:insideH w:val="single" w:sz="5" w:space="0" w:color="D4DDEA"/>
          <w:insideV w:val="single" w:sz="5" w:space="0" w:color="D4DDEA"/>
        </w:tblBorders>
        <w:tblInd w:w="120" w:type="dxa"/>
      </w:tblPr>
      <w:tblGrid>
        <w:gridCol w:w="2200"/>
        <w:gridCol w:w="3000"/>
        <w:gridCol w:w="4500"/>
      </w:tblGrid>
      <w:tr>
        <w:trPr>
          <w:tblHeader w:val="true"/>
          <w:cantSplit w:val="true"/>
        </w:trPr>
        <w:tc>
          <w:tcPr>
            <w:tcW w:type="dxa" w:w="2200"/>
            <w:shd w:fill="082B72"/>
            <w:tcMar>
              <w:top w:w="110" w:type="dxa"/>
              <w:start w:w="130" w:type="dxa"/>
              <w:bottom w:w="110" w:type="dxa"/>
              <w:end w:w="130" w:type="dxa"/>
            </w:tcMar>
            <w:vAlign w:val="center"/>
          </w:tcPr>
          <w:p>
            <w:pPr>
              <w:spacing w:after="0" w:line="240" w:lineRule="auto"/>
            </w:pPr>
            <w:r>
              <w:rPr>
                <w:rFonts w:ascii="Aptos" w:hAnsi="Aptos"/>
                <w:b/>
                <w:color w:val="FFFFFF"/>
                <w:sz w:val="17"/>
              </w:rPr>
              <w:t>Work item</w:t>
            </w:r>
          </w:p>
        </w:tc>
        <w:tc>
          <w:tcPr>
            <w:tcW w:type="dxa" w:w="3000"/>
            <w:shd w:fill="082B72"/>
            <w:tcMar>
              <w:top w:w="110" w:type="dxa"/>
              <w:start w:w="130" w:type="dxa"/>
              <w:bottom w:w="110" w:type="dxa"/>
              <w:end w:w="130" w:type="dxa"/>
            </w:tcMar>
            <w:vAlign w:val="center"/>
          </w:tcPr>
          <w:p>
            <w:pPr>
              <w:spacing w:after="0" w:line="240" w:lineRule="auto"/>
            </w:pPr>
            <w:r>
              <w:rPr>
                <w:rFonts w:ascii="Aptos" w:hAnsi="Aptos"/>
                <w:b/>
                <w:color w:val="FFFFFF"/>
                <w:sz w:val="17"/>
              </w:rPr>
              <w:t>Included capacity</w:t>
            </w:r>
          </w:p>
        </w:tc>
        <w:tc>
          <w:tcPr>
            <w:tcW w:type="dxa" w:w="4500"/>
            <w:shd w:fill="082B72"/>
            <w:tcMar>
              <w:top w:w="110" w:type="dxa"/>
              <w:start w:w="130" w:type="dxa"/>
              <w:bottom w:w="110" w:type="dxa"/>
              <w:end w:w="130" w:type="dxa"/>
            </w:tcMar>
            <w:vAlign w:val="center"/>
          </w:tcPr>
          <w:p>
            <w:pPr>
              <w:spacing w:after="0" w:line="240" w:lineRule="auto"/>
            </w:pPr>
            <w:r>
              <w:rPr>
                <w:rFonts w:ascii="Aptos" w:hAnsi="Aptos"/>
                <w:b/>
                <w:color w:val="FFFFFF"/>
                <w:sz w:val="17"/>
              </w:rPr>
              <w:t>Completion standard</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Candidate review</w:t>
            </w:r>
          </w:p>
        </w:tc>
        <w:tc>
          <w:tcPr>
            <w:tcW w:type="dxa" w:w="30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Up to 50 candidate accounts, posts, pages or media assets</w:t>
            </w:r>
          </w:p>
        </w:tc>
        <w:tc>
          <w:tcPr>
            <w:tcW w:type="dxa" w:w="45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Each item logged and classified as validated harm, legitimate use, inconclusive or duplicate.</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Evidence files</w:t>
            </w:r>
          </w:p>
        </w:tc>
        <w:tc>
          <w:tcPr>
            <w:tcW w:type="dxa" w:w="30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Up to 30 validated incidents</w:t>
            </w:r>
          </w:p>
        </w:tc>
        <w:tc>
          <w:tcPr>
            <w:tcW w:type="dxa" w:w="45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Each file contains the available source, timestamp, URL/identifier, relevant capture, risk rating and action history.</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Initial platform submissions</w:t>
            </w:r>
          </w:p>
        </w:tc>
        <w:tc>
          <w:tcPr>
            <w:tcW w:type="dxa" w:w="30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Up to 25 submissions</w:t>
            </w:r>
          </w:p>
        </w:tc>
        <w:tc>
          <w:tcPr>
            <w:tcW w:type="dxa" w:w="45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One submission means one completed report concerning a specific account, post, page or asset through an available platform channel.</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Follow-up and escalation actions</w:t>
            </w:r>
          </w:p>
        </w:tc>
        <w:tc>
          <w:tcPr>
            <w:tcW w:type="dxa" w:w="30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Up to 15 actions</w:t>
            </w:r>
          </w:p>
        </w:tc>
        <w:tc>
          <w:tcPr>
            <w:tcW w:type="dxa" w:w="45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Follow-up, appeal or escalation is recorded where an eligible platform route exists and the evidence supports further action.</w:t>
            </w:r>
          </w:p>
        </w:tc>
      </w:tr>
      <w:tr>
        <w:trPr>
          <w:cantSplit w:val="true"/>
        </w:trPr>
        <w:tc>
          <w:tcPr>
            <w:tcW w:type="dxa" w:w="22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Management reporting</w:t>
            </w:r>
          </w:p>
        </w:tc>
        <w:tc>
          <w:tcPr>
            <w:tcW w:type="dxa" w:w="30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Two written updates per week; three formal briefings</w:t>
            </w:r>
          </w:p>
        </w:tc>
        <w:tc>
          <w:tcPr>
            <w:tcW w:type="dxa" w:w="4500"/>
            <w:shd w:fill="EAF2FF"/>
            <w:tcMar>
              <w:top w:w="110" w:type="dxa"/>
              <w:start w:w="130" w:type="dxa"/>
              <w:bottom w:w="110" w:type="dxa"/>
              <w:end w:w="130" w:type="dxa"/>
            </w:tcMar>
            <w:vAlign w:val="center"/>
          </w:tcPr>
          <w:p>
            <w:pPr>
              <w:spacing w:after="0" w:line="240" w:lineRule="auto"/>
            </w:pPr>
            <w:r>
              <w:rPr>
                <w:rFonts w:ascii="Aptos" w:hAnsi="Aptos"/>
                <w:b w:val="0"/>
                <w:color w:val="17212B"/>
                <w:sz w:val="17"/>
              </w:rPr>
              <w:t>Reports show work completed, open risks, platform status, decisions required and next actions.</w:t>
            </w:r>
          </w:p>
        </w:tc>
      </w:tr>
      <w:tr>
        <w:trPr>
          <w:cantSplit w:val="true"/>
        </w:trPr>
        <w:tc>
          <w:tcPr>
            <w:tcW w:type="dxa" w:w="22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Public-protection materials</w:t>
            </w:r>
          </w:p>
        </w:tc>
        <w:tc>
          <w:tcPr>
            <w:tcW w:type="dxa" w:w="30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One integrated communications and victim-intake package</w:t>
            </w:r>
          </w:p>
        </w:tc>
        <w:tc>
          <w:tcPr>
            <w:tcW w:type="dxa" w:w="4500"/>
            <w:shd w:fill="FFFFFF"/>
            <w:tcMar>
              <w:top w:w="110" w:type="dxa"/>
              <w:start w:w="130" w:type="dxa"/>
              <w:bottom w:w="110" w:type="dxa"/>
              <w:end w:w="130" w:type="dxa"/>
            </w:tcMar>
            <w:vAlign w:val="center"/>
          </w:tcPr>
          <w:p>
            <w:pPr>
              <w:spacing w:after="0" w:line="240" w:lineRule="auto"/>
            </w:pPr>
            <w:r>
              <w:rPr>
                <w:rFonts w:ascii="Aptos" w:hAnsi="Aptos"/>
                <w:b w:val="0"/>
                <w:color w:val="17212B"/>
                <w:sz w:val="17"/>
              </w:rPr>
              <w:t>Materials are delivered in editable, publication-ready form for Ministry approval.</w:t>
            </w:r>
          </w:p>
        </w:tc>
      </w:tr>
    </w:tbl>
    <w:p>
      <w:pPr>
        <w:keepNext/>
        <w:spacing w:before="160" w:after="80"/>
      </w:pPr>
      <w:r>
        <w:rPr>
          <w:rFonts w:ascii="Aptos" w:hAnsi="Aptos"/>
          <w:b/>
          <w:color w:val="082B72"/>
          <w:sz w:val="20"/>
        </w:rPr>
        <w:t>Service response levels</w:t>
      </w:r>
    </w:p>
    <w:p>
      <w:pPr>
        <w:pStyle w:val="ListBullet"/>
        <w:keepLines/>
        <w:spacing w:after="60" w:line="252" w:lineRule="auto"/>
      </w:pPr>
      <w:r>
        <w:rPr>
          <w:rFonts w:ascii="Aptos" w:hAnsi="Aptos"/>
          <w:color w:val="17212B"/>
          <w:sz w:val="20"/>
        </w:rPr>
        <w:t>Critical incident - triage and preservation target within one business day of receipt of complete information; urgent Ministry notification within four business hours after validation.</w:t>
      </w:r>
    </w:p>
    <w:p>
      <w:pPr>
        <w:pStyle w:val="ListBullet"/>
        <w:keepLines/>
        <w:spacing w:after="60" w:line="252" w:lineRule="auto"/>
      </w:pPr>
      <w:r>
        <w:rPr>
          <w:rFonts w:ascii="Aptos" w:hAnsi="Aptos"/>
          <w:color w:val="17212B"/>
          <w:sz w:val="20"/>
        </w:rPr>
        <w:t>High-priority platform submission - target within one business day after evidence, authority and required approval are complete.</w:t>
      </w:r>
    </w:p>
    <w:p>
      <w:pPr>
        <w:pStyle w:val="ListBullet"/>
        <w:keepLines/>
        <w:spacing w:after="60" w:line="252" w:lineRule="auto"/>
      </w:pPr>
      <w:r>
        <w:rPr>
          <w:rFonts w:ascii="Aptos" w:hAnsi="Aptos"/>
          <w:color w:val="17212B"/>
          <w:sz w:val="20"/>
        </w:rPr>
        <w:t>Standard validated incident - triage or status update within two business days during the engagement.</w:t>
      </w:r>
    </w:p>
    <w:p>
      <w:pPr>
        <w:pStyle w:val="ListBullet"/>
        <w:keepLines/>
        <w:spacing w:after="60" w:line="252" w:lineRule="auto"/>
      </w:pPr>
      <w:r>
        <w:rPr>
          <w:rFonts w:ascii="Aptos" w:hAnsi="Aptos"/>
          <w:color w:val="17212B"/>
          <w:sz w:val="20"/>
        </w:rPr>
        <w:t>Unresolved eligible submission - up to two follow-up attempts during the engagement where the platform permits follow-up and the matter remains actionable.</w:t>
      </w:r>
    </w:p>
    <w:p>
      <w:pPr>
        <w:keepNext/>
        <w:spacing w:before="140" w:after="80"/>
      </w:pPr>
      <w:r>
        <w:rPr>
          <w:rFonts w:ascii="Aptos" w:hAnsi="Aptos"/>
          <w:b/>
          <w:color w:val="082B72"/>
          <w:sz w:val="20"/>
        </w:rPr>
        <w:t>DCS delivery roles</w:t>
      </w:r>
    </w:p>
    <w:p>
      <w:pPr>
        <w:pStyle w:val="ListBullet"/>
        <w:keepLines/>
        <w:spacing w:after="60" w:line="252" w:lineRule="auto"/>
      </w:pPr>
      <w:r>
        <w:rPr>
          <w:rFonts w:ascii="Aptos" w:hAnsi="Aptos"/>
          <w:color w:val="17212B"/>
          <w:sz w:val="20"/>
        </w:rPr>
        <w:t>Engagement Lead - governance, client liaison, prioritization, quality control and executive reporting.</w:t>
      </w:r>
    </w:p>
    <w:p>
      <w:pPr>
        <w:pStyle w:val="ListBullet"/>
        <w:keepLines/>
        <w:spacing w:after="60" w:line="252" w:lineRule="auto"/>
      </w:pPr>
      <w:r>
        <w:rPr>
          <w:rFonts w:ascii="Aptos" w:hAnsi="Aptos"/>
          <w:color w:val="17212B"/>
          <w:sz w:val="20"/>
        </w:rPr>
        <w:t>Digital Investigation and OSINT Analyst - platform discovery, indicator expansion, validation and relationship mapping.</w:t>
      </w:r>
    </w:p>
    <w:p>
      <w:pPr>
        <w:pStyle w:val="ListBullet"/>
        <w:keepLines/>
        <w:spacing w:after="60" w:line="252" w:lineRule="auto"/>
      </w:pPr>
      <w:r>
        <w:rPr>
          <w:rFonts w:ascii="Aptos" w:hAnsi="Aptos"/>
          <w:color w:val="17212B"/>
          <w:sz w:val="20"/>
        </w:rPr>
        <w:t>Evidence and Platform Enforcement Lead - evidence files, submission preparation, tracking, follow-up and escalation.</w:t>
      </w:r>
    </w:p>
    <w:p>
      <w:pPr>
        <w:pStyle w:val="ListBullet"/>
        <w:keepLines/>
        <w:spacing w:after="60" w:line="252" w:lineRule="auto"/>
      </w:pPr>
      <w:r>
        <w:rPr>
          <w:rFonts w:ascii="Aptos" w:hAnsi="Aptos"/>
          <w:color w:val="17212B"/>
          <w:sz w:val="20"/>
        </w:rPr>
        <w:t>Communications and Public-Protection Adviser - public advisory, verified-channel guidance, FAQ and victim-intake materials.</w:t>
      </w:r>
    </w:p>
    <w:p>
      <w:pPr>
        <w:pStyle w:val="Heading1"/>
        <w:keepNext/>
      </w:pPr>
      <w:r>
        <w:t>5. Methodology</w:t>
      </w:r>
    </w:p>
    <w:tbl>
      <w:tblPr>
        <w:tblW w:type="auto" w:w="0"/>
        <w:jc w:val="center"/>
        <w:tblLayout w:type="fixed"/>
        <w:tblLook w:firstColumn="1" w:firstRow="1" w:lastColumn="0" w:lastRow="0" w:noHBand="0" w:noVBand="1" w:val="04A0"/>
        <w:tblBorders>
          <w:top w:val="single" w:sz="5" w:color="CBDDE7"/>
          <w:left w:val="single" w:sz="5" w:color="CBDDE7"/>
          <w:bottom w:val="single" w:sz="5" w:color="CBDDE7"/>
          <w:right w:val="single" w:sz="5" w:color="CBDDE7"/>
          <w:insideH w:val="single" w:sz="5" w:color="CBDDE7"/>
          <w:insideV w:val="single" w:sz="5" w:color="CBDDE7"/>
        </w:tblBorders>
      </w:tblPr>
      <w:tblGrid>
        <w:gridCol w:w="4997"/>
        <w:gridCol w:w="4997"/>
      </w:tblGrid>
      <w:tr>
        <w:trPr>
          <w:tblHeader w:val="true"/>
          <w:cantSplit w:val="true"/>
        </w:trPr>
        <w:tc>
          <w:tcPr>
            <w:tcW w:type="dxa" w:w="1944"/>
            <w:shd w:fill="064FF6"/>
            <w:tcMar>
              <w:top w:w="85" w:type="dxa"/>
              <w:start w:w="135" w:type="dxa"/>
              <w:bottom w:w="85" w:type="dxa"/>
              <w:end w:w="135" w:type="dxa"/>
            </w:tcMar>
          </w:tcPr>
          <w:p>
            <w:pPr>
              <w:spacing w:after="0"/>
              <w:jc w:val="center"/>
            </w:pPr>
            <w:r>
              <w:rPr>
                <w:rFonts w:ascii="Aptos" w:hAnsi="Aptos"/>
                <w:b/>
                <w:i w:val="0"/>
                <w:color w:val="FFFFFF"/>
                <w:sz w:val="18"/>
              </w:rPr>
              <w:t>Stage</w:t>
            </w:r>
          </w:p>
        </w:tc>
        <w:tc>
          <w:tcPr>
            <w:tcW w:type="dxa" w:w="8856"/>
            <w:shd w:fill="064FF6"/>
            <w:tcMar>
              <w:top w:w="85" w:type="dxa"/>
              <w:start w:w="135" w:type="dxa"/>
              <w:bottom w:w="85" w:type="dxa"/>
              <w:end w:w="135" w:type="dxa"/>
            </w:tcMar>
          </w:tcPr>
          <w:p>
            <w:pPr>
              <w:spacing w:after="0"/>
              <w:jc w:val="center"/>
            </w:pPr>
            <w:r>
              <w:rPr>
                <w:rFonts w:ascii="Aptos" w:hAnsi="Aptos"/>
                <w:b/>
                <w:i w:val="0"/>
                <w:color w:val="FFFFFF"/>
                <w:sz w:val="18"/>
              </w:rPr>
              <w:t>Approach</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Discover</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Create the baseline asset and indicator set; run name, image, video-frame, username, telephone-number and programme searches.</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Validate</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Distinguish genuine criticism, news or commentary from deceptive impersonation, unauthorized commercial use and scam activity.</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Preserve</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Record source, date, URL, account, content, engagement, observed representations and relevant relationships.</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Disrupt</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Use the applicable platform reporting and rights-enforcement routes; document submissions, outcomes and follow-up.</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Protect</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Publish clear official guidance, centralize victim reports and strengthen the public’s ability to identify genuine channels.</w:t>
            </w:r>
          </w:p>
        </w:tc>
      </w:tr>
      <w:tr>
        <w:trPr>
          <w:cantSplit w:val="true"/>
        </w:trPr>
        <w:tc>
          <w:tcPr>
            <w:tcW w:type="dxa" w:w="1944"/>
            <w:tcMar>
              <w:top w:w="85" w:type="dxa"/>
              <w:start w:w="135" w:type="dxa"/>
              <w:bottom w:w="85" w:type="dxa"/>
              <w:end w:w="135" w:type="dxa"/>
            </w:tcMar>
            <w:vAlign w:val="top"/>
          </w:tcPr>
          <w:p>
            <w:pPr>
              <w:spacing w:after="0"/>
              <w:jc w:val="left"/>
            </w:pPr>
            <w:r>
              <w:rPr>
                <w:rFonts w:ascii="Aptos" w:hAnsi="Aptos"/>
                <w:b/>
                <w:i w:val="0"/>
                <w:color w:val="17212B"/>
                <w:sz w:val="18"/>
              </w:rPr>
              <w:t>Report</w:t>
            </w:r>
          </w:p>
        </w:tc>
        <w:tc>
          <w:tcPr>
            <w:tcW w:type="dxa" w:w="8856"/>
            <w:tcMar>
              <w:top w:w="85" w:type="dxa"/>
              <w:start w:w="135" w:type="dxa"/>
              <w:bottom w:w="85" w:type="dxa"/>
              <w:end w:w="135" w:type="dxa"/>
            </w:tcMar>
            <w:vAlign w:val="top"/>
          </w:tcPr>
          <w:p>
            <w:pPr>
              <w:spacing w:after="0"/>
              <w:jc w:val="left"/>
            </w:pPr>
            <w:r>
              <w:rPr>
                <w:rFonts w:ascii="Aptos" w:hAnsi="Aptos"/>
                <w:b w:val="0"/>
                <w:i w:val="0"/>
                <w:color w:val="17212B"/>
                <w:sz w:val="18"/>
              </w:rPr>
              <w:t>Provide an executive account of findings, actions, outcomes, residual risks and recommended next steps.</w:t>
            </w:r>
          </w:p>
        </w:tc>
      </w:tr>
    </w:tbl>
    <w:p>
      <w:pPr>
        <w:pStyle w:val="Heading1"/>
        <w:keepNext/>
      </w:pPr>
      <w:r>
        <w:t>6. Thirty-day implementation schedule</w:t>
      </w:r>
    </w:p>
    <w:tbl>
      <w:tblPr>
        <w:tblW w:type="auto" w:w="0"/>
        <w:jc w:val="center"/>
        <w:tblLayout w:type="fixed"/>
        <w:tblLook w:firstColumn="1" w:firstRow="1" w:lastColumn="0" w:lastRow="0" w:noHBand="0" w:noVBand="1" w:val="04A0"/>
        <w:tblBorders>
          <w:top w:val="single" w:sz="5" w:color="CBDDE7"/>
          <w:left w:val="single" w:sz="5" w:color="CBDDE7"/>
          <w:bottom w:val="single" w:sz="5" w:color="CBDDE7"/>
          <w:right w:val="single" w:sz="5" w:color="CBDDE7"/>
          <w:insideH w:val="single" w:sz="5" w:color="CBDDE7"/>
          <w:insideV w:val="single" w:sz="5" w:color="CBDDE7"/>
        </w:tblBorders>
      </w:tblPr>
      <w:tblGrid>
        <w:gridCol w:w="3331"/>
        <w:gridCol w:w="3331"/>
        <w:gridCol w:w="3331"/>
      </w:tblGrid>
      <w:tr>
        <w:trPr>
          <w:tblHeader w:val="true"/>
          <w:cantSplit w:val="true"/>
        </w:trPr>
        <w:tc>
          <w:tcPr>
            <w:tcW w:type="dxa" w:w="1584"/>
            <w:shd w:fill="082B72"/>
            <w:tcMar>
              <w:top w:w="85" w:type="dxa"/>
              <w:start w:w="135" w:type="dxa"/>
              <w:bottom w:w="85" w:type="dxa"/>
              <w:end w:w="135" w:type="dxa"/>
            </w:tcMar>
          </w:tcPr>
          <w:p>
            <w:pPr>
              <w:spacing w:after="0"/>
              <w:jc w:val="center"/>
            </w:pPr>
            <w:r>
              <w:rPr>
                <w:rFonts w:ascii="Aptos" w:hAnsi="Aptos"/>
                <w:b/>
                <w:i w:val="0"/>
                <w:color w:val="FFFFFF"/>
                <w:sz w:val="18"/>
              </w:rPr>
              <w:t>Period</w:t>
            </w:r>
          </w:p>
        </w:tc>
        <w:tc>
          <w:tcPr>
            <w:tcW w:type="dxa" w:w="2520"/>
            <w:shd w:fill="082B72"/>
            <w:tcMar>
              <w:top w:w="85" w:type="dxa"/>
              <w:start w:w="135" w:type="dxa"/>
              <w:bottom w:w="85" w:type="dxa"/>
              <w:end w:w="135" w:type="dxa"/>
            </w:tcMar>
          </w:tcPr>
          <w:p>
            <w:pPr>
              <w:spacing w:after="0"/>
              <w:jc w:val="center"/>
            </w:pPr>
            <w:r>
              <w:rPr>
                <w:rFonts w:ascii="Aptos" w:hAnsi="Aptos"/>
                <w:b/>
                <w:i w:val="0"/>
                <w:color w:val="FFFFFF"/>
                <w:sz w:val="18"/>
              </w:rPr>
              <w:t>Phase</w:t>
            </w:r>
          </w:p>
        </w:tc>
        <w:tc>
          <w:tcPr>
            <w:tcW w:type="dxa" w:w="6696"/>
            <w:shd w:fill="082B72"/>
            <w:tcMar>
              <w:top w:w="85" w:type="dxa"/>
              <w:start w:w="135" w:type="dxa"/>
              <w:bottom w:w="85" w:type="dxa"/>
              <w:end w:w="135" w:type="dxa"/>
            </w:tcMar>
          </w:tcPr>
          <w:p>
            <w:pPr>
              <w:spacing w:after="0"/>
              <w:jc w:val="center"/>
            </w:pPr>
            <w:r>
              <w:rPr>
                <w:rFonts w:ascii="Aptos" w:hAnsi="Aptos"/>
                <w:b/>
                <w:i w:val="0"/>
                <w:color w:val="FFFFFF"/>
                <w:sz w:val="18"/>
              </w:rPr>
              <w:t>Principal activity</w:t>
            </w:r>
          </w:p>
        </w:tc>
      </w:tr>
      <w:tr>
        <w:trPr>
          <w:cantSplit w:val="true"/>
        </w:trPr>
        <w:tc>
          <w:tcPr>
            <w:tcW w:type="dxa" w:w="1584"/>
            <w:tcMar>
              <w:top w:w="85" w:type="dxa"/>
              <w:start w:w="135" w:type="dxa"/>
              <w:bottom w:w="85" w:type="dxa"/>
              <w:end w:w="135" w:type="dxa"/>
            </w:tcMar>
            <w:vAlign w:val="top"/>
          </w:tcPr>
          <w:p>
            <w:pPr>
              <w:spacing w:after="0"/>
              <w:jc w:val="left"/>
            </w:pPr>
            <w:r>
              <w:rPr>
                <w:rFonts w:ascii="Aptos" w:hAnsi="Aptos"/>
                <w:b/>
                <w:i w:val="0"/>
                <w:color w:val="17212B"/>
                <w:sz w:val="18"/>
              </w:rPr>
              <w:t>Days 1-3</w:t>
            </w:r>
          </w:p>
        </w:tc>
        <w:tc>
          <w:tcPr>
            <w:tcW w:type="dxa" w:w="2520"/>
            <w:tcMar>
              <w:top w:w="85" w:type="dxa"/>
              <w:start w:w="135" w:type="dxa"/>
              <w:bottom w:w="85" w:type="dxa"/>
              <w:end w:w="135" w:type="dxa"/>
            </w:tcMar>
            <w:vAlign w:val="top"/>
          </w:tcPr>
          <w:p>
            <w:pPr>
              <w:spacing w:after="0"/>
              <w:jc w:val="left"/>
            </w:pPr>
            <w:r>
              <w:rPr>
                <w:rFonts w:ascii="Aptos" w:hAnsi="Aptos"/>
                <w:b w:val="0"/>
                <w:i w:val="0"/>
                <w:color w:val="17212B"/>
                <w:sz w:val="18"/>
              </w:rPr>
              <w:t>Mobilisation</w:t>
            </w:r>
          </w:p>
        </w:tc>
        <w:tc>
          <w:tcPr>
            <w:tcW w:type="dxa" w:w="6696"/>
            <w:tcMar>
              <w:top w:w="85" w:type="dxa"/>
              <w:start w:w="135" w:type="dxa"/>
              <w:bottom w:w="85" w:type="dxa"/>
              <w:end w:w="135" w:type="dxa"/>
            </w:tcMar>
            <w:vAlign w:val="top"/>
          </w:tcPr>
          <w:p>
            <w:pPr>
              <w:spacing w:after="0"/>
              <w:jc w:val="left"/>
            </w:pPr>
            <w:r>
              <w:rPr>
                <w:rFonts w:ascii="Aptos" w:hAnsi="Aptos"/>
                <w:b w:val="0"/>
                <w:i w:val="0"/>
                <w:color w:val="17212B"/>
                <w:sz w:val="18"/>
              </w:rPr>
              <w:t>Authorizations, official-account baseline, known-incident intake, evidence standards and priority list.</w:t>
            </w:r>
          </w:p>
        </w:tc>
      </w:tr>
      <w:tr>
        <w:trPr>
          <w:cantSplit w:val="true"/>
        </w:trPr>
        <w:tc>
          <w:tcPr>
            <w:tcW w:type="dxa" w:w="1584"/>
            <w:tcMar>
              <w:top w:w="85" w:type="dxa"/>
              <w:start w:w="135" w:type="dxa"/>
              <w:bottom w:w="85" w:type="dxa"/>
              <w:end w:w="135" w:type="dxa"/>
            </w:tcMar>
            <w:vAlign w:val="top"/>
          </w:tcPr>
          <w:p>
            <w:pPr>
              <w:spacing w:after="0"/>
              <w:jc w:val="left"/>
            </w:pPr>
            <w:r>
              <w:rPr>
                <w:rFonts w:ascii="Aptos" w:hAnsi="Aptos"/>
                <w:b/>
                <w:i w:val="0"/>
                <w:color w:val="17212B"/>
                <w:sz w:val="18"/>
              </w:rPr>
              <w:t>Days 2-10</w:t>
            </w:r>
          </w:p>
        </w:tc>
        <w:tc>
          <w:tcPr>
            <w:tcW w:type="dxa" w:w="2520"/>
            <w:tcMar>
              <w:top w:w="85" w:type="dxa"/>
              <w:start w:w="135" w:type="dxa"/>
              <w:bottom w:w="85" w:type="dxa"/>
              <w:end w:w="135" w:type="dxa"/>
            </w:tcMar>
            <w:vAlign w:val="top"/>
          </w:tcPr>
          <w:p>
            <w:pPr>
              <w:spacing w:after="0"/>
              <w:jc w:val="left"/>
            </w:pPr>
            <w:r>
              <w:rPr>
                <w:rFonts w:ascii="Aptos" w:hAnsi="Aptos"/>
                <w:b w:val="0"/>
                <w:i w:val="0"/>
                <w:color w:val="17212B"/>
                <w:sz w:val="18"/>
              </w:rPr>
              <w:t>Discovery and preservation</w:t>
            </w:r>
          </w:p>
        </w:tc>
        <w:tc>
          <w:tcPr>
            <w:tcW w:type="dxa" w:w="6696"/>
            <w:tcMar>
              <w:top w:w="85" w:type="dxa"/>
              <w:start w:w="135" w:type="dxa"/>
              <w:bottom w:w="85" w:type="dxa"/>
              <w:end w:w="135" w:type="dxa"/>
            </w:tcMar>
            <w:vAlign w:val="top"/>
          </w:tcPr>
          <w:p>
            <w:pPr>
              <w:spacing w:after="0"/>
              <w:jc w:val="left"/>
            </w:pPr>
            <w:r>
              <w:rPr>
                <w:rFonts w:ascii="Aptos" w:hAnsi="Aptos"/>
                <w:b w:val="0"/>
                <w:i w:val="0"/>
                <w:color w:val="17212B"/>
                <w:sz w:val="18"/>
              </w:rPr>
              <w:t>Cross-platform scan, reverse-image/video searches, indicator expansion and initial evidence register.</w:t>
            </w:r>
          </w:p>
        </w:tc>
      </w:tr>
      <w:tr>
        <w:trPr>
          <w:cantSplit w:val="true"/>
        </w:trPr>
        <w:tc>
          <w:tcPr>
            <w:tcW w:type="dxa" w:w="1584"/>
            <w:tcMar>
              <w:top w:w="85" w:type="dxa"/>
              <w:start w:w="135" w:type="dxa"/>
              <w:bottom w:w="85" w:type="dxa"/>
              <w:end w:w="135" w:type="dxa"/>
            </w:tcMar>
            <w:vAlign w:val="top"/>
          </w:tcPr>
          <w:p>
            <w:pPr>
              <w:spacing w:after="0"/>
              <w:jc w:val="left"/>
            </w:pPr>
            <w:r>
              <w:rPr>
                <w:rFonts w:ascii="Aptos" w:hAnsi="Aptos"/>
                <w:b/>
                <w:i w:val="0"/>
                <w:color w:val="17212B"/>
                <w:sz w:val="18"/>
              </w:rPr>
              <w:t>Days 3-20</w:t>
            </w:r>
          </w:p>
        </w:tc>
        <w:tc>
          <w:tcPr>
            <w:tcW w:type="dxa" w:w="2520"/>
            <w:tcMar>
              <w:top w:w="85" w:type="dxa"/>
              <w:start w:w="135" w:type="dxa"/>
              <w:bottom w:w="85" w:type="dxa"/>
              <w:end w:w="135" w:type="dxa"/>
            </w:tcMar>
            <w:vAlign w:val="top"/>
          </w:tcPr>
          <w:p>
            <w:pPr>
              <w:spacing w:after="0"/>
              <w:jc w:val="left"/>
            </w:pPr>
            <w:r>
              <w:rPr>
                <w:rFonts w:ascii="Aptos" w:hAnsi="Aptos"/>
                <w:b w:val="0"/>
                <w:i w:val="0"/>
                <w:color w:val="17212B"/>
                <w:sz w:val="18"/>
              </w:rPr>
              <w:t>Containment and escalation</w:t>
            </w:r>
          </w:p>
        </w:tc>
        <w:tc>
          <w:tcPr>
            <w:tcW w:type="dxa" w:w="6696"/>
            <w:tcMar>
              <w:top w:w="85" w:type="dxa"/>
              <w:start w:w="135" w:type="dxa"/>
              <w:bottom w:w="85" w:type="dxa"/>
              <w:end w:w="135" w:type="dxa"/>
            </w:tcMar>
            <w:vAlign w:val="top"/>
          </w:tcPr>
          <w:p>
            <w:pPr>
              <w:spacing w:after="0"/>
              <w:jc w:val="left"/>
            </w:pPr>
            <w:r>
              <w:rPr>
                <w:rFonts w:ascii="Aptos" w:hAnsi="Aptos"/>
                <w:b w:val="0"/>
                <w:i w:val="0"/>
                <w:color w:val="17212B"/>
                <w:sz w:val="18"/>
              </w:rPr>
              <w:t>Rolling submissions, follow-up, escalation and referral preparation for validated incidents.</w:t>
            </w:r>
          </w:p>
        </w:tc>
      </w:tr>
      <w:tr>
        <w:trPr>
          <w:cantSplit w:val="true"/>
        </w:trPr>
        <w:tc>
          <w:tcPr>
            <w:tcW w:type="dxa" w:w="1584"/>
            <w:tcMar>
              <w:top w:w="85" w:type="dxa"/>
              <w:start w:w="135" w:type="dxa"/>
              <w:bottom w:w="85" w:type="dxa"/>
              <w:end w:w="135" w:type="dxa"/>
            </w:tcMar>
            <w:vAlign w:val="top"/>
          </w:tcPr>
          <w:p>
            <w:pPr>
              <w:spacing w:after="0"/>
              <w:jc w:val="left"/>
            </w:pPr>
            <w:r>
              <w:rPr>
                <w:rFonts w:ascii="Aptos" w:hAnsi="Aptos"/>
                <w:b/>
                <w:i w:val="0"/>
                <w:color w:val="17212B"/>
                <w:sz w:val="18"/>
              </w:rPr>
              <w:t>Days 5-15</w:t>
            </w:r>
          </w:p>
        </w:tc>
        <w:tc>
          <w:tcPr>
            <w:tcW w:type="dxa" w:w="2520"/>
            <w:tcMar>
              <w:top w:w="85" w:type="dxa"/>
              <w:start w:w="135" w:type="dxa"/>
              <w:bottom w:w="85" w:type="dxa"/>
              <w:end w:w="135" w:type="dxa"/>
            </w:tcMar>
            <w:vAlign w:val="top"/>
          </w:tcPr>
          <w:p>
            <w:pPr>
              <w:spacing w:after="0"/>
              <w:jc w:val="left"/>
            </w:pPr>
            <w:r>
              <w:rPr>
                <w:rFonts w:ascii="Aptos" w:hAnsi="Aptos"/>
                <w:b w:val="0"/>
                <w:i w:val="0"/>
                <w:color w:val="17212B"/>
                <w:sz w:val="18"/>
              </w:rPr>
              <w:t>Public protection</w:t>
            </w:r>
          </w:p>
        </w:tc>
        <w:tc>
          <w:tcPr>
            <w:tcW w:type="dxa" w:w="6696"/>
            <w:tcMar>
              <w:top w:w="85" w:type="dxa"/>
              <w:start w:w="135" w:type="dxa"/>
              <w:bottom w:w="85" w:type="dxa"/>
              <w:end w:w="135" w:type="dxa"/>
            </w:tcMar>
            <w:vAlign w:val="top"/>
          </w:tcPr>
          <w:p>
            <w:pPr>
              <w:spacing w:after="0"/>
              <w:jc w:val="left"/>
            </w:pPr>
            <w:r>
              <w:rPr>
                <w:rFonts w:ascii="Aptos" w:hAnsi="Aptos"/>
                <w:b w:val="0"/>
                <w:i w:val="0"/>
                <w:color w:val="17212B"/>
                <w:sz w:val="18"/>
              </w:rPr>
              <w:t>Official advisory, verified-channel notice, victim-reporting workflow and internal response guidance.</w:t>
            </w:r>
          </w:p>
        </w:tc>
      </w:tr>
      <w:tr>
        <w:trPr>
          <w:cantSplit w:val="true"/>
        </w:trPr>
        <w:tc>
          <w:tcPr>
            <w:tcW w:type="dxa" w:w="1584"/>
            <w:tcMar>
              <w:top w:w="85" w:type="dxa"/>
              <w:start w:w="135" w:type="dxa"/>
              <w:bottom w:w="85" w:type="dxa"/>
              <w:end w:w="135" w:type="dxa"/>
            </w:tcMar>
            <w:vAlign w:val="top"/>
          </w:tcPr>
          <w:p>
            <w:pPr>
              <w:spacing w:after="0"/>
              <w:jc w:val="left"/>
            </w:pPr>
            <w:r>
              <w:rPr>
                <w:rFonts w:ascii="Aptos" w:hAnsi="Aptos"/>
                <w:b/>
                <w:i w:val="0"/>
                <w:color w:val="17212B"/>
                <w:sz w:val="18"/>
              </w:rPr>
              <w:t>Days 21-30</w:t>
            </w:r>
          </w:p>
        </w:tc>
        <w:tc>
          <w:tcPr>
            <w:tcW w:type="dxa" w:w="2520"/>
            <w:tcMar>
              <w:top w:w="85" w:type="dxa"/>
              <w:start w:w="135" w:type="dxa"/>
              <w:bottom w:w="85" w:type="dxa"/>
              <w:end w:w="135" w:type="dxa"/>
            </w:tcMar>
            <w:vAlign w:val="top"/>
          </w:tcPr>
          <w:p>
            <w:pPr>
              <w:spacing w:after="0"/>
              <w:jc w:val="left"/>
            </w:pPr>
            <w:r>
              <w:rPr>
                <w:rFonts w:ascii="Aptos" w:hAnsi="Aptos"/>
                <w:b w:val="0"/>
                <w:i w:val="0"/>
                <w:color w:val="17212B"/>
                <w:sz w:val="18"/>
              </w:rPr>
              <w:t>Closure and transition</w:t>
            </w:r>
          </w:p>
        </w:tc>
        <w:tc>
          <w:tcPr>
            <w:tcW w:type="dxa" w:w="6696"/>
            <w:tcMar>
              <w:top w:w="85" w:type="dxa"/>
              <w:start w:w="135" w:type="dxa"/>
              <w:bottom w:w="85" w:type="dxa"/>
              <w:end w:w="135" w:type="dxa"/>
            </w:tcMar>
            <w:vAlign w:val="top"/>
          </w:tcPr>
          <w:p>
            <w:pPr>
              <w:spacing w:after="0"/>
              <w:jc w:val="left"/>
            </w:pPr>
            <w:r>
              <w:rPr>
                <w:rFonts w:ascii="Aptos" w:hAnsi="Aptos"/>
                <w:b w:val="0"/>
                <w:i w:val="0"/>
                <w:color w:val="17212B"/>
                <w:sz w:val="18"/>
              </w:rPr>
              <w:t>Rescan, outcome verification, residual-risk assessment, final report, executive briefing and monitoring plan.</w:t>
            </w:r>
          </w:p>
        </w:tc>
      </w:tr>
    </w:tbl>
    <w:p>
      <w:pPr>
        <w:pStyle w:val="Heading1"/>
        <w:keepNext/>
      </w:pPr>
      <w:r>
        <w:t>7. Key deliverables</w:t>
      </w:r>
    </w:p>
    <w:p>
      <w:pPr>
        <w:pStyle w:val="ListBullet"/>
        <w:keepLines/>
        <w:spacing w:after="60" w:line="259" w:lineRule="auto"/>
      </w:pPr>
      <w:r>
        <w:rPr>
          <w:rFonts w:ascii="Aptos" w:hAnsi="Aptos"/>
          <w:b w:val="0"/>
          <w:i w:val="0"/>
          <w:color w:val="17212B"/>
          <w:sz w:val="20"/>
        </w:rPr>
        <w:t>Official digital-asset, identity, authority and rights-ownership baseline.</w:t>
      </w:r>
    </w:p>
    <w:p>
      <w:pPr>
        <w:pStyle w:val="ListBullet"/>
        <w:keepLines/>
        <w:spacing w:after="60" w:line="259" w:lineRule="auto"/>
      </w:pPr>
      <w:r>
        <w:rPr>
          <w:rFonts w:ascii="Aptos" w:hAnsi="Aptos"/>
          <w:b w:val="0"/>
          <w:i w:val="0"/>
          <w:color w:val="17212B"/>
          <w:sz w:val="20"/>
        </w:rPr>
        <w:t>Cross-platform findings, validated account list and controlled incident register.</w:t>
      </w:r>
    </w:p>
    <w:p>
      <w:pPr>
        <w:pStyle w:val="ListBullet"/>
        <w:keepLines/>
        <w:spacing w:after="60" w:line="259" w:lineRule="auto"/>
      </w:pPr>
      <w:r>
        <w:rPr>
          <w:rFonts w:ascii="Aptos" w:hAnsi="Aptos"/>
          <w:b w:val="0"/>
          <w:i w:val="0"/>
          <w:color w:val="17212B"/>
          <w:sz w:val="20"/>
        </w:rPr>
        <w:t>Evidence files and relationship map for validated profiles, posts, telephone numbers and linked indicators.</w:t>
      </w:r>
    </w:p>
    <w:p>
      <w:pPr>
        <w:pStyle w:val="ListBullet"/>
        <w:keepLines/>
        <w:spacing w:after="60" w:line="259" w:lineRule="auto"/>
      </w:pPr>
      <w:r>
        <w:rPr>
          <w:rFonts w:ascii="Aptos" w:hAnsi="Aptos"/>
          <w:b w:val="0"/>
          <w:i w:val="0"/>
          <w:color w:val="17212B"/>
          <w:sz w:val="20"/>
        </w:rPr>
        <w:t>Takedown submission, platform-response, escalation and outcome-verification tracker.</w:t>
      </w:r>
    </w:p>
    <w:p>
      <w:pPr>
        <w:pStyle w:val="ListBullet"/>
        <w:keepLines/>
        <w:spacing w:after="60" w:line="259" w:lineRule="auto"/>
      </w:pPr>
      <w:r>
        <w:rPr>
          <w:rFonts w:ascii="Aptos" w:hAnsi="Aptos"/>
          <w:b w:val="0"/>
          <w:i w:val="0"/>
          <w:color w:val="17212B"/>
          <w:sz w:val="20"/>
        </w:rPr>
        <w:t>Public warning, verified-channel notice, scam red-flag guide, FAQ and victim-reporting package.</w:t>
      </w:r>
    </w:p>
    <w:p>
      <w:pPr>
        <w:pStyle w:val="ListBullet"/>
        <w:keepLines/>
        <w:spacing w:after="60" w:line="259" w:lineRule="auto"/>
      </w:pPr>
      <w:r>
        <w:rPr>
          <w:rFonts w:ascii="Aptos" w:hAnsi="Aptos"/>
          <w:b w:val="0"/>
          <w:i w:val="0"/>
          <w:color w:val="17212B"/>
          <w:sz w:val="20"/>
        </w:rPr>
        <w:t>Referral-ready incident chronology and evidence index where the facts support referral.</w:t>
      </w:r>
    </w:p>
    <w:p>
      <w:pPr>
        <w:pStyle w:val="ListBullet"/>
        <w:keepLines/>
        <w:spacing w:after="60" w:line="259" w:lineRule="auto"/>
      </w:pPr>
      <w:r>
        <w:rPr>
          <w:rFonts w:ascii="Aptos" w:hAnsi="Aptos"/>
          <w:b w:val="0"/>
          <w:i w:val="0"/>
          <w:color w:val="17212B"/>
          <w:sz w:val="20"/>
        </w:rPr>
        <w:t>Final report, executive briefing, residual-risk register and ongoing monitoring-and-response roadmap.</w:t>
      </w:r>
    </w:p>
    <w:p>
      <w:pPr>
        <w:pStyle w:val="ListBullet"/>
        <w:keepLines/>
        <w:spacing w:after="60" w:line="252" w:lineRule="auto"/>
      </w:pPr>
      <w:r>
        <w:rPr>
          <w:rFonts w:ascii="Aptos" w:hAnsi="Aptos"/>
          <w:color w:val="17212B"/>
          <w:sz w:val="20"/>
        </w:rPr>
        <w:t>Results dashboard showing candidates reviewed, validated incidents, evidence files, submissions, platform responses, removals or restrictions observed, unresolved risks and next actions.</w:t>
      </w:r>
    </w:p>
    <w:p>
      <w:pPr>
        <w:pStyle w:val="ListBullet"/>
        <w:keepLines/>
        <w:spacing w:after="60" w:line="252" w:lineRule="auto"/>
      </w:pPr>
      <w:r>
        <w:rPr>
          <w:rFonts w:ascii="Aptos" w:hAnsi="Aptos"/>
          <w:color w:val="17212B"/>
          <w:sz w:val="20"/>
        </w:rPr>
        <w:t>Twice-weekly written status updates, urgent critical-risk alerts and mobilisation, midpoint and final executive briefings.</w:t>
      </w:r>
    </w:p>
    <w:p>
      <w:pPr>
        <w:pStyle w:val="ListBullet"/>
        <w:keepLines/>
        <w:spacing w:after="60" w:line="252" w:lineRule="auto"/>
      </w:pPr>
      <w:r>
        <w:rPr>
          <w:rFonts w:ascii="Aptos" w:hAnsi="Aptos"/>
          <w:color w:val="17212B"/>
          <w:sz w:val="20"/>
        </w:rPr>
        <w:t>Documented 30-day action log and service-level performance record.</w:t>
      </w:r>
    </w:p>
    <w:p>
      <w:pPr>
        <w:pStyle w:val="Heading1"/>
        <w:keepNext/>
      </w:pPr>
      <w:r>
        <w:t>8. Governance and client responsibilities</w:t>
      </w:r>
    </w:p>
    <w:p>
      <w:pPr>
        <w:keepNext w:val="0"/>
        <w:spacing w:before="0" w:after="80" w:line="269" w:lineRule="auto"/>
      </w:pPr>
      <w:r>
        <w:rPr>
          <w:rFonts w:ascii="Aptos" w:hAnsi="Aptos"/>
          <w:b w:val="0"/>
          <w:i w:val="0"/>
          <w:color w:val="17212B"/>
          <w:sz w:val="20"/>
        </w:rPr>
        <w:t>DCS will require a designated Ministry focal point and timely access to the information needed to establish authority and ownership. The Ministry should provide or confirm:</w:t>
      </w:r>
    </w:p>
    <w:p>
      <w:pPr>
        <w:pStyle w:val="ListBullet"/>
        <w:keepLines/>
        <w:spacing w:after="60" w:line="259" w:lineRule="auto"/>
      </w:pPr>
      <w:r>
        <w:rPr>
          <w:rFonts w:ascii="Aptos" w:hAnsi="Aptos"/>
          <w:b w:val="0"/>
          <w:i w:val="0"/>
          <w:color w:val="17212B"/>
          <w:sz w:val="20"/>
        </w:rPr>
        <w:t>The Minister’s and Ministry’s official social-media accounts and public contact channels.</w:t>
      </w:r>
    </w:p>
    <w:p>
      <w:pPr>
        <w:pStyle w:val="ListBullet"/>
        <w:keepLines/>
        <w:spacing w:after="60" w:line="259" w:lineRule="auto"/>
      </w:pPr>
      <w:r>
        <w:rPr>
          <w:rFonts w:ascii="Aptos" w:hAnsi="Aptos"/>
          <w:b w:val="0"/>
          <w:i w:val="0"/>
          <w:color w:val="17212B"/>
          <w:sz w:val="20"/>
        </w:rPr>
        <w:t>Source copies or ownership information for official photographs, videos and programme materials.</w:t>
      </w:r>
    </w:p>
    <w:p>
      <w:pPr>
        <w:pStyle w:val="ListBullet"/>
        <w:keepLines/>
        <w:spacing w:after="60" w:line="259" w:lineRule="auto"/>
      </w:pPr>
      <w:r>
        <w:rPr>
          <w:rFonts w:ascii="Aptos" w:hAnsi="Aptos"/>
          <w:b w:val="0"/>
          <w:i w:val="0"/>
          <w:color w:val="17212B"/>
          <w:sz w:val="20"/>
        </w:rPr>
        <w:t>Written authorization for DCS to submit reports or communicate with platforms on behalf of the relevant person or rights owner.</w:t>
      </w:r>
    </w:p>
    <w:p>
      <w:pPr>
        <w:pStyle w:val="ListBullet"/>
        <w:keepLines/>
        <w:spacing w:after="60" w:line="259" w:lineRule="auto"/>
      </w:pPr>
      <w:r>
        <w:rPr>
          <w:rFonts w:ascii="Aptos" w:hAnsi="Aptos"/>
          <w:b w:val="0"/>
          <w:i w:val="0"/>
          <w:color w:val="17212B"/>
          <w:sz w:val="20"/>
        </w:rPr>
        <w:t>Known victim reports, screenshots, links, payment requests, telephone numbers and relevant correspondence.</w:t>
      </w:r>
    </w:p>
    <w:p>
      <w:pPr>
        <w:pStyle w:val="ListBullet"/>
        <w:keepLines/>
        <w:spacing w:after="60" w:line="259" w:lineRule="auto"/>
      </w:pPr>
      <w:r>
        <w:rPr>
          <w:rFonts w:ascii="Aptos" w:hAnsi="Aptos"/>
          <w:b w:val="0"/>
          <w:i w:val="0"/>
          <w:color w:val="17212B"/>
          <w:sz w:val="20"/>
        </w:rPr>
        <w:t>A communications, legal and law-enforcement contact for matters requiring institutional escalation.</w:t>
      </w:r>
    </w:p>
    <w:p>
      <w:pPr>
        <w:pStyle w:val="ListBullet"/>
        <w:keepLines/>
        <w:spacing w:after="60" w:line="252" w:lineRule="auto"/>
      </w:pPr>
      <w:r>
        <w:rPr>
          <w:rFonts w:ascii="Aptos" w:hAnsi="Aptos"/>
          <w:color w:val="17212B"/>
          <w:sz w:val="20"/>
        </w:rPr>
        <w:t>Review time-sensitive drafts, identity confirmations and platform-submission approvals within one business day where possible; DCS timelines pause when required information or approval is outstanding.</w:t>
      </w:r>
    </w:p>
    <w:p>
      <w:pPr>
        <w:pStyle w:val="Heading1"/>
        <w:keepNext/>
      </w:pPr>
      <w:r>
        <w:t>9. Important limitations</w:t>
      </w:r>
    </w:p>
    <w:p>
      <w:pPr>
        <w:keepNext w:val="0"/>
        <w:spacing w:before="0" w:after="120" w:line="269" w:lineRule="auto"/>
      </w:pPr>
      <w:r>
        <w:rPr>
          <w:rFonts w:ascii="Aptos" w:hAnsi="Aptos"/>
          <w:b w:val="0"/>
          <w:i/>
          <w:color w:val="596875"/>
          <w:sz w:val="20"/>
        </w:rPr>
        <w:t>DCS will use lawful, publicly available and client-authorized methods. DCS cannot compel platforms, telecom providers, financial institutions or messaging services to disclose private subscriber information. DCS also cannot guarantee platform removal, identify an operator solely from a public telephone number, recover victim funds or conduct a criminal investigation. Those functions remain with the relevant platform, institution, law-enforcement body or retained attorney.</w:t>
      </w:r>
    </w:p>
    <w:p>
      <w:pPr>
        <w:pStyle w:val="Heading1"/>
        <w:keepNext/>
        <w:pageBreakBefore w:val="0"/>
      </w:pPr>
      <w:r>
        <w:t>10. Commercial proposal</w:t>
      </w:r>
    </w:p>
    <w:p>
      <w:pPr>
        <w:keepNext w:val="0"/>
        <w:spacing w:before="0" w:after="140" w:line="269" w:lineRule="auto"/>
      </w:pPr>
      <w:r>
        <w:t>The investment below is an integrated client-facing fee for the six services described in Section 4. It includes the professional effort and technology-enabled support required to deliver the defined 30-day scope. The total contract price is fixed at J$2,600,000.00 inclusive of GCT; the pre-GCT value and GCT component are stated to the nearest cent. All prices are stated in Jamaican dollars (JMD).</w:t>
      </w:r>
    </w:p>
    <w:tbl>
      <w:tblPr>
        <w:tblW w:type="dxa" w:w="9700"/>
        <w:jc w:val="left"/>
        <w:tblLayout w:type="fixed"/>
        <w:tblLook w:firstColumn="1" w:firstRow="1" w:lastColumn="0" w:lastRow="0" w:noHBand="0" w:noVBand="1" w:val="04A0"/>
        <w:tblBorders>
          <w:top w:val="single" w:sz="5" w:space="0" w:color="D4DDEA"/>
          <w:left w:val="single" w:sz="5" w:space="0" w:color="D4DDEA"/>
          <w:bottom w:val="single" w:sz="5" w:space="0" w:color="D4DDEA"/>
          <w:right w:val="single" w:sz="5" w:space="0" w:color="D4DDEA"/>
          <w:insideH w:val="single" w:sz="5" w:space="0" w:color="D4DDEA"/>
          <w:insideV w:val="single" w:sz="5" w:space="0" w:color="D4DDEA"/>
        </w:tblBorders>
        <w:tblInd w:w="120" w:type="dxa"/>
      </w:tblPr>
      <w:tblGrid>
        <w:gridCol w:w="700"/>
        <w:gridCol w:w="6450"/>
        <w:gridCol w:w="2550"/>
      </w:tblGrid>
      <w:tr>
        <w:trPr>
          <w:tblHeader w:val="true"/>
          <w:cantSplit w:val="true"/>
        </w:trPr>
        <w:tc>
          <w:tcPr>
            <w:tcW w:type="dxa" w:w="700"/>
            <w:shd w:fill="082B72"/>
            <w:tcMar>
              <w:top w:w="110" w:type="dxa"/>
              <w:start w:w="130" w:type="dxa"/>
              <w:bottom w:w="110" w:type="dxa"/>
              <w:end w:w="130" w:type="dxa"/>
            </w:tcMar>
            <w:vAlign w:val="center"/>
          </w:tcPr>
          <w:p>
            <w:pPr>
              <w:spacing w:after="0" w:line="240" w:lineRule="auto"/>
            </w:pPr>
            <w:r>
              <w:rPr>
                <w:rFonts w:ascii="Aptos" w:hAnsi="Aptos"/>
                <w:b/>
                <w:color w:val="FFFFFF"/>
                <w:sz w:val="18"/>
              </w:rPr>
              <w:t>No.</w:t>
            </w:r>
          </w:p>
        </w:tc>
        <w:tc>
          <w:tcPr>
            <w:tcW w:type="dxa" w:w="6450"/>
            <w:shd w:fill="082B72"/>
            <w:tcMar>
              <w:top w:w="110" w:type="dxa"/>
              <w:start w:w="130" w:type="dxa"/>
              <w:bottom w:w="110" w:type="dxa"/>
              <w:end w:w="130" w:type="dxa"/>
            </w:tcMar>
            <w:vAlign w:val="center"/>
          </w:tcPr>
          <w:p>
            <w:pPr>
              <w:spacing w:after="0" w:line="240" w:lineRule="auto"/>
            </w:pPr>
            <w:r>
              <w:rPr>
                <w:rFonts w:ascii="Aptos" w:hAnsi="Aptos"/>
                <w:b/>
                <w:color w:val="FFFFFF"/>
                <w:sz w:val="18"/>
              </w:rPr>
              <w:t>Service</w:t>
            </w:r>
          </w:p>
        </w:tc>
        <w:tc>
          <w:tcPr>
            <w:tcW w:type="dxa" w:w="2550"/>
            <w:shd w:fill="082B72"/>
            <w:tcMar>
              <w:top w:w="110" w:type="dxa"/>
              <w:start w:w="130" w:type="dxa"/>
              <w:bottom w:w="110" w:type="dxa"/>
              <w:end w:w="130" w:type="dxa"/>
            </w:tcMar>
            <w:vAlign w:val="center"/>
          </w:tcPr>
          <w:p>
            <w:pPr>
              <w:spacing w:after="0" w:line="240" w:lineRule="auto"/>
            </w:pPr>
            <w:r>
              <w:rPr>
                <w:rFonts w:ascii="Aptos" w:hAnsi="Aptos"/>
                <w:b/>
                <w:color w:val="FFFFFF"/>
                <w:sz w:val="18"/>
              </w:rPr>
              <w:t>Price (excl. GCT)</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1</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Incident mobilisation and authority mapping</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J$225,000.00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2</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Cross-platform impersonation and image-misuse discovery scan</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J$610,000.00</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3</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Evidence preservation, incident register and campaign mapping</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J$380,000.00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4</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Platform reporting, takedown support and escalation</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J$505,000.00</w:t>
            </w:r>
          </w:p>
        </w:tc>
      </w:tr>
      <w:tr>
        <w:trPr>
          <w:cantSplit w:val="true"/>
        </w:trPr>
        <w:tc>
          <w:tcPr>
            <w:tcW w:type="dxa" w:w="700"/>
            <w:shd w:fill="EAF2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5</w:t>
            </w:r>
          </w:p>
        </w:tc>
        <w:tc>
          <w:tcPr>
            <w:tcW w:type="dxa" w:w="6450"/>
            <w:shd w:fill="EAF2FF"/>
            <w:tcMar>
              <w:top w:w="110" w:type="dxa"/>
              <w:start w:w="130" w:type="dxa"/>
              <w:bottom w:w="110" w:type="dxa"/>
              <w:end w:w="130" w:type="dxa"/>
            </w:tcMar>
            <w:vAlign w:val="center"/>
          </w:tcPr>
          <w:p>
            <w:pPr>
              <w:spacing w:after="0" w:line="240" w:lineRule="auto"/>
            </w:pPr>
            <w:r>
              <w:rPr>
                <w:rFonts w:ascii="Aptos" w:hAnsi="Aptos"/>
                <w:b w:val="0"/>
                <w:color w:val="17212B"/>
                <w:sz w:val="18"/>
              </w:rPr>
              <w:t>Public-protection communications and victim-reporting system</w:t>
            </w:r>
          </w:p>
        </w:tc>
        <w:tc>
          <w:tcPr>
            <w:tcW w:type="dxa" w:w="2550"/>
            <w:shd w:fill="EAF2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J$235,000.00</w:t>
            </w:r>
          </w:p>
        </w:tc>
      </w:tr>
      <w:tr>
        <w:trPr>
          <w:cantSplit w:val="true"/>
        </w:trPr>
        <w:tc>
          <w:tcPr>
            <w:tcW w:type="dxa" w:w="700"/>
            <w:shd w:fill="FFFFFF"/>
            <w:tcMar>
              <w:top w:w="110" w:type="dxa"/>
              <w:start w:w="130" w:type="dxa"/>
              <w:bottom w:w="110" w:type="dxa"/>
              <w:end w:w="130" w:type="dxa"/>
            </w:tcMar>
            <w:vAlign w:val="center"/>
          </w:tcPr>
          <w:p>
            <w:pPr>
              <w:spacing w:after="0" w:line="240" w:lineRule="auto"/>
              <w:jc w:val="center"/>
            </w:pPr>
            <w:r>
              <w:rPr>
                <w:rFonts w:ascii="Aptos" w:hAnsi="Aptos"/>
                <w:b w:val="0"/>
                <w:color w:val="17212B"/>
                <w:sz w:val="18"/>
              </w:rPr>
              <w:t>6</w:t>
            </w:r>
          </w:p>
        </w:tc>
        <w:tc>
          <w:tcPr>
            <w:tcW w:type="dxa" w:w="6450"/>
            <w:shd w:fill="FFFFFF"/>
            <w:tcMar>
              <w:top w:w="110" w:type="dxa"/>
              <w:start w:w="130" w:type="dxa"/>
              <w:bottom w:w="110" w:type="dxa"/>
              <w:end w:w="130" w:type="dxa"/>
            </w:tcMar>
            <w:vAlign w:val="center"/>
          </w:tcPr>
          <w:p>
            <w:pPr>
              <w:spacing w:after="0" w:line="240" w:lineRule="auto"/>
            </w:pPr>
            <w:r>
              <w:rPr>
                <w:rFonts w:ascii="Aptos" w:hAnsi="Aptos"/>
                <w:b w:val="0"/>
                <w:color w:val="17212B"/>
                <w:sz w:val="18"/>
              </w:rPr>
              <w:t>Referral support, final reporting and transition monitoring</w:t>
            </w:r>
          </w:p>
        </w:tc>
        <w:tc>
          <w:tcPr>
            <w:tcW w:type="dxa" w:w="2550"/>
            <w:shd w:fill="FFFFFF"/>
            <w:tcMar>
              <w:top w:w="110" w:type="dxa"/>
              <w:start w:w="130" w:type="dxa"/>
              <w:bottom w:w="110" w:type="dxa"/>
              <w:end w:w="130" w:type="dxa"/>
            </w:tcMar>
            <w:vAlign w:val="center"/>
          </w:tcPr>
          <w:p>
            <w:pPr>
              <w:spacing w:after="0" w:line="240" w:lineRule="auto"/>
              <w:jc w:val="right"/>
            </w:pPr>
            <w:r>
              <w:rPr>
                <w:rFonts w:ascii="Aptos" w:hAnsi="Aptos"/>
                <w:b w:val="0"/>
                <w:color w:val="17212B"/>
                <w:sz w:val="18"/>
              </w:rPr>
              <w:t>J$305,869.57</w:t>
            </w:r>
          </w:p>
        </w:tc>
      </w:tr>
      <w:tr>
        <w:trPr>
          <w:cantSplit w:val="true"/>
        </w:trPr>
        <w:tc>
          <w:tcPr>
            <w:tcW w:type="dxa" w:w="700"/>
            <w:shd w:fill="F3F6FA"/>
            <w:tcMar>
              <w:top w:w="110" w:type="dxa"/>
              <w:start w:w="130" w:type="dxa"/>
              <w:bottom w:w="110" w:type="dxa"/>
              <w:end w:w="130" w:type="dxa"/>
            </w:tcMar>
            <w:vAlign w:val="center"/>
          </w:tcPr>
          <w:p>
            <w:pPr>
              <w:spacing w:after="0" w:line="240" w:lineRule="auto"/>
              <w:jc w:val="center"/>
            </w:pPr>
            <w:r>
              <w:rPr>
                <w:rFonts w:ascii="Aptos" w:hAnsi="Aptos"/>
                <w:b/>
                <w:color w:val="082B72"/>
                <w:sz w:val="18"/>
              </w:rPr>
            </w:r>
          </w:p>
        </w:tc>
        <w:tc>
          <w:tcPr>
            <w:tcW w:type="dxa" w:w="6450"/>
            <w:shd w:fill="F3F6FA"/>
            <w:tcMar>
              <w:top w:w="110" w:type="dxa"/>
              <w:start w:w="130" w:type="dxa"/>
              <w:bottom w:w="110" w:type="dxa"/>
              <w:end w:w="130" w:type="dxa"/>
            </w:tcMar>
            <w:vAlign w:val="center"/>
          </w:tcPr>
          <w:p>
            <w:pPr>
              <w:spacing w:after="0" w:line="240" w:lineRule="auto"/>
            </w:pPr>
            <w:r>
              <w:rPr>
                <w:rFonts w:ascii="Aptos" w:hAnsi="Aptos"/>
                <w:b/>
                <w:color w:val="082B72"/>
                <w:sz w:val="18"/>
              </w:rPr>
              <w:t>Subtotal</w:t>
            </w:r>
          </w:p>
        </w:tc>
        <w:tc>
          <w:tcPr>
            <w:tcW w:type="dxa" w:w="2550"/>
            <w:shd w:fill="F3F6FA"/>
            <w:tcMar>
              <w:top w:w="110" w:type="dxa"/>
              <w:start w:w="130" w:type="dxa"/>
              <w:bottom w:w="110" w:type="dxa"/>
              <w:end w:w="130" w:type="dxa"/>
            </w:tcMar>
            <w:vAlign w:val="center"/>
          </w:tcPr>
          <w:p>
            <w:pPr>
              <w:spacing w:after="0" w:line="240" w:lineRule="auto"/>
              <w:jc w:val="right"/>
            </w:pPr>
            <w:r>
              <w:rPr>
                <w:rFonts w:ascii="Aptos" w:hAnsi="Aptos"/>
                <w:b/>
                <w:color w:val="082B72"/>
                <w:sz w:val="18"/>
              </w:rPr>
              <w:t>J$2,260,869.57</w:t>
            </w:r>
          </w:p>
        </w:tc>
      </w:tr>
      <w:tr>
        <w:trPr>
          <w:cantSplit w:val="true"/>
        </w:trPr>
        <w:tc>
          <w:tcPr>
            <w:tcW w:type="dxa" w:w="700"/>
            <w:shd w:fill="F3F6FA"/>
            <w:tcMar>
              <w:top w:w="110" w:type="dxa"/>
              <w:start w:w="130" w:type="dxa"/>
              <w:bottom w:w="110" w:type="dxa"/>
              <w:end w:w="130" w:type="dxa"/>
            </w:tcMar>
            <w:vAlign w:val="center"/>
          </w:tcPr>
          <w:p>
            <w:pPr>
              <w:spacing w:after="0" w:line="240" w:lineRule="auto"/>
              <w:jc w:val="center"/>
            </w:pPr>
            <w:r>
              <w:rPr>
                <w:rFonts w:ascii="Aptos" w:hAnsi="Aptos"/>
                <w:b/>
                <w:color w:val="082B72"/>
                <w:sz w:val="18"/>
              </w:rPr>
            </w:r>
          </w:p>
        </w:tc>
        <w:tc>
          <w:tcPr>
            <w:tcW w:type="dxa" w:w="6450"/>
            <w:shd w:fill="F3F6FA"/>
            <w:tcMar>
              <w:top w:w="110" w:type="dxa"/>
              <w:start w:w="130" w:type="dxa"/>
              <w:bottom w:w="110" w:type="dxa"/>
              <w:end w:w="130" w:type="dxa"/>
            </w:tcMar>
            <w:vAlign w:val="center"/>
          </w:tcPr>
          <w:p>
            <w:pPr>
              <w:spacing w:after="0" w:line="240" w:lineRule="auto"/>
            </w:pPr>
            <w:r>
              <w:rPr>
                <w:rFonts w:ascii="Aptos" w:hAnsi="Aptos"/>
                <w:b/>
                <w:color w:val="082B72"/>
                <w:sz w:val="18"/>
              </w:rPr>
              <w:t>GCT at 15%</w:t>
            </w:r>
          </w:p>
        </w:tc>
        <w:tc>
          <w:tcPr>
            <w:tcW w:type="dxa" w:w="2550"/>
            <w:shd w:fill="F3F6FA"/>
            <w:tcMar>
              <w:top w:w="110" w:type="dxa"/>
              <w:start w:w="130" w:type="dxa"/>
              <w:bottom w:w="110" w:type="dxa"/>
              <w:end w:w="130" w:type="dxa"/>
            </w:tcMar>
            <w:vAlign w:val="center"/>
          </w:tcPr>
          <w:p>
            <w:pPr>
              <w:spacing w:after="0" w:line="240" w:lineRule="auto"/>
              <w:jc w:val="right"/>
            </w:pPr>
            <w:r>
              <w:rPr>
                <w:rFonts w:ascii="Aptos" w:hAnsi="Aptos"/>
                <w:b/>
                <w:color w:val="082B72"/>
                <w:sz w:val="18"/>
              </w:rPr>
              <w:t>J$339,130.43</w:t>
            </w:r>
          </w:p>
        </w:tc>
      </w:tr>
      <w:tr>
        <w:trPr>
          <w:cantSplit w:val="true"/>
        </w:trPr>
        <w:tc>
          <w:tcPr>
            <w:tcW w:type="dxa" w:w="700"/>
            <w:shd w:fill="082B72"/>
            <w:tcMar>
              <w:top w:w="110" w:type="dxa"/>
              <w:start w:w="130" w:type="dxa"/>
              <w:bottom w:w="110" w:type="dxa"/>
              <w:end w:w="130" w:type="dxa"/>
            </w:tcMar>
            <w:vAlign w:val="center"/>
          </w:tcPr>
          <w:p>
            <w:pPr>
              <w:spacing w:after="0" w:line="240" w:lineRule="auto"/>
              <w:jc w:val="center"/>
            </w:pPr>
            <w:r>
              <w:rPr>
                <w:rFonts w:ascii="Aptos" w:hAnsi="Aptos"/>
                <w:b/>
                <w:color w:val="FFFFFF"/>
                <w:sz w:val="18"/>
              </w:rPr>
            </w:r>
          </w:p>
        </w:tc>
        <w:tc>
          <w:tcPr>
            <w:tcW w:type="dxa" w:w="6450"/>
            <w:shd w:fill="082B72"/>
            <w:tcMar>
              <w:top w:w="110" w:type="dxa"/>
              <w:start w:w="130" w:type="dxa"/>
              <w:bottom w:w="110" w:type="dxa"/>
              <w:end w:w="130" w:type="dxa"/>
            </w:tcMar>
            <w:vAlign w:val="center"/>
          </w:tcPr>
          <w:p>
            <w:pPr>
              <w:spacing w:after="0" w:line="240" w:lineRule="auto"/>
            </w:pPr>
            <w:r>
              <w:rPr>
                <w:rFonts w:ascii="Aptos" w:hAnsi="Aptos"/>
                <w:b/>
                <w:color w:val="FFFFFF"/>
                <w:sz w:val="18"/>
              </w:rPr>
              <w:t>TOTAL INVESTMENT (including GCT)</w:t>
            </w:r>
          </w:p>
        </w:tc>
        <w:tc>
          <w:tcPr>
            <w:tcW w:type="dxa" w:w="2550"/>
            <w:shd w:fill="082B72"/>
            <w:tcMar>
              <w:top w:w="110" w:type="dxa"/>
              <w:start w:w="130" w:type="dxa"/>
              <w:bottom w:w="110" w:type="dxa"/>
              <w:end w:w="130" w:type="dxa"/>
            </w:tcMar>
            <w:vAlign w:val="center"/>
          </w:tcPr>
          <w:p>
            <w:pPr>
              <w:spacing w:after="0" w:line="240" w:lineRule="auto"/>
              <w:jc w:val="right"/>
            </w:pPr>
            <w:r>
              <w:rPr>
                <w:rFonts w:ascii="Aptos" w:hAnsi="Aptos"/>
                <w:b/>
                <w:color w:val="FFFFFF"/>
                <w:sz w:val="18"/>
              </w:rPr>
              <w:t>J$2,600,000.00</w:t>
            </w:r>
          </w:p>
        </w:tc>
      </w:tr>
    </w:tbl>
    <w:p>
      <w:pPr>
        <w:pStyle w:val="Heading2"/>
        <w:keepNext/>
      </w:pPr>
      <w:r>
        <w:t>10.1 Payment terms</w:t>
      </w:r>
    </w:p>
    <w:p>
      <w:pPr>
        <w:pStyle w:val="ListBullet"/>
        <w:keepLines/>
        <w:spacing w:after="60" w:line="252" w:lineRule="auto"/>
      </w:pPr>
      <w:r>
        <w:rPr>
          <w:rFonts w:ascii="Aptos" w:hAnsi="Aptos"/>
          <w:color w:val="17212B"/>
          <w:sz w:val="20"/>
        </w:rPr>
        <w:t>Mobilisation payment - 60% of the total investment: J$1,560,000.00 including GCT, payable upon acceptance.</w:t>
      </w:r>
    </w:p>
    <w:p>
      <w:pPr>
        <w:pStyle w:val="ListBullet"/>
        <w:keepLines/>
        <w:spacing w:after="60" w:line="252" w:lineRule="auto"/>
      </w:pPr>
      <w:r>
        <w:rPr>
          <w:rFonts w:ascii="Aptos" w:hAnsi="Aptos"/>
          <w:color w:val="17212B"/>
          <w:sz w:val="20"/>
        </w:rPr>
        <w:t>Completion payment - 40% of the total investment: J$1,040,000.00 including GCT, payable upon submission of the final report, results dashboard, executive briefing and other DCS-controlled close-out deliverables defined in this proposal.</w:t>
      </w:r>
    </w:p>
    <w:p>
      <w:pPr>
        <w:pStyle w:val="ListBullet"/>
        <w:keepLines/>
        <w:spacing w:after="60" w:line="252" w:lineRule="auto"/>
      </w:pPr>
      <w:r>
        <w:rPr>
          <w:rFonts w:ascii="Aptos" w:hAnsi="Aptos"/>
          <w:color w:val="17212B"/>
          <w:sz w:val="20"/>
        </w:rPr>
        <w:t>The engagement commences after receipt of the mobilisation payment, written authority to act and the initial incident materials.</w:t>
      </w:r>
    </w:p>
    <w:p>
      <w:pPr>
        <w:pStyle w:val="ListBullet"/>
        <w:keepLines/>
        <w:spacing w:after="60" w:line="252" w:lineRule="auto"/>
      </w:pPr>
      <w:r>
        <w:rPr>
          <w:rFonts w:ascii="Aptos" w:hAnsi="Aptos"/>
          <w:color w:val="17212B"/>
          <w:sz w:val="20"/>
        </w:rPr>
        <w:t>This proposal is valid for 30 days from 26 August 2026. Any material expansion of scope will require prior written approval.</w:t>
      </w:r>
    </w:p>
    <w:p>
      <w:pPr>
        <w:pStyle w:val="Heading2"/>
        <w:keepNext/>
      </w:pPr>
      <w:r>
        <w:t>10.2 Optional services not included in the initial engagement</w:t>
      </w:r>
    </w:p>
    <w:p>
      <w:pPr>
        <w:keepNext w:val="0"/>
        <w:spacing w:after="120" w:line="259" w:lineRule="auto"/>
      </w:pPr>
      <w:r>
        <w:rPr>
          <w:rFonts w:ascii="Aptos" w:hAnsi="Aptos"/>
          <w:b/>
          <w:color w:val="082B72"/>
          <w:sz w:val="20"/>
        </w:rPr>
        <w:t xml:space="preserve">Trademark feasibility and filing coordination - J$175,000.00 plus GCT. </w:t>
      </w:r>
      <w:r>
        <w:rPr>
          <w:rFonts w:ascii="Aptos" w:hAnsi="Aptos"/>
          <w:color w:val="17212B"/>
          <w:sz w:val="20"/>
        </w:rPr>
        <w:t>DCS will coordinate ownership and authorization discussions, prepare a preliminary protection brief, support name/mark clearance and class-selection discussions with a qualified Jamaican intellectual-property attorney, and organize the filing information. JIPO charges, attorney fees, international filing fees and formal legal opinions are excluded and require separate approval.</w:t>
      </w:r>
    </w:p>
    <w:p>
      <w:pPr>
        <w:keepNext w:val="0"/>
        <w:spacing w:after="120" w:line="259" w:lineRule="auto"/>
      </w:pPr>
      <w:r>
        <w:rPr>
          <w:rFonts w:ascii="Aptos" w:hAnsi="Aptos"/>
          <w:b/>
          <w:color w:val="082B72"/>
          <w:sz w:val="20"/>
        </w:rPr>
        <w:t xml:space="preserve">Standard ongoing monitoring and response - J$325,000.00 plus GCT per month. </w:t>
      </w:r>
      <w:r>
        <w:rPr>
          <w:rFonts w:ascii="Aptos" w:hAnsi="Aptos"/>
          <w:color w:val="17212B"/>
          <w:sz w:val="20"/>
        </w:rPr>
        <w:t>Includes scheduled cross-platform scans, incident validation, maintenance of the indicator and incident registers, up to five validated takedown or escalation actions per month, and one monthly management report.</w:t>
      </w:r>
    </w:p>
    <w:p>
      <w:pPr>
        <w:keepNext w:val="0"/>
        <w:spacing w:after="120" w:line="259" w:lineRule="auto"/>
      </w:pPr>
      <w:r>
        <w:rPr>
          <w:rFonts w:ascii="Aptos" w:hAnsi="Aptos"/>
          <w:b/>
          <w:color w:val="082B72"/>
          <w:sz w:val="20"/>
        </w:rPr>
        <w:t xml:space="preserve">Enhanced ongoing monitoring and priority response - J$500,000.00 plus GCT per month. </w:t>
      </w:r>
      <w:r>
        <w:rPr>
          <w:rFonts w:ascii="Aptos" w:hAnsi="Aptos"/>
          <w:color w:val="17212B"/>
          <w:sz w:val="20"/>
        </w:rPr>
        <w:t>Includes more frequent scanning, priority triage during agreed service hours, up to twelve validated takedown or escalation actions per month, replacement-account checks and two management briefings per month.</w:t>
      </w:r>
    </w:p>
    <w:p>
      <w:pPr>
        <w:pStyle w:val="Heading2"/>
        <w:keepNext/>
      </w:pPr>
      <w:r>
        <w:t>10.3 Assumptions and exclusions</w:t>
      </w:r>
    </w:p>
    <w:p>
      <w:pPr>
        <w:pStyle w:val="ListBullet"/>
        <w:keepLines/>
        <w:spacing w:after="60" w:line="252" w:lineRule="auto"/>
      </w:pPr>
      <w:r>
        <w:rPr>
          <w:rFonts w:ascii="Aptos" w:hAnsi="Aptos"/>
          <w:color w:val="17212B"/>
          <w:sz w:val="20"/>
        </w:rPr>
        <w:t>DCS will not guarantee removal because final enforcement decisions are controlled by each platform or competent authority.</w:t>
      </w:r>
    </w:p>
    <w:p>
      <w:pPr>
        <w:pStyle w:val="ListBullet"/>
        <w:keepLines/>
        <w:spacing w:after="60" w:line="252" w:lineRule="auto"/>
      </w:pPr>
      <w:r>
        <w:rPr>
          <w:rFonts w:ascii="Aptos" w:hAnsi="Aptos"/>
          <w:color w:val="17212B"/>
          <w:sz w:val="20"/>
        </w:rPr>
        <w:t>The fee excludes paid advertising, victim reimbursement, litigation, legal representation, official filing fees, travel, specialist third-party managed enforcement and work outside the stated scope.</w:t>
      </w:r>
    </w:p>
    <w:p>
      <w:pPr>
        <w:pStyle w:val="ListBullet"/>
        <w:keepLines/>
        <w:spacing w:after="60" w:line="252" w:lineRule="auto"/>
      </w:pPr>
      <w:r>
        <w:rPr>
          <w:rFonts w:ascii="Aptos" w:hAnsi="Aptos"/>
          <w:color w:val="17212B"/>
          <w:sz w:val="20"/>
        </w:rPr>
        <w:t>Private subscriber, telecom, banking and platform records can be obtained only through the lawful powers and processes of the relevant institutions or authorities.</w:t>
      </w:r>
    </w:p>
    <w:p>
      <w:pPr>
        <w:pStyle w:val="Heading2"/>
        <w:keepNext/>
      </w:pPr>
      <w:r>
        <w:t>10.4 Deliverable acceptance and change control</w:t>
      </w:r>
    </w:p>
    <w:p>
      <w:pPr>
        <w:pStyle w:val="ListBullet"/>
        <w:keepLines/>
        <w:spacing w:after="60" w:line="252" w:lineRule="auto"/>
      </w:pPr>
      <w:r>
        <w:rPr>
          <w:rFonts w:ascii="Aptos" w:hAnsi="Aptos"/>
          <w:color w:val="17212B"/>
          <w:sz w:val="20"/>
        </w:rPr>
        <w:t>A DCS-controlled deliverable is complete when it materially contains the content specified in Sections 4 and 7 and is submitted in an agreed editable or readable format.</w:t>
      </w:r>
    </w:p>
    <w:p>
      <w:pPr>
        <w:pStyle w:val="ListBullet"/>
        <w:keepLines/>
        <w:spacing w:after="60" w:line="252" w:lineRule="auto"/>
      </w:pPr>
      <w:r>
        <w:rPr>
          <w:rFonts w:ascii="Aptos" w:hAnsi="Aptos"/>
          <w:color w:val="17212B"/>
          <w:sz w:val="20"/>
        </w:rPr>
        <w:t>The Ministry will provide one consolidated review within three business days of receipt. DCS will complete one reasonable correction round within the fixed fee.</w:t>
      </w:r>
    </w:p>
    <w:p>
      <w:pPr>
        <w:pStyle w:val="ListBullet"/>
        <w:keepLines/>
        <w:spacing w:after="60" w:line="252" w:lineRule="auto"/>
      </w:pPr>
      <w:r>
        <w:rPr>
          <w:rFonts w:ascii="Aptos" w:hAnsi="Aptos"/>
          <w:color w:val="17212B"/>
          <w:sz w:val="20"/>
        </w:rPr>
        <w:t>Platform removal, subscriber disclosure, operator identification, arrest, prosecution or recovery of funds is not an acceptance condition because those outcomes are controlled by third parties or competent authorities.</w:t>
      </w:r>
    </w:p>
    <w:p>
      <w:pPr>
        <w:pStyle w:val="ListBullet"/>
        <w:keepLines/>
        <w:spacing w:after="60" w:line="252" w:lineRule="auto"/>
      </w:pPr>
      <w:r>
        <w:rPr>
          <w:rFonts w:ascii="Aptos" w:hAnsi="Aptos"/>
          <w:color w:val="17212B"/>
          <w:sz w:val="20"/>
        </w:rPr>
        <w:t>Volumes above the included capacity, additional platforms, legal notices, litigation support, travel or work beyond 30 days require a written change order or a separately approved monitoring arrangement.</w:t>
      </w:r>
    </w:p>
    <w:p>
      <w:pPr>
        <w:pStyle w:val="Heading1"/>
        <w:keepNext/>
        <w:pageBreakBefore/>
      </w:pPr>
      <w:r>
        <w:t>11. Acceptance and next steps</w:t>
      </w:r>
    </w:p>
    <w:p>
      <w:pPr>
        <w:pStyle w:val="ListNumber"/>
        <w:keepLines/>
        <w:spacing w:after="80" w:line="259" w:lineRule="auto"/>
        <w:numPr>
          <w:ilvl w:val="0"/>
          <w:numId w:val="10"/>
        </w:numPr>
      </w:pPr>
      <w:r>
        <w:rPr>
          <w:rFonts w:ascii="Aptos" w:hAnsi="Aptos"/>
          <w:b w:val="0"/>
          <w:i w:val="0"/>
          <w:color w:val="17212B"/>
          <w:sz w:val="20"/>
        </w:rPr>
        <w:t>Confirm the Ministry’s designated focal point and reporting authority.</w:t>
      </w:r>
    </w:p>
    <w:p>
      <w:pPr>
        <w:pStyle w:val="ListNumber"/>
        <w:keepLines/>
        <w:spacing w:after="80" w:line="259" w:lineRule="auto"/>
        <w:numPr>
          <w:ilvl w:val="0"/>
          <w:numId w:val="10"/>
        </w:numPr>
      </w:pPr>
      <w:r>
        <w:rPr>
          <w:rFonts w:ascii="Aptos" w:hAnsi="Aptos"/>
          <w:b w:val="0"/>
          <w:i w:val="0"/>
          <w:color w:val="17212B"/>
          <w:sz w:val="20"/>
        </w:rPr>
        <w:t>Approve the commercial proposal in Section 10 and execute the engagement documentation.</w:t>
      </w:r>
    </w:p>
    <w:p>
      <w:pPr>
        <w:pStyle w:val="ListNumber"/>
        <w:keepLines/>
        <w:spacing w:after="80" w:line="259" w:lineRule="auto"/>
        <w:numPr>
          <w:ilvl w:val="0"/>
          <w:numId w:val="10"/>
        </w:numPr>
      </w:pPr>
      <w:r>
        <w:rPr>
          <w:rFonts w:ascii="Aptos" w:hAnsi="Aptos"/>
          <w:b w:val="0"/>
          <w:i w:val="0"/>
          <w:color w:val="17212B"/>
          <w:sz w:val="20"/>
        </w:rPr>
        <w:t>Provide the known incident materials and official-asset baseline.</w:t>
      </w:r>
    </w:p>
    <w:p>
      <w:pPr>
        <w:pStyle w:val="ListNumber"/>
        <w:keepLines/>
        <w:spacing w:after="80" w:line="259" w:lineRule="auto"/>
        <w:numPr>
          <w:ilvl w:val="0"/>
          <w:numId w:val="10"/>
        </w:numPr>
      </w:pPr>
      <w:r>
        <w:rPr>
          <w:rFonts w:ascii="Aptos" w:hAnsi="Aptos"/>
          <w:b w:val="0"/>
          <w:i w:val="0"/>
          <w:color w:val="17212B"/>
          <w:sz w:val="20"/>
        </w:rPr>
        <w:t>Commence mobilisation immediately upon receipt of the initial payment and authorizations.</w:t>
      </w:r>
    </w:p>
    <w:tbl>
      <w:tblPr>
        <w:tblW w:type="auto" w:w="0"/>
        <w:jc w:val="center"/>
        <w:tblLayout w:type="fixed"/>
        <w:tblLook w:firstColumn="1" w:firstRow="1" w:lastColumn="0" w:lastRow="0" w:noHBand="0" w:noVBand="1" w:val="04A0"/>
        <w:tblBorders>
          <w:top w:val="single" w:sz="5" w:color="CBDDE7"/>
          <w:left w:val="single" w:sz="5" w:color="CBDDE7"/>
          <w:bottom w:val="single" w:sz="5" w:color="CBDDE7"/>
          <w:right w:val="single" w:sz="5" w:color="CBDDE7"/>
          <w:insideH w:val="single" w:sz="5" w:color="CBDDE7"/>
          <w:insideV w:val="single" w:sz="5" w:color="CBDDE7"/>
        </w:tblBorders>
      </w:tblPr>
      <w:tblGrid>
        <w:gridCol w:w="4997"/>
        <w:gridCol w:w="4997"/>
      </w:tblGrid>
      <w:tr>
        <w:trPr>
          <w:tblHeader w:val="true"/>
          <w:cantSplit w:val="true"/>
        </w:trPr>
        <w:tc>
          <w:tcPr>
            <w:tcW w:type="dxa" w:w="5400"/>
            <w:shd w:fill="082B72"/>
            <w:tcMar>
              <w:top w:w="85" w:type="dxa"/>
              <w:start w:w="135" w:type="dxa"/>
              <w:bottom w:w="85" w:type="dxa"/>
              <w:end w:w="135" w:type="dxa"/>
            </w:tcMar>
          </w:tcPr>
          <w:p>
            <w:pPr>
              <w:spacing w:after="0"/>
              <w:jc w:val="center"/>
            </w:pPr>
            <w:r>
              <w:rPr>
                <w:rFonts w:ascii="Aptos" w:hAnsi="Aptos"/>
                <w:b/>
                <w:i w:val="0"/>
                <w:color w:val="FFFFFF"/>
                <w:sz w:val="18"/>
              </w:rPr>
              <w:t>For the Client</w:t>
            </w:r>
          </w:p>
        </w:tc>
        <w:tc>
          <w:tcPr>
            <w:tcW w:type="dxa" w:w="5400"/>
            <w:shd w:fill="082B72"/>
            <w:tcMar>
              <w:top w:w="85" w:type="dxa"/>
              <w:start w:w="135" w:type="dxa"/>
              <w:bottom w:w="85" w:type="dxa"/>
              <w:end w:w="135" w:type="dxa"/>
            </w:tcMar>
          </w:tcPr>
          <w:p>
            <w:pPr>
              <w:spacing w:after="0"/>
              <w:jc w:val="center"/>
            </w:pPr>
            <w:r>
              <w:rPr>
                <w:rFonts w:ascii="Aptos" w:hAnsi="Aptos"/>
                <w:b/>
                <w:i w:val="0"/>
                <w:color w:val="FFFFFF"/>
                <w:sz w:val="18"/>
              </w:rPr>
              <w:t>For Data and Cybersecurity Limited</w:t>
            </w:r>
          </w:p>
        </w:tc>
      </w:tr>
      <w:tr>
        <w:trPr>
          <w:cantSplit w:val="true"/>
        </w:trPr>
        <w:tc>
          <w:tcPr>
            <w:tcW w:type="dxa" w:w="5400"/>
            <w:tcMar>
              <w:top w:w="85" w:type="dxa"/>
              <w:start w:w="135" w:type="dxa"/>
              <w:bottom w:w="85" w:type="dxa"/>
              <w:end w:w="135" w:type="dxa"/>
            </w:tcMar>
            <w:vAlign w:val="top"/>
          </w:tcPr>
          <w:p>
            <w:pPr>
              <w:spacing w:after="0"/>
              <w:jc w:val="left"/>
            </w:pPr>
            <w:r>
              <w:rPr>
                <w:rFonts w:ascii="Aptos" w:hAnsi="Aptos"/>
                <w:b/>
                <w:i w:val="0"/>
                <w:color w:val="17212B"/>
                <w:sz w:val="18"/>
              </w:rPr>
              <w:t>Name: ______________________________</w:t>
            </w:r>
          </w:p>
        </w:tc>
        <w:tc>
          <w:tcPr>
            <w:tcW w:type="dxa" w:w="5400"/>
            <w:tcMar>
              <w:top w:w="85" w:type="dxa"/>
              <w:start w:w="135" w:type="dxa"/>
              <w:bottom w:w="85" w:type="dxa"/>
              <w:end w:w="135" w:type="dxa"/>
            </w:tcMar>
            <w:vAlign w:val="top"/>
          </w:tcPr>
          <w:p>
            <w:pPr>
              <w:spacing w:after="0"/>
              <w:jc w:val="left"/>
            </w:pPr>
            <w:r>
              <w:rPr>
                <w:rFonts w:ascii="Aptos" w:hAnsi="Aptos"/>
                <w:b w:val="0"/>
                <w:i w:val="0"/>
                <w:color w:val="17212B"/>
                <w:sz w:val="18"/>
              </w:rPr>
              <w:t>Name: ______________________________</w:t>
            </w:r>
          </w:p>
        </w:tc>
      </w:tr>
      <w:tr>
        <w:trPr>
          <w:cantSplit w:val="true"/>
        </w:trPr>
        <w:tc>
          <w:tcPr>
            <w:tcW w:type="dxa" w:w="5400"/>
            <w:tcMar>
              <w:top w:w="85" w:type="dxa"/>
              <w:start w:w="135" w:type="dxa"/>
              <w:bottom w:w="85" w:type="dxa"/>
              <w:end w:w="135" w:type="dxa"/>
            </w:tcMar>
            <w:vAlign w:val="top"/>
          </w:tcPr>
          <w:p>
            <w:pPr>
              <w:spacing w:after="0"/>
              <w:jc w:val="left"/>
            </w:pPr>
            <w:r>
              <w:rPr>
                <w:rFonts w:ascii="Aptos" w:hAnsi="Aptos"/>
                <w:b/>
                <w:i w:val="0"/>
                <w:color w:val="17212B"/>
                <w:sz w:val="18"/>
              </w:rPr>
              <w:t>Title: _______________________________</w:t>
            </w:r>
          </w:p>
        </w:tc>
        <w:tc>
          <w:tcPr>
            <w:tcW w:type="dxa" w:w="5400"/>
            <w:tcMar>
              <w:top w:w="85" w:type="dxa"/>
              <w:start w:w="135" w:type="dxa"/>
              <w:bottom w:w="85" w:type="dxa"/>
              <w:end w:w="135" w:type="dxa"/>
            </w:tcMar>
            <w:vAlign w:val="top"/>
          </w:tcPr>
          <w:p>
            <w:pPr>
              <w:spacing w:after="0"/>
              <w:jc w:val="left"/>
            </w:pPr>
            <w:r>
              <w:rPr>
                <w:rFonts w:ascii="Aptos" w:hAnsi="Aptos"/>
                <w:b w:val="0"/>
                <w:i w:val="0"/>
                <w:color w:val="17212B"/>
                <w:sz w:val="18"/>
              </w:rPr>
              <w:t>Title: _______________________________</w:t>
            </w:r>
          </w:p>
        </w:tc>
      </w:tr>
      <w:tr>
        <w:trPr>
          <w:cantSplit w:val="true"/>
        </w:trPr>
        <w:tc>
          <w:tcPr>
            <w:tcW w:type="dxa" w:w="5400"/>
            <w:tcMar>
              <w:top w:w="85" w:type="dxa"/>
              <w:start w:w="135" w:type="dxa"/>
              <w:bottom w:w="85" w:type="dxa"/>
              <w:end w:w="135" w:type="dxa"/>
            </w:tcMar>
            <w:vAlign w:val="top"/>
          </w:tcPr>
          <w:p>
            <w:pPr>
              <w:spacing w:after="0"/>
              <w:jc w:val="left"/>
            </w:pPr>
            <w:r>
              <w:rPr>
                <w:rFonts w:ascii="Aptos" w:hAnsi="Aptos"/>
                <w:b/>
                <w:i w:val="0"/>
                <w:color w:val="17212B"/>
                <w:sz w:val="18"/>
              </w:rPr>
              <w:t>Signature/Date: ______________________</w:t>
            </w:r>
          </w:p>
        </w:tc>
        <w:tc>
          <w:tcPr>
            <w:tcW w:type="dxa" w:w="5400"/>
            <w:tcMar>
              <w:top w:w="85" w:type="dxa"/>
              <w:start w:w="135" w:type="dxa"/>
              <w:bottom w:w="85" w:type="dxa"/>
              <w:end w:w="135" w:type="dxa"/>
            </w:tcMar>
            <w:vAlign w:val="top"/>
          </w:tcPr>
          <w:p>
            <w:pPr>
              <w:spacing w:after="0"/>
              <w:jc w:val="left"/>
            </w:pPr>
            <w:r>
              <w:rPr>
                <w:rFonts w:ascii="Aptos" w:hAnsi="Aptos"/>
                <w:b w:val="0"/>
                <w:i w:val="0"/>
                <w:color w:val="17212B"/>
                <w:sz w:val="18"/>
              </w:rPr>
              <w:t>Signature/Date: ______________________</w:t>
            </w:r>
          </w:p>
        </w:tc>
      </w:tr>
    </w:tbl>
    <w:sectPr w:rsidR="00FC693F" w:rsidRPr="0006063C" w:rsidSect="00034616">
      <w:headerReference w:type="default" r:id="rId11"/>
      <w:footerReference w:type="default" r:id="rId12"/>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b w:val="0"/>
        <w:i w:val="0"/>
        <w:color w:val="596875"/>
        <w:sz w:val="16"/>
      </w:rPr>
      <w:t xml:space="preserve">Data and Cybersecurity Limited  |  Service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descr="Decorative DCS brand pattern background" title="DCS brand pattern"/>
          <wp:cNvGraphicFramePr>
            <a:graphicFrameLocks noChangeAspect="1"/>
          </wp:cNvGraphicFramePr>
          <a:graphic>
            <a:graphicData uri="http://schemas.openxmlformats.org/drawingml/2006/picture">
              <pic:pic>
                <pic:nvPicPr>
                  <pic:cNvPr id="0" name="dcs_pattern_cover.jp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descr="Decorative DCS brand pattern background" title="DCS brand pattern"/>
          <wp:cNvGraphicFramePr>
            <a:graphicFrameLocks noChangeAspect="1"/>
          </wp:cNvGraphicFramePr>
          <a:graphic>
            <a:graphicData uri="http://schemas.openxmlformats.org/drawingml/2006/picture">
              <pic:pic>
                <pic:nvPicPr>
                  <pic:cNvPr id="0" name="dcs_pattern_pale.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82B7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64FF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58A9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DCS Proposal to Minister Charles and MLSS</dc:title>
  <dc:subject>Digital impersonation and online employment scam response</dc:subject>
  <dc:creator>Data and Cybersecurity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