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tadata"/>
      </w:pPr>
      <w:r>
        <w:t>PROJECT 2  •  ANALYTICS REFERENCE &amp; DEMO GUIDE</w:t>
      </w:r>
    </w:p>
    <w:p>
      <w:pPr>
        <w:pStyle w:val="Title"/>
      </w:pPr>
      <w:r>
        <w:t>Strategic Pursuits</w:t>
      </w:r>
    </w:p>
    <w:p>
      <w:pPr>
        <w:pStyle w:val="Subtitle"/>
      </w:pPr>
      <w:r>
        <w:t>End-to-end logic and walkthrough</w:t>
      </w:r>
    </w:p>
    <w:p>
      <w:pPr>
        <w:pStyle w:val="Metadata"/>
      </w:pPr>
      <w:r>
        <w:t>AI-assisted account and opportunity intelligence | Build 2.2, with All signals as the opening view</w:t>
      </w:r>
    </w:p>
    <w:p>
      <w:pPr>
        <w:pStyle w:val="Heading1"/>
      </w:pPr>
      <w:r>
        <w:t>1. What this project does</w:t>
      </w:r>
    </w:p>
    <w:p>
      <w:r>
        <w:t>Strategic Pursuits helps a sales, marketing or account-planning team decide which account–product combinations to investigate, why they deserve attention, and what kind of conversation to have next.</w:t>
      </w:r>
    </w:p>
    <w:p>
      <w:r>
        <w:rPr>
          <w:b/>
        </w:rPr>
        <w:t xml:space="preserve">The business question: </w:t>
      </w:r>
      <w:r>
        <w:t>“Which accounts and products should we investigate for strategic growth, and what evidence supports that pursuit?”</w:t>
      </w:r>
    </w:p>
    <w:p>
      <w:r>
        <w:t>A pursuit is one account paired with one product family. One account may have several pursuits. For example, a customer can have a Database modernization opportunity and Integration whitespace at the same time.</w:t>
      </w:r>
    </w:p>
    <w:p>
      <w:r>
        <w:rPr>
          <w:b/>
        </w:rPr>
        <w:t xml:space="preserve">Current scale: </w:t>
      </w:r>
      <w:r>
        <w:t>3,000 synthetic accounts × 7 product families = 21,000 combinations. Of these, 8,375 score at least 55 and are called strategic pursuits. They span 2,088 distinct accounts.</w:t>
      </w:r>
    </w:p>
    <w:p>
      <w:r>
        <w:rPr>
          <w:b/>
        </w:rPr>
        <w:t xml:space="preserve">Important: </w:t>
      </w:r>
      <w:r>
        <w:t>This is an explainable, rule-based demo—not a trained predictive model. A score of 87.6 does not mean an 87.6% chance of buying. The data and pipeline amounts are synthetic.</w:t>
      </w:r>
    </w:p>
    <w:p>
      <w:pPr>
        <w:pStyle w:val="Heading2"/>
      </w:pPr>
      <w:r>
        <w:t>How to use this guide</w:t>
      </w:r>
    </w:p>
    <w:p>
      <w:r>
        <w:t>Understand the data: sections 2–3. Learn the score: sections 4–6. Explain pursuit types: section 7. Read the dashboard: section 8. Rehearse a real example and demo: sections 9–10. Review delivery, testing and interview questions: section 11.</w:t>
      </w:r>
    </w:p>
    <w:p>
      <w:pPr>
        <w:pStyle w:val="Heading2"/>
      </w:pPr>
      <w:r>
        <w:t>How Project 2 differs from Project 1</w:t>
      </w:r>
    </w:p>
    <w:p>
      <w:r>
        <w:t>Project 1 focuses on a cross-sell campaign shortlist and excludes already-owned products and open opportunities. Project 2 is broader: it includes existing footprints and open pipeline to explore modernization, competitive activity, expansion and whitespace. Their scores are not directly comparable.</w:t>
      </w:r>
    </w:p>
    <w:p>
      <w:r>
        <w:br w:type="page"/>
      </w:r>
    </w:p>
    <w:p>
      <w:pPr>
        <w:pStyle w:val="Heading1"/>
      </w:pPr>
      <w:r>
        <w:t>2. From source data to the dashboard</w:t>
      </w:r>
    </w:p>
    <w:p>
      <w:r>
        <w:t>The analytical grain is account × product family. Account-only inputs are joined to all seven products for that account; product inputs join only to their matching account and product.</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E4E6EE"/>
          <w:bottom w:val="single" w:sz="4" w:color="E4E6EE"/>
          <w:left w:val="single" w:sz="4" w:color="E4E6EE"/>
          <w:right w:val="single" w:sz="4" w:color="E4E6EE"/>
          <w:insideH w:val="single" w:sz="4" w:color="E4E6EE"/>
          <w:insideV w:val="single" w:sz="4" w:color="E4E6EE"/>
        </w:tblBorders>
      </w:tblPr>
      <w:tblGrid>
        <w:gridCol w:w="2700"/>
        <w:gridCol w:w="1800"/>
        <w:gridCol w:w="4860"/>
      </w:tblGrid>
      <w:tr>
        <w:trPr>
          <w:cantSplit/>
          <w:tblHeader/>
        </w:trPr>
        <w:tc>
          <w:tcPr>
            <w:tcW w:type="dxa" w:w="2700"/>
            <w:vAlign w:val="center"/>
            <w:shd w:fill="EEEAFB"/>
          </w:tcPr>
          <w:p>
            <w:pPr>
              <w:pStyle w:val="TableText"/>
            </w:pPr>
            <w:r>
              <w:rPr>
                <w:b/>
              </w:rPr>
              <w:t>Input file</w:t>
            </w:r>
          </w:p>
        </w:tc>
        <w:tc>
          <w:tcPr>
            <w:tcW w:type="dxa" w:w="1800"/>
            <w:vAlign w:val="center"/>
            <w:shd w:fill="EEEAFB"/>
          </w:tcPr>
          <w:p>
            <w:pPr>
              <w:pStyle w:val="TableText"/>
            </w:pPr>
            <w:r>
              <w:rPr>
                <w:b/>
              </w:rPr>
              <w:t>Grain</w:t>
            </w:r>
          </w:p>
        </w:tc>
        <w:tc>
          <w:tcPr>
            <w:tcW w:type="dxa" w:w="4860"/>
            <w:vAlign w:val="center"/>
            <w:shd w:fill="EEEAFB"/>
          </w:tcPr>
          <w:p>
            <w:pPr>
              <w:pStyle w:val="TableText"/>
            </w:pPr>
            <w:r>
              <w:rPr>
                <w:b/>
              </w:rPr>
              <w:t>What it contributes</w:t>
            </w:r>
          </w:p>
        </w:tc>
      </w:tr>
      <w:tr>
        <w:trPr>
          <w:cantSplit/>
        </w:trPr>
        <w:tc>
          <w:tcPr>
            <w:tcW w:type="dxa" w:w="2700"/>
            <w:vAlign w:val="center"/>
          </w:tcPr>
          <w:p>
            <w:pPr>
              <w:pStyle w:val="TableText"/>
            </w:pPr>
            <w:r>
              <w:t>accounts.csv</w:t>
            </w:r>
          </w:p>
        </w:tc>
        <w:tc>
          <w:tcPr>
            <w:tcW w:type="dxa" w:w="1800"/>
            <w:vAlign w:val="center"/>
          </w:tcPr>
          <w:p>
            <w:pPr>
              <w:pStyle w:val="TableText"/>
            </w:pPr>
            <w:r>
              <w:t>Account</w:t>
            </w:r>
          </w:p>
        </w:tc>
        <w:tc>
          <w:tcPr>
            <w:tcW w:type="dxa" w:w="4860"/>
            <w:vAlign w:val="center"/>
          </w:tcPr>
          <w:p>
            <w:pPr>
              <w:pStyle w:val="TableText"/>
            </w:pPr>
            <w:r>
              <w:t>Name, region, industry, tier, revenue and employee count</w:t>
            </w:r>
          </w:p>
        </w:tc>
      </w:tr>
      <w:tr>
        <w:trPr>
          <w:cantSplit/>
        </w:trPr>
        <w:tc>
          <w:tcPr>
            <w:tcW w:type="dxa" w:w="2700"/>
            <w:vAlign w:val="center"/>
          </w:tcPr>
          <w:p>
            <w:pPr>
              <w:pStyle w:val="TableText"/>
            </w:pPr>
            <w:r>
              <w:t>product_footprint.csv</w:t>
            </w:r>
          </w:p>
        </w:tc>
        <w:tc>
          <w:tcPr>
            <w:tcW w:type="dxa" w:w="1800"/>
            <w:vAlign w:val="center"/>
          </w:tcPr>
          <w:p>
            <w:pPr>
              <w:pStyle w:val="TableText"/>
            </w:pPr>
            <w:r>
              <w:t>Account + product</w:t>
            </w:r>
          </w:p>
        </w:tc>
        <w:tc>
          <w:tcPr>
            <w:tcW w:type="dxa" w:w="4860"/>
            <w:vAlign w:val="center"/>
          </w:tcPr>
          <w:p>
            <w:pPr>
              <w:pStyle w:val="TableText"/>
            </w:pPr>
            <w:r>
              <w:t>Deployment and consumption; deployment drives whitespace and modernization</w:t>
            </w:r>
          </w:p>
        </w:tc>
      </w:tr>
      <w:tr>
        <w:trPr>
          <w:cantSplit/>
        </w:trPr>
        <w:tc>
          <w:tcPr>
            <w:tcW w:type="dxa" w:w="2700"/>
            <w:vAlign w:val="center"/>
          </w:tcPr>
          <w:p>
            <w:pPr>
              <w:pStyle w:val="TableText"/>
            </w:pPr>
            <w:r>
              <w:t>engagement_events.csv</w:t>
            </w:r>
          </w:p>
        </w:tc>
        <w:tc>
          <w:tcPr>
            <w:tcW w:type="dxa" w:w="1800"/>
            <w:vAlign w:val="center"/>
          </w:tcPr>
          <w:p>
            <w:pPr>
              <w:pStyle w:val="TableText"/>
            </w:pPr>
            <w:r>
              <w:t>Activity record</w:t>
            </w:r>
          </w:p>
        </w:tc>
        <w:tc>
          <w:tcPr>
            <w:tcW w:type="dxa" w:w="4860"/>
            <w:vAlign w:val="center"/>
          </w:tcPr>
          <w:p>
            <w:pPr>
              <w:pStyle w:val="TableText"/>
            </w:pPr>
            <w:r>
              <w:t>Account, channel and relative age; drives account intent</w:t>
            </w:r>
          </w:p>
        </w:tc>
      </w:tr>
      <w:tr>
        <w:trPr>
          <w:cantSplit/>
        </w:trPr>
        <w:tc>
          <w:tcPr>
            <w:tcW w:type="dxa" w:w="2700"/>
            <w:vAlign w:val="center"/>
          </w:tcPr>
          <w:p>
            <w:pPr>
              <w:pStyle w:val="TableText"/>
            </w:pPr>
            <w:r>
              <w:t>product_engagement.csv</w:t>
            </w:r>
          </w:p>
        </w:tc>
        <w:tc>
          <w:tcPr>
            <w:tcW w:type="dxa" w:w="1800"/>
            <w:vAlign w:val="center"/>
          </w:tcPr>
          <w:p>
            <w:pPr>
              <w:pStyle w:val="TableText"/>
            </w:pPr>
            <w:r>
              <w:t>Account + product</w:t>
            </w:r>
          </w:p>
        </w:tc>
        <w:tc>
          <w:tcPr>
            <w:tcW w:type="dxa" w:w="4860"/>
            <w:vAlign w:val="center"/>
          </w:tcPr>
          <w:p>
            <w:pPr>
              <w:pStyle w:val="TableText"/>
            </w:pPr>
            <w:r>
              <w:t>Synthetic engagement index, 0–100</w:t>
            </w:r>
          </w:p>
        </w:tc>
      </w:tr>
      <w:tr>
        <w:trPr>
          <w:cantSplit/>
        </w:trPr>
        <w:tc>
          <w:tcPr>
            <w:tcW w:type="dxa" w:w="2700"/>
            <w:vAlign w:val="center"/>
          </w:tcPr>
          <w:p>
            <w:pPr>
              <w:pStyle w:val="TableText"/>
            </w:pPr>
            <w:r>
              <w:t>competitors.csv</w:t>
            </w:r>
          </w:p>
        </w:tc>
        <w:tc>
          <w:tcPr>
            <w:tcW w:type="dxa" w:w="1800"/>
            <w:vAlign w:val="center"/>
          </w:tcPr>
          <w:p>
            <w:pPr>
              <w:pStyle w:val="TableText"/>
            </w:pPr>
            <w:r>
              <w:t>Competitor record</w:t>
            </w:r>
          </w:p>
        </w:tc>
        <w:tc>
          <w:tcPr>
            <w:tcW w:type="dxa" w:w="4860"/>
            <w:vAlign w:val="center"/>
          </w:tcPr>
          <w:p>
            <w:pPr>
              <w:pStyle w:val="TableText"/>
            </w:pPr>
            <w:r>
              <w:t>Competitor name and intensity for a product</w:t>
            </w:r>
          </w:p>
        </w:tc>
      </w:tr>
      <w:tr>
        <w:trPr>
          <w:cantSplit/>
        </w:trPr>
        <w:tc>
          <w:tcPr>
            <w:tcW w:type="dxa" w:w="2700"/>
            <w:vAlign w:val="center"/>
          </w:tcPr>
          <w:p>
            <w:pPr>
              <w:pStyle w:val="TableText"/>
            </w:pPr>
            <w:r>
              <w:t>opportunities.csv</w:t>
            </w:r>
          </w:p>
        </w:tc>
        <w:tc>
          <w:tcPr>
            <w:tcW w:type="dxa" w:w="1800"/>
            <w:vAlign w:val="center"/>
          </w:tcPr>
          <w:p>
            <w:pPr>
              <w:pStyle w:val="TableText"/>
            </w:pPr>
            <w:r>
              <w:t>Opportunity record</w:t>
            </w:r>
          </w:p>
        </w:tc>
        <w:tc>
          <w:tcPr>
            <w:tcW w:type="dxa" w:w="4860"/>
            <w:vAlign w:val="center"/>
          </w:tcPr>
          <w:p>
            <w:pPr>
              <w:pStyle w:val="TableText"/>
            </w:pPr>
            <w:r>
              <w:t>Product, amount and status; Open rows form pipeline</w:t>
            </w:r>
          </w:p>
        </w:tc>
      </w:tr>
    </w:tbl>
    <w:p>
      <w:pPr>
        <w:pStyle w:val="TableNote"/>
      </w:pPr>
      <w:r>
        <w:t>The original CSVs are preserved in data/source/. The actual, scenario-adjusted scoring inputs are exported to data/effective/.</w:t>
      </w:r>
    </w:p>
    <w:p>
      <w:pPr>
        <w:pStyle w:val="Heading2"/>
      </w:pPr>
      <w:r>
        <w:t>The processing sequence</w:t>
      </w:r>
    </w:p>
    <w:p>
      <w:pPr>
        <w:pStyle w:val="GuideNumber"/>
      </w:pPr>
      <w:r>
        <w:t>Load the six source tables and apply the documented, seeded synthetic scenarios.</w:t>
      </w:r>
    </w:p>
    <w:p>
      <w:pPr>
        <w:pStyle w:val="GuideNumber"/>
      </w:pPr>
      <w:r>
        <w:t>Check account links, required account–product coverage, allowed deployment states, ranges and opportunity statuses.</w:t>
      </w:r>
    </w:p>
    <w:p>
      <w:pPr>
        <w:pStyle w:val="GuideNumber"/>
      </w:pPr>
      <w:r>
        <w:t>Aggregate account activity, product engagement, competitor intensity and open product pipeline at the correct grain.</w:t>
      </w:r>
    </w:p>
    <w:p>
      <w:pPr>
        <w:pStyle w:val="GuideNumber"/>
      </w:pPr>
      <w:r>
        <w:t>Calculate seven signals; apply fixed weights; assign a score band, pursuit type and stable rank.</w:t>
      </w:r>
    </w:p>
    <w:p>
      <w:pPr>
        <w:pStyle w:val="GuideNumber"/>
      </w:pPr>
      <w:r>
        <w:t>Write the analytical CSV, audit and scenario manifest; embed the presentation data, styles and code into index.html.</w:t>
      </w:r>
    </w:p>
    <w:p>
      <w:pPr>
        <w:pStyle w:val="GuideNumber"/>
      </w:pPr>
      <w:r>
        <w:t>Use the browser to filter, inspect and export. Filters change the view, not the precomputed scores.</w:t>
      </w:r>
    </w:p>
    <w:p>
      <w:r>
        <w:br w:type="page"/>
      </w:r>
    </w:p>
    <w:p>
      <w:pPr>
        <w:pStyle w:val="Heading1"/>
      </w:pPr>
      <w:r>
        <w:t>3. How the synthetic data is designed</w:t>
      </w:r>
    </w:p>
    <w:p>
      <w:r>
        <w:t>The latest edition uses a fixed random seed (20260924) and buying-stage scenarios to make the portfolio more useful for demonstration. It does not assign score bands directly; every score is still calculated by the original formula.</w:t>
      </w:r>
    </w:p>
    <w:p>
      <w:pPr>
        <w:pStyle w:val="Heading2"/>
      </w:pPr>
      <w:r>
        <w:t>What stays unchanged</w:t>
      </w:r>
    </w:p>
    <w:p>
      <w:r>
        <w:t>The 3,000 account profiles, revenue, employees, industry, region, product footprints and non-open opportunities are preserved. All seven scoring weights and all band thresholds stay unchanged. In particular, 5,948 No Footprint records remain whitespace.</w:t>
      </w:r>
    </w:p>
    <w:p>
      <w:pPr>
        <w:pStyle w:val="Heading2"/>
      </w:pPr>
      <w:r>
        <w:t>What is regenerated</w:t>
      </w:r>
    </w:p>
    <w:p>
      <w:r>
        <w:t>Account activity, product-engagement indices, competitor records and Open opportunities are generated from Quiet, Exploring, Evaluating and Advanced evaluation scenarios. Original Open rows are replaced, not added twice.</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E4E6EE"/>
          <w:bottom w:val="single" w:sz="4" w:color="E4E6EE"/>
          <w:left w:val="single" w:sz="4" w:color="E4E6EE"/>
          <w:right w:val="single" w:sz="4" w:color="E4E6EE"/>
          <w:insideH w:val="single" w:sz="4" w:color="E4E6EE"/>
          <w:insideV w:val="single" w:sz="4" w:color="E4E6EE"/>
        </w:tblBorders>
      </w:tblPr>
      <w:tblGrid>
        <w:gridCol w:w="2700"/>
        <w:gridCol w:w="2040"/>
        <w:gridCol w:w="2460"/>
        <w:gridCol w:w="2160"/>
      </w:tblGrid>
      <w:tr>
        <w:trPr>
          <w:cantSplit/>
          <w:tblHeader/>
        </w:trPr>
        <w:tc>
          <w:tcPr>
            <w:tcW w:type="dxa" w:w="2700"/>
            <w:vAlign w:val="center"/>
            <w:shd w:fill="EEEAFB"/>
          </w:tcPr>
          <w:p>
            <w:pPr>
              <w:pStyle w:val="TableText"/>
            </w:pPr>
            <w:r>
              <w:rPr>
                <w:b/>
              </w:rPr>
              <w:t>Product stage</w:t>
            </w:r>
          </w:p>
        </w:tc>
        <w:tc>
          <w:tcPr>
            <w:tcW w:type="dxa" w:w="2040"/>
            <w:vAlign w:val="center"/>
            <w:shd w:fill="EEEAFB"/>
          </w:tcPr>
          <w:p>
            <w:pPr>
              <w:pStyle w:val="TableText"/>
              <w:jc w:val="right"/>
            </w:pPr>
            <w:r>
              <w:rPr>
                <w:b/>
              </w:rPr>
              <w:t>Engagement index</w:t>
            </w:r>
          </w:p>
        </w:tc>
        <w:tc>
          <w:tcPr>
            <w:tcW w:type="dxa" w:w="2460"/>
            <w:vAlign w:val="center"/>
            <w:shd w:fill="EEEAFB"/>
          </w:tcPr>
          <w:p>
            <w:pPr>
              <w:pStyle w:val="TableText"/>
              <w:jc w:val="right"/>
            </w:pPr>
            <w:r>
              <w:rPr>
                <w:b/>
              </w:rPr>
              <w:t>Open-pipeline chance</w:t>
            </w:r>
          </w:p>
        </w:tc>
        <w:tc>
          <w:tcPr>
            <w:tcW w:type="dxa" w:w="2160"/>
            <w:vAlign w:val="center"/>
            <w:shd w:fill="EEEAFB"/>
          </w:tcPr>
          <w:p>
            <w:pPr>
              <w:pStyle w:val="TableText"/>
              <w:jc w:val="right"/>
            </w:pPr>
            <w:r>
              <w:rPr>
                <w:b/>
              </w:rPr>
              <w:t>Amount range*</w:t>
            </w:r>
          </w:p>
        </w:tc>
      </w:tr>
      <w:tr>
        <w:trPr>
          <w:cantSplit/>
        </w:trPr>
        <w:tc>
          <w:tcPr>
            <w:tcW w:type="dxa" w:w="2700"/>
            <w:vAlign w:val="center"/>
          </w:tcPr>
          <w:p>
            <w:pPr>
              <w:pStyle w:val="TableText"/>
            </w:pPr>
            <w:r>
              <w:t>Quiet</w:t>
            </w:r>
          </w:p>
        </w:tc>
        <w:tc>
          <w:tcPr>
            <w:tcW w:type="dxa" w:w="2040"/>
            <w:vAlign w:val="center"/>
          </w:tcPr>
          <w:p>
            <w:pPr>
              <w:pStyle w:val="TableText"/>
              <w:jc w:val="right"/>
            </w:pPr>
            <w:r>
              <w:t>10–42</w:t>
            </w:r>
          </w:p>
        </w:tc>
        <w:tc>
          <w:tcPr>
            <w:tcW w:type="dxa" w:w="2460"/>
            <w:vAlign w:val="center"/>
          </w:tcPr>
          <w:p>
            <w:pPr>
              <w:pStyle w:val="TableText"/>
              <w:jc w:val="right"/>
            </w:pPr>
            <w:r>
              <w:t>5%</w:t>
            </w:r>
          </w:p>
        </w:tc>
        <w:tc>
          <w:tcPr>
            <w:tcW w:type="dxa" w:w="2160"/>
            <w:vAlign w:val="center"/>
          </w:tcPr>
          <w:p>
            <w:pPr>
              <w:pStyle w:val="TableText"/>
              <w:jc w:val="right"/>
            </w:pPr>
            <w:r>
              <w:t>0.5–5%</w:t>
            </w:r>
          </w:p>
        </w:tc>
      </w:tr>
      <w:tr>
        <w:trPr>
          <w:cantSplit/>
        </w:trPr>
        <w:tc>
          <w:tcPr>
            <w:tcW w:type="dxa" w:w="2700"/>
            <w:vAlign w:val="center"/>
          </w:tcPr>
          <w:p>
            <w:pPr>
              <w:pStyle w:val="TableText"/>
            </w:pPr>
            <w:r>
              <w:t>Exploring</w:t>
            </w:r>
          </w:p>
        </w:tc>
        <w:tc>
          <w:tcPr>
            <w:tcW w:type="dxa" w:w="2040"/>
            <w:vAlign w:val="center"/>
          </w:tcPr>
          <w:p>
            <w:pPr>
              <w:pStyle w:val="TableText"/>
              <w:jc w:val="right"/>
            </w:pPr>
            <w:r>
              <w:t>45–73</w:t>
            </w:r>
          </w:p>
        </w:tc>
        <w:tc>
          <w:tcPr>
            <w:tcW w:type="dxa" w:w="2460"/>
            <w:vAlign w:val="center"/>
          </w:tcPr>
          <w:p>
            <w:pPr>
              <w:pStyle w:val="TableText"/>
              <w:jc w:val="right"/>
            </w:pPr>
            <w:r>
              <w:t>28%</w:t>
            </w:r>
          </w:p>
        </w:tc>
        <w:tc>
          <w:tcPr>
            <w:tcW w:type="dxa" w:w="2160"/>
            <w:vAlign w:val="center"/>
          </w:tcPr>
          <w:p>
            <w:pPr>
              <w:pStyle w:val="TableText"/>
              <w:jc w:val="right"/>
            </w:pPr>
            <w:r>
              <w:t>4–22%</w:t>
            </w:r>
          </w:p>
        </w:tc>
      </w:tr>
      <w:tr>
        <w:trPr>
          <w:cantSplit/>
        </w:trPr>
        <w:tc>
          <w:tcPr>
            <w:tcW w:type="dxa" w:w="2700"/>
            <w:vAlign w:val="center"/>
          </w:tcPr>
          <w:p>
            <w:pPr>
              <w:pStyle w:val="TableText"/>
            </w:pPr>
            <w:r>
              <w:t>Evaluating</w:t>
            </w:r>
          </w:p>
        </w:tc>
        <w:tc>
          <w:tcPr>
            <w:tcW w:type="dxa" w:w="2040"/>
            <w:vAlign w:val="center"/>
          </w:tcPr>
          <w:p>
            <w:pPr>
              <w:pStyle w:val="TableText"/>
              <w:jc w:val="right"/>
            </w:pPr>
            <w:r>
              <w:t>76–94</w:t>
            </w:r>
          </w:p>
        </w:tc>
        <w:tc>
          <w:tcPr>
            <w:tcW w:type="dxa" w:w="2460"/>
            <w:vAlign w:val="center"/>
          </w:tcPr>
          <w:p>
            <w:pPr>
              <w:pStyle w:val="TableText"/>
              <w:jc w:val="right"/>
            </w:pPr>
            <w:r>
              <w:t>75%</w:t>
            </w:r>
          </w:p>
        </w:tc>
        <w:tc>
          <w:tcPr>
            <w:tcW w:type="dxa" w:w="2160"/>
            <w:vAlign w:val="center"/>
          </w:tcPr>
          <w:p>
            <w:pPr>
              <w:pStyle w:val="TableText"/>
              <w:jc w:val="right"/>
            </w:pPr>
            <w:r>
              <w:t>22–72%</w:t>
            </w:r>
          </w:p>
        </w:tc>
      </w:tr>
      <w:tr>
        <w:trPr>
          <w:cantSplit/>
        </w:trPr>
        <w:tc>
          <w:tcPr>
            <w:tcW w:type="dxa" w:w="2700"/>
            <w:vAlign w:val="center"/>
          </w:tcPr>
          <w:p>
            <w:pPr>
              <w:pStyle w:val="TableText"/>
            </w:pPr>
            <w:r>
              <w:t>Advanced evaluation</w:t>
            </w:r>
          </w:p>
        </w:tc>
        <w:tc>
          <w:tcPr>
            <w:tcW w:type="dxa" w:w="2040"/>
            <w:vAlign w:val="center"/>
          </w:tcPr>
          <w:p>
            <w:pPr>
              <w:pStyle w:val="TableText"/>
              <w:jc w:val="right"/>
            </w:pPr>
            <w:r>
              <w:t>97–100</w:t>
            </w:r>
          </w:p>
        </w:tc>
        <w:tc>
          <w:tcPr>
            <w:tcW w:type="dxa" w:w="2460"/>
            <w:vAlign w:val="center"/>
          </w:tcPr>
          <w:p>
            <w:pPr>
              <w:pStyle w:val="TableText"/>
              <w:jc w:val="right"/>
            </w:pPr>
            <w:r>
              <w:t>97%</w:t>
            </w:r>
          </w:p>
        </w:tc>
        <w:tc>
          <w:tcPr>
            <w:tcW w:type="dxa" w:w="2160"/>
            <w:vAlign w:val="center"/>
          </w:tcPr>
          <w:p>
            <w:pPr>
              <w:pStyle w:val="TableText"/>
              <w:jc w:val="right"/>
            </w:pPr>
            <w:r>
              <w:t>94–100%</w:t>
            </w:r>
          </w:p>
        </w:tc>
      </w:tr>
    </w:tbl>
    <w:p>
      <w:pPr>
        <w:pStyle w:val="TableNote"/>
      </w:pPr>
      <w:r>
        <w:t>*Fraction of a $15.5M synthetic deal-amount ceiling. These probabilities generate demo inputs; they are not purchase or win probabilities.</w:t>
      </w:r>
    </w:p>
    <w:p>
      <w:r>
        <w:t>Account-stage draws start at 22% Quiet, 33% Exploring, 34% Evaluating and 11% Advanced. High-fit accounts (fit ≥94) have a deliberate 65% chance of advanced-example assignment before the remaining draw. Their On-Premise products also receive additional advanced examples. This is intentional sampling, not a proven relationship between size and buying behavior.</w:t>
      </w:r>
    </w:p>
    <w:p>
      <w:r>
        <w:t>Quiet accounts have 3–10 older activity records; advanced accounts typically have 26–28 recent records. Product stages vary within each account, so not every product inherits the same scenario. Competition and pipeline tend to strengthen with stage, by assumption.</w:t>
      </w:r>
    </w:p>
    <w:p>
      <w:r>
        <w:rPr>
          <w:b/>
        </w:rPr>
        <w:t xml:space="preserve">Interpretation: </w:t>
      </w:r>
      <w:r>
        <w:t>The broader distribution is illustrative—not a claim that real customer populations have these proportions. The higher synthetic pipeline total is not growth achieved by the project. The saved version 2.1 can be restored for comparison.</w:t>
      </w:r>
    </w:p>
    <w:p>
      <w:r>
        <w:br w:type="page"/>
      </w:r>
    </w:p>
    <w:p>
      <w:pPr>
        <w:pStyle w:val="Heading1"/>
      </w:pPr>
      <w:r>
        <w:t>4. The scoring framework and customer fit</w:t>
      </w:r>
    </w:p>
    <w:p>
      <w:r>
        <w:t>Each raw signal is measured on a 0–100 scale. Multiply it by its weight to get its points contribution. Add the unrounded contributions, then round the total to one decimal.</w:t>
      </w:r>
    </w:p>
    <w:p>
      <w:pPr>
        <w:pStyle w:val="Formula"/>
      </w:pPr>
      <w:r>
        <w:t>Priority score = sum(raw signal × weight)</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E4E6EE"/>
          <w:bottom w:val="single" w:sz="4" w:color="E4E6EE"/>
          <w:left w:val="single" w:sz="4" w:color="E4E6EE"/>
          <w:right w:val="single" w:sz="4" w:color="E4E6EE"/>
          <w:insideH w:val="single" w:sz="4" w:color="E4E6EE"/>
          <w:insideV w:val="single" w:sz="4" w:color="E4E6EE"/>
        </w:tblBorders>
      </w:tblPr>
      <w:tblGrid>
        <w:gridCol w:w="5520"/>
        <w:gridCol w:w="1920"/>
        <w:gridCol w:w="1920"/>
      </w:tblGrid>
      <w:tr>
        <w:trPr>
          <w:cantSplit/>
          <w:tblHeader/>
        </w:trPr>
        <w:tc>
          <w:tcPr>
            <w:tcW w:type="dxa" w:w="5520"/>
            <w:vAlign w:val="center"/>
            <w:shd w:fill="EEEAFB"/>
          </w:tcPr>
          <w:p>
            <w:pPr>
              <w:pStyle w:val="TableText"/>
            </w:pPr>
            <w:r>
              <w:rPr>
                <w:b/>
              </w:rPr>
              <w:t>Signal</w:t>
            </w:r>
          </w:p>
        </w:tc>
        <w:tc>
          <w:tcPr>
            <w:tcW w:type="dxa" w:w="1920"/>
            <w:vAlign w:val="center"/>
            <w:shd w:fill="EEEAFB"/>
          </w:tcPr>
          <w:p>
            <w:pPr>
              <w:pStyle w:val="TableText"/>
              <w:jc w:val="right"/>
            </w:pPr>
            <w:r>
              <w:rPr>
                <w:b/>
              </w:rPr>
              <w:t>Weight</w:t>
            </w:r>
          </w:p>
        </w:tc>
        <w:tc>
          <w:tcPr>
            <w:tcW w:type="dxa" w:w="1920"/>
            <w:vAlign w:val="center"/>
            <w:shd w:fill="EEEAFB"/>
          </w:tcPr>
          <w:p>
            <w:pPr>
              <w:pStyle w:val="TableText"/>
              <w:jc w:val="right"/>
            </w:pPr>
            <w:r>
              <w:rPr>
                <w:b/>
              </w:rPr>
              <w:t>Maximum points</w:t>
            </w:r>
          </w:p>
        </w:tc>
      </w:tr>
      <w:tr>
        <w:trPr>
          <w:cantSplit/>
        </w:trPr>
        <w:tc>
          <w:tcPr>
            <w:tcW w:type="dxa" w:w="5520"/>
            <w:vAlign w:val="center"/>
          </w:tcPr>
          <w:p>
            <w:pPr>
              <w:pStyle w:val="TableText"/>
            </w:pPr>
            <w:r>
              <w:t>Customer fit</w:t>
            </w:r>
          </w:p>
        </w:tc>
        <w:tc>
          <w:tcPr>
            <w:tcW w:type="dxa" w:w="1920"/>
            <w:vAlign w:val="center"/>
          </w:tcPr>
          <w:p>
            <w:pPr>
              <w:pStyle w:val="TableText"/>
              <w:jc w:val="right"/>
            </w:pPr>
            <w:r>
              <w:t>20%</w:t>
            </w:r>
          </w:p>
        </w:tc>
        <w:tc>
          <w:tcPr>
            <w:tcW w:type="dxa" w:w="1920"/>
            <w:vAlign w:val="center"/>
          </w:tcPr>
          <w:p>
            <w:pPr>
              <w:pStyle w:val="TableText"/>
              <w:jc w:val="right"/>
            </w:pPr>
            <w:r>
              <w:t>20</w:t>
            </w:r>
          </w:p>
        </w:tc>
      </w:tr>
      <w:tr>
        <w:trPr>
          <w:cantSplit/>
        </w:trPr>
        <w:tc>
          <w:tcPr>
            <w:tcW w:type="dxa" w:w="5520"/>
            <w:vAlign w:val="center"/>
          </w:tcPr>
          <w:p>
            <w:pPr>
              <w:pStyle w:val="TableText"/>
            </w:pPr>
            <w:r>
              <w:t>Customer intent</w:t>
            </w:r>
          </w:p>
        </w:tc>
        <w:tc>
          <w:tcPr>
            <w:tcW w:type="dxa" w:w="1920"/>
            <w:vAlign w:val="center"/>
          </w:tcPr>
          <w:p>
            <w:pPr>
              <w:pStyle w:val="TableText"/>
              <w:jc w:val="right"/>
            </w:pPr>
            <w:r>
              <w:t>20%</w:t>
            </w:r>
          </w:p>
        </w:tc>
        <w:tc>
          <w:tcPr>
            <w:tcW w:type="dxa" w:w="1920"/>
            <w:vAlign w:val="center"/>
          </w:tcPr>
          <w:p>
            <w:pPr>
              <w:pStyle w:val="TableText"/>
              <w:jc w:val="right"/>
            </w:pPr>
            <w:r>
              <w:t>20</w:t>
            </w:r>
          </w:p>
        </w:tc>
      </w:tr>
      <w:tr>
        <w:trPr>
          <w:cantSplit/>
        </w:trPr>
        <w:tc>
          <w:tcPr>
            <w:tcW w:type="dxa" w:w="5520"/>
            <w:vAlign w:val="center"/>
          </w:tcPr>
          <w:p>
            <w:pPr>
              <w:pStyle w:val="TableText"/>
            </w:pPr>
            <w:r>
              <w:t>Product engagement</w:t>
            </w:r>
          </w:p>
        </w:tc>
        <w:tc>
          <w:tcPr>
            <w:tcW w:type="dxa" w:w="1920"/>
            <w:vAlign w:val="center"/>
          </w:tcPr>
          <w:p>
            <w:pPr>
              <w:pStyle w:val="TableText"/>
              <w:jc w:val="right"/>
            </w:pPr>
            <w:r>
              <w:t>15%</w:t>
            </w:r>
          </w:p>
        </w:tc>
        <w:tc>
          <w:tcPr>
            <w:tcW w:type="dxa" w:w="1920"/>
            <w:vAlign w:val="center"/>
          </w:tcPr>
          <w:p>
            <w:pPr>
              <w:pStyle w:val="TableText"/>
              <w:jc w:val="right"/>
            </w:pPr>
            <w:r>
              <w:t>15</w:t>
            </w:r>
          </w:p>
        </w:tc>
      </w:tr>
      <w:tr>
        <w:trPr>
          <w:cantSplit/>
        </w:trPr>
        <w:tc>
          <w:tcPr>
            <w:tcW w:type="dxa" w:w="5520"/>
            <w:vAlign w:val="center"/>
          </w:tcPr>
          <w:p>
            <w:pPr>
              <w:pStyle w:val="TableText"/>
            </w:pPr>
            <w:r>
              <w:t>Product whitespace</w:t>
            </w:r>
          </w:p>
        </w:tc>
        <w:tc>
          <w:tcPr>
            <w:tcW w:type="dxa" w:w="1920"/>
            <w:vAlign w:val="center"/>
          </w:tcPr>
          <w:p>
            <w:pPr>
              <w:pStyle w:val="TableText"/>
              <w:jc w:val="right"/>
            </w:pPr>
            <w:r>
              <w:t>10%</w:t>
            </w:r>
          </w:p>
        </w:tc>
        <w:tc>
          <w:tcPr>
            <w:tcW w:type="dxa" w:w="1920"/>
            <w:vAlign w:val="center"/>
          </w:tcPr>
          <w:p>
            <w:pPr>
              <w:pStyle w:val="TableText"/>
              <w:jc w:val="right"/>
            </w:pPr>
            <w:r>
              <w:t>10</w:t>
            </w:r>
          </w:p>
        </w:tc>
      </w:tr>
      <w:tr>
        <w:trPr>
          <w:cantSplit/>
        </w:trPr>
        <w:tc>
          <w:tcPr>
            <w:tcW w:type="dxa" w:w="5520"/>
            <w:vAlign w:val="center"/>
          </w:tcPr>
          <w:p>
            <w:pPr>
              <w:pStyle w:val="TableText"/>
            </w:pPr>
            <w:r>
              <w:t>Modernization</w:t>
            </w:r>
          </w:p>
        </w:tc>
        <w:tc>
          <w:tcPr>
            <w:tcW w:type="dxa" w:w="1920"/>
            <w:vAlign w:val="center"/>
          </w:tcPr>
          <w:p>
            <w:pPr>
              <w:pStyle w:val="TableText"/>
              <w:jc w:val="right"/>
            </w:pPr>
            <w:r>
              <w:t>15%</w:t>
            </w:r>
          </w:p>
        </w:tc>
        <w:tc>
          <w:tcPr>
            <w:tcW w:type="dxa" w:w="1920"/>
            <w:vAlign w:val="center"/>
          </w:tcPr>
          <w:p>
            <w:pPr>
              <w:pStyle w:val="TableText"/>
              <w:jc w:val="right"/>
            </w:pPr>
            <w:r>
              <w:t>15</w:t>
            </w:r>
          </w:p>
        </w:tc>
      </w:tr>
      <w:tr>
        <w:trPr>
          <w:cantSplit/>
        </w:trPr>
        <w:tc>
          <w:tcPr>
            <w:tcW w:type="dxa" w:w="5520"/>
            <w:vAlign w:val="center"/>
          </w:tcPr>
          <w:p>
            <w:pPr>
              <w:pStyle w:val="TableText"/>
            </w:pPr>
            <w:r>
              <w:t>Competitive intensity</w:t>
            </w:r>
          </w:p>
        </w:tc>
        <w:tc>
          <w:tcPr>
            <w:tcW w:type="dxa" w:w="1920"/>
            <w:vAlign w:val="center"/>
          </w:tcPr>
          <w:p>
            <w:pPr>
              <w:pStyle w:val="TableText"/>
              <w:jc w:val="right"/>
            </w:pPr>
            <w:r>
              <w:t>10%</w:t>
            </w:r>
          </w:p>
        </w:tc>
        <w:tc>
          <w:tcPr>
            <w:tcW w:type="dxa" w:w="1920"/>
            <w:vAlign w:val="center"/>
          </w:tcPr>
          <w:p>
            <w:pPr>
              <w:pStyle w:val="TableText"/>
              <w:jc w:val="right"/>
            </w:pPr>
            <w:r>
              <w:t>10</w:t>
            </w:r>
          </w:p>
        </w:tc>
      </w:tr>
      <w:tr>
        <w:trPr>
          <w:cantSplit/>
        </w:trPr>
        <w:tc>
          <w:tcPr>
            <w:tcW w:type="dxa" w:w="5520"/>
            <w:vAlign w:val="center"/>
          </w:tcPr>
          <w:p>
            <w:pPr>
              <w:pStyle w:val="TableText"/>
            </w:pPr>
            <w:r>
              <w:t>Product pipeline</w:t>
            </w:r>
          </w:p>
        </w:tc>
        <w:tc>
          <w:tcPr>
            <w:tcW w:type="dxa" w:w="1920"/>
            <w:vAlign w:val="center"/>
          </w:tcPr>
          <w:p>
            <w:pPr>
              <w:pStyle w:val="TableText"/>
              <w:jc w:val="right"/>
            </w:pPr>
            <w:r>
              <w:t>10%</w:t>
            </w:r>
          </w:p>
        </w:tc>
        <w:tc>
          <w:tcPr>
            <w:tcW w:type="dxa" w:w="1920"/>
            <w:vAlign w:val="center"/>
          </w:tcPr>
          <w:p>
            <w:pPr>
              <w:pStyle w:val="TableText"/>
              <w:jc w:val="right"/>
            </w:pPr>
            <w:r>
              <w:t>10</w:t>
            </w:r>
          </w:p>
        </w:tc>
      </w:tr>
    </w:tbl>
    <w:p>
      <w:pPr>
        <w:pStyle w:val="TableNote"/>
      </w:pPr>
      <w:r>
        <w:t>Weights total 100%. A 100-point scale does not imply that every pursuit type can reach 100.</w:t>
      </w:r>
    </w:p>
    <w:p>
      <w:pPr>
        <w:pStyle w:val="Heading2"/>
      </w:pPr>
      <w:r>
        <w:t>Customer fit: maximum 20 points</w:t>
      </w:r>
    </w:p>
    <w:p>
      <w:r>
        <w:t>Fit asks whether the account matches the chosen size and industry profile. It is account-level: the same fit value is used for every product belonging to that account.</w:t>
      </w:r>
    </w:p>
    <w:p>
      <w:pPr>
        <w:pStyle w:val="Formula"/>
      </w:pPr>
      <w:r>
        <w:t>Fit = 0.40 × revenue score + 0.30 × employee score</w:t>
        <w:br/>
        <w:t xml:space="preserve">      + 0.30 × industry score</w:t>
      </w:r>
    </w:p>
    <w:p>
      <w:r>
        <w:rPr>
          <w:b/>
        </w:rPr>
        <w:t xml:space="preserve">Revenue scores: </w:t>
      </w:r>
      <w:r>
        <w:t>At least $5B →100; $1B to below $5B →85; $500M to below $1B →65; below $500M →45.</w:t>
      </w:r>
    </w:p>
    <w:p>
      <w:r>
        <w:rPr>
          <w:b/>
        </w:rPr>
        <w:t xml:space="preserve">Employee scores: </w:t>
      </w:r>
      <w:r>
        <w:t>At least 25,000 →100; 10,000–24,999 →85; 5,000–9,999 →65; below 5,000 →45.</w:t>
      </w:r>
    </w:p>
    <w:p>
      <w:r>
        <w:rPr>
          <w:b/>
        </w:rPr>
        <w:t xml:space="preserve">Industry scores: </w:t>
      </w:r>
      <w:r>
        <w:t>Manufacturing, Financial Services, Telecommunications, Healthcare and Energy →100. Other industries →55.</w:t>
      </w:r>
    </w:p>
    <w:p>
      <w:r>
        <w:rPr>
          <w:b/>
        </w:rPr>
        <w:t xml:space="preserve">Example: </w:t>
      </w:r>
      <w:r>
        <w:t>Revenue score 85, employee score 65 and target-industry score 100 produce fit =34 +19.5 +30 =83.5. Its weighted contribution is 83.5 ×20% =16.7 points.</w:t>
      </w:r>
    </w:p>
    <w:p>
      <w:r>
        <w:t>The thresholds and target industries are business assumptions. Customer tier is displayed as context but is not directly included in the fit formula. No product-specific industry suitability model is used.</w:t>
      </w:r>
    </w:p>
    <w:p>
      <w:r>
        <w:br w:type="page"/>
      </w:r>
    </w:p>
    <w:p>
      <w:pPr>
        <w:pStyle w:val="Heading1"/>
      </w:pPr>
      <w:r>
        <w:t>5. Intent, product engagement and whitespace</w:t>
      </w:r>
    </w:p>
    <w:p>
      <w:pPr>
        <w:pStyle w:val="Heading2"/>
      </w:pPr>
      <w:r>
        <w:t>Customer intent: maximum 20 points</w:t>
      </w:r>
    </w:p>
    <w:p>
      <w:r>
        <w:t>Intent combines how much activity an account has with how recent that activity is. Available channels are Event, Webinar, Campaign, Website and Product Page. Channel labels are shown as evidence, but the scoring formula does not give different channels different weights.</w:t>
      </w:r>
    </w:p>
    <w:p>
      <w:pPr>
        <w:pStyle w:val="Formula"/>
      </w:pPr>
      <w:r>
        <w:t>Age multiplier = max(0.2, 1 − days_ago / 365 × 0.8)</w:t>
        <w:br/>
        <w:t>Weighted activity = sum of the age multipliers</w:t>
        <w:br/>
        <w:t>Intent = 70% × normalized weighted activity</w:t>
        <w:br/>
        <w:t xml:space="preserve">       + 30% × normalized event count</w:t>
      </w:r>
    </w:p>
    <w:p>
      <w:r>
        <w:t>For example, a record 30 relative days old contributes about 0.934 weighted activity; a record 365 days old contributes 0.2. Activity is account-wide and is shared across its seven products—not evidence of interest in each specific product.</w:t>
      </w:r>
    </w:p>
    <w:p>
      <w:pPr>
        <w:pStyle w:val="Heading2"/>
      </w:pPr>
      <w:r>
        <w:t>What “normalized” means</w:t>
      </w:r>
    </w:p>
    <w:p>
      <w:r>
        <w:t>Normalization maps the lowest portfolio value to 0 and the highest to 100: (value − minimum) ÷ (maximum − minimum) ×100. If every value is identical, the normalized value is 0. In this build, event counts range from 3 to 28, so a count of 20 normalizes to 68.</w:t>
      </w:r>
    </w:p>
    <w:p>
      <w:r>
        <w:t>Normalization is calculated over the full effective portfolio during the build. Filtering Database or APAC does not change an account’s score. Replacing the input portfolio can change its normalized score, even if that account’s own records remain unchanged.</w:t>
      </w:r>
    </w:p>
    <w:p>
      <w:pPr>
        <w:pStyle w:val="Heading2"/>
      </w:pPr>
      <w:r>
        <w:t>Product engagement: maximum 15 points</w:t>
      </w:r>
    </w:p>
    <w:p>
      <w:r>
        <w:t>This is a generated product-level index from 0 to 100. An index of 80 contributes 12 points. The file does not contain underlying raw product behaviors, so do not claim that the index represents a specific number of demos, clicks or users.</w:t>
      </w:r>
    </w:p>
    <w:p>
      <w:pPr>
        <w:pStyle w:val="Heading2"/>
      </w:pPr>
      <w:r>
        <w:t>Product whitespace: maximum 10 points</w:t>
      </w:r>
    </w:p>
    <w:p>
      <w:r>
        <w:t>No Footprint receives raw signal 100 and therefore 10 points. An existing Cloud, On-Premise or Hybrid footprint receives 0 whitespace points. Whitespace means a recorded product gap, not proven demand or an absence of all competitor products.</w:t>
      </w:r>
    </w:p>
    <w:p>
      <w:r>
        <w:rPr>
          <w:b/>
        </w:rPr>
        <w:t xml:space="preserve">Evidence limitation: </w:t>
      </w:r>
      <w:r>
        <w:t>Activity records have no unique event ID, contact ID or absolute date. They are not deduplicated into unique people. “28 records” means 28 input rows, not 28 prospects.</w:t>
      </w:r>
    </w:p>
    <w:p>
      <w:r>
        <w:br w:type="page"/>
      </w:r>
    </w:p>
    <w:p>
      <w:pPr>
        <w:pStyle w:val="Heading1"/>
      </w:pPr>
      <w:r>
        <w:t>6. Modernization, competition and pipeline</w:t>
      </w:r>
    </w:p>
    <w:p>
      <w:pPr>
        <w:pStyle w:val="Heading2"/>
      </w:pPr>
      <w:r>
        <w:t>Modernization: maximum 15 points</w:t>
      </w:r>
    </w:p>
    <w:p>
      <w:r>
        <w:t>This signal estimates whether the recorded deployment creates a reason to investigate a technology change. It is a rule, not a technical assessment of migration readiness.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E4E6EE"/>
          <w:bottom w:val="single" w:sz="4" w:color="E4E6EE"/>
          <w:left w:val="single" w:sz="4" w:color="E4E6EE"/>
          <w:right w:val="single" w:sz="4" w:color="E4E6EE"/>
          <w:insideH w:val="single" w:sz="4" w:color="E4E6EE"/>
          <w:insideV w:val="single" w:sz="4" w:color="E4E6EE"/>
        </w:tblBorders>
      </w:tblPr>
      <w:tblGrid>
        <w:gridCol w:w="5040"/>
        <w:gridCol w:w="2160"/>
        <w:gridCol w:w="2160"/>
      </w:tblGrid>
      <w:tr>
        <w:trPr>
          <w:cantSplit/>
          <w:tblHeader/>
        </w:trPr>
        <w:tc>
          <w:tcPr>
            <w:tcW w:type="dxa" w:w="5040"/>
            <w:vAlign w:val="center"/>
            <w:shd w:fill="EEEAFB"/>
          </w:tcPr>
          <w:p>
            <w:pPr>
              <w:pStyle w:val="TableText"/>
            </w:pPr>
            <w:r>
              <w:rPr>
                <w:b/>
              </w:rPr>
              <w:t>Recorded state</w:t>
            </w:r>
          </w:p>
        </w:tc>
        <w:tc>
          <w:tcPr>
            <w:tcW w:type="dxa" w:w="2160"/>
            <w:vAlign w:val="center"/>
            <w:shd w:fill="EEEAFB"/>
          </w:tcPr>
          <w:p>
            <w:pPr>
              <w:pStyle w:val="TableText"/>
              <w:jc w:val="right"/>
            </w:pPr>
            <w:r>
              <w:rPr>
                <w:b/>
              </w:rPr>
              <w:t>Raw modernization</w:t>
            </w:r>
          </w:p>
        </w:tc>
        <w:tc>
          <w:tcPr>
            <w:tcW w:type="dxa" w:w="2160"/>
            <w:vAlign w:val="center"/>
            <w:shd w:fill="EEEAFB"/>
          </w:tcPr>
          <w:p>
            <w:pPr>
              <w:pStyle w:val="TableText"/>
              <w:jc w:val="right"/>
            </w:pPr>
            <w:r>
              <w:rPr>
                <w:b/>
              </w:rPr>
              <w:t>Weighted points</w:t>
            </w:r>
          </w:p>
        </w:tc>
      </w:tr>
      <w:tr>
        <w:trPr>
          <w:cantSplit/>
        </w:trPr>
        <w:tc>
          <w:tcPr>
            <w:tcW w:type="dxa" w:w="5040"/>
            <w:vAlign w:val="center"/>
          </w:tcPr>
          <w:p>
            <w:pPr>
              <w:pStyle w:val="TableText"/>
            </w:pPr>
            <w:r>
              <w:t>On-Premise; engagement ≥60</w:t>
            </w:r>
          </w:p>
        </w:tc>
        <w:tc>
          <w:tcPr>
            <w:tcW w:type="dxa" w:w="2160"/>
            <w:vAlign w:val="center"/>
          </w:tcPr>
          <w:p>
            <w:pPr>
              <w:pStyle w:val="TableText"/>
              <w:jc w:val="right"/>
            </w:pPr>
            <w:r>
              <w:t>85</w:t>
            </w:r>
          </w:p>
        </w:tc>
        <w:tc>
          <w:tcPr>
            <w:tcW w:type="dxa" w:w="2160"/>
            <w:vAlign w:val="center"/>
          </w:tcPr>
          <w:p>
            <w:pPr>
              <w:pStyle w:val="TableText"/>
              <w:jc w:val="right"/>
            </w:pPr>
            <w:r>
              <w:t>12.75</w:t>
            </w:r>
          </w:p>
        </w:tc>
      </w:tr>
      <w:tr>
        <w:trPr>
          <w:cantSplit/>
        </w:trPr>
        <w:tc>
          <w:tcPr>
            <w:tcW w:type="dxa" w:w="5040"/>
            <w:vAlign w:val="center"/>
          </w:tcPr>
          <w:p>
            <w:pPr>
              <w:pStyle w:val="TableText"/>
            </w:pPr>
            <w:r>
              <w:t>On-Premise; engagement &lt;60</w:t>
            </w:r>
          </w:p>
        </w:tc>
        <w:tc>
          <w:tcPr>
            <w:tcW w:type="dxa" w:w="2160"/>
            <w:vAlign w:val="center"/>
          </w:tcPr>
          <w:p>
            <w:pPr>
              <w:pStyle w:val="TableText"/>
              <w:jc w:val="right"/>
            </w:pPr>
            <w:r>
              <w:t>55</w:t>
            </w:r>
          </w:p>
        </w:tc>
        <w:tc>
          <w:tcPr>
            <w:tcW w:type="dxa" w:w="2160"/>
            <w:vAlign w:val="center"/>
          </w:tcPr>
          <w:p>
            <w:pPr>
              <w:pStyle w:val="TableText"/>
              <w:jc w:val="right"/>
            </w:pPr>
            <w:r>
              <w:t>8.25</w:t>
            </w:r>
          </w:p>
        </w:tc>
      </w:tr>
      <w:tr>
        <w:trPr>
          <w:cantSplit/>
        </w:trPr>
        <w:tc>
          <w:tcPr>
            <w:tcW w:type="dxa" w:w="5040"/>
            <w:vAlign w:val="center"/>
          </w:tcPr>
          <w:p>
            <w:pPr>
              <w:pStyle w:val="TableText"/>
            </w:pPr>
            <w:r>
              <w:t>Hybrid</w:t>
            </w:r>
          </w:p>
        </w:tc>
        <w:tc>
          <w:tcPr>
            <w:tcW w:type="dxa" w:w="2160"/>
            <w:vAlign w:val="center"/>
          </w:tcPr>
          <w:p>
            <w:pPr>
              <w:pStyle w:val="TableText"/>
              <w:jc w:val="right"/>
            </w:pPr>
            <w:r>
              <w:t>65</w:t>
            </w:r>
          </w:p>
        </w:tc>
        <w:tc>
          <w:tcPr>
            <w:tcW w:type="dxa" w:w="2160"/>
            <w:vAlign w:val="center"/>
          </w:tcPr>
          <w:p>
            <w:pPr>
              <w:pStyle w:val="TableText"/>
              <w:jc w:val="right"/>
            </w:pPr>
            <w:r>
              <w:t>9.75</w:t>
            </w:r>
          </w:p>
        </w:tc>
      </w:tr>
      <w:tr>
        <w:trPr>
          <w:cantSplit/>
        </w:trPr>
        <w:tc>
          <w:tcPr>
            <w:tcW w:type="dxa" w:w="5040"/>
            <w:vAlign w:val="center"/>
          </w:tcPr>
          <w:p>
            <w:pPr>
              <w:pStyle w:val="TableText"/>
            </w:pPr>
            <w:r>
              <w:t>Cloud</w:t>
            </w:r>
          </w:p>
        </w:tc>
        <w:tc>
          <w:tcPr>
            <w:tcW w:type="dxa" w:w="2160"/>
            <w:vAlign w:val="center"/>
          </w:tcPr>
          <w:p>
            <w:pPr>
              <w:pStyle w:val="TableText"/>
              <w:jc w:val="right"/>
            </w:pPr>
            <w:r>
              <w:t>20</w:t>
            </w:r>
          </w:p>
        </w:tc>
        <w:tc>
          <w:tcPr>
            <w:tcW w:type="dxa" w:w="2160"/>
            <w:vAlign w:val="center"/>
          </w:tcPr>
          <w:p>
            <w:pPr>
              <w:pStyle w:val="TableText"/>
              <w:jc w:val="right"/>
            </w:pPr>
            <w:r>
              <w:t>3.00</w:t>
            </w:r>
          </w:p>
        </w:tc>
      </w:tr>
      <w:tr>
        <w:trPr>
          <w:cantSplit/>
        </w:trPr>
        <w:tc>
          <w:tcPr>
            <w:tcW w:type="dxa" w:w="5040"/>
            <w:vAlign w:val="center"/>
          </w:tcPr>
          <w:p>
            <w:pPr>
              <w:pStyle w:val="TableText"/>
            </w:pPr>
            <w:r>
              <w:t>No Footprint</w:t>
            </w:r>
          </w:p>
        </w:tc>
        <w:tc>
          <w:tcPr>
            <w:tcW w:type="dxa" w:w="2160"/>
            <w:vAlign w:val="center"/>
          </w:tcPr>
          <w:p>
            <w:pPr>
              <w:pStyle w:val="TableText"/>
              <w:jc w:val="right"/>
            </w:pPr>
            <w:r>
              <w:t>0</w:t>
            </w:r>
          </w:p>
        </w:tc>
        <w:tc>
          <w:tcPr>
            <w:tcW w:type="dxa" w:w="2160"/>
            <w:vAlign w:val="center"/>
          </w:tcPr>
          <w:p>
            <w:pPr>
              <w:pStyle w:val="TableText"/>
              <w:jc w:val="right"/>
            </w:pPr>
            <w:r>
              <w:t>0.00</w:t>
            </w:r>
          </w:p>
        </w:tc>
      </w:tr>
    </w:tbl>
    <w:p>
      <w:pPr>
        <w:pStyle w:val="TableNote"/>
      </w:pPr>
      <w:r>
        <w:t>Mixed Cloud and On-Premise records aggregate to Hybrid; explicit No Footprint is preserved. AI &amp; ML permits only Cloud or No Footprint in this demo.</w:t>
      </w:r>
    </w:p>
    <w:p>
      <w:pPr>
        <w:pStyle w:val="Heading2"/>
      </w:pPr>
      <w:r>
        <w:t>Competitive intensity: maximum 10 points</w:t>
      </w:r>
    </w:p>
    <w:p>
      <w:r>
        <w:t>Use the highest recorded competitor intensity for that account and product. An intensity of 80 contributes 8 points; several competitors are not added together. No competitor record contributes 0, but does not prove that no competition exists. High competition may indicate risk as well as displacement potential.</w:t>
      </w:r>
    </w:p>
    <w:p>
      <w:pPr>
        <w:pStyle w:val="Heading2"/>
      </w:pPr>
      <w:r>
        <w:t>Product pipeline: maximum 10 points</w:t>
      </w:r>
    </w:p>
    <w:p>
      <w:r>
        <w:t>Sum amounts for Open opportunities belonging to the same account and product. Normalize that total against the full portfolio and multiply by 10%. Won, Lost and Closed rows are excluded. The source weighted_amount field is not used; the dashboard shows unweighted pipeline.</w:t>
      </w:r>
    </w:p>
    <w:p>
      <w:r>
        <w:t>Current maximum product pipeline is $15,499,931; the minimum is zero. A product pipeline of $7.75M is therefore approximately a raw signal of 50 and a contribution of 5 points. USD is the inherited display assumption, not a source currency field.</w:t>
      </w:r>
    </w:p>
    <w:p>
      <w:pPr>
        <w:pStyle w:val="Heading2"/>
      </w:pPr>
      <w:r>
        <w:t>Rounding and ranking</w:t>
      </w:r>
    </w:p>
    <w:p>
      <w:r>
        <w:t>The total is rounded to one decimal with ties-to-even behavior. Bands use that rounded score. Ranking is score descending, then product pipeline descending, account ID and product name. The account panel shows global portfolio rank, which does not restart at 1 after filtering.</w:t>
      </w:r>
    </w:p>
    <w:p>
      <w:r>
        <w:rPr>
          <w:b/>
        </w:rPr>
        <w:t xml:space="preserve">Keep in mind: </w:t>
      </w:r>
      <w:r>
        <w:t>Existing open pipeline is included deliberately in Project 2. Coordinate with its sales owner; do not describe it as new revenue created by the recommendation.</w:t>
      </w:r>
    </w:p>
    <w:p>
      <w:r>
        <w:br w:type="page"/>
      </w:r>
    </w:p>
    <w:p>
      <w:pPr>
        <w:pStyle w:val="Heading1"/>
      </w:pPr>
      <w:r>
        <w:t>7. Pursuit types: meaning, rules and actions</w:t>
      </w:r>
    </w:p>
    <w:p>
      <w:r>
        <w:t>Pursuit type answers “What conversation should we investigate?” Score band answers “How strong are the combined signals?” These are different dimensions: a low-scoring record still has a pursuit type.</w:t>
      </w:r>
    </w:p>
    <w:p>
      <w:r>
        <w:rPr>
          <w:b/>
        </w:rPr>
        <w:t xml:space="preserve">Rule precedence: </w:t>
      </w:r>
      <w:r>
        <w:t>Whitespace first → otherwise Modernization → otherwise Competitive → otherwise Expansion. Each row gets exactly one type; this is not a multi-label classification.</w:t>
      </w:r>
    </w:p>
    <w:p>
      <w:pPr>
        <w:pStyle w:val="Heading2"/>
      </w:pPr>
      <w:r>
        <w:t>Whitespace — explore a new product footprint</w:t>
      </w:r>
    </w:p>
    <w:p>
      <w:r>
        <w:rPr>
          <w:b/>
        </w:rPr>
        <w:t xml:space="preserve">Rule: </w:t>
      </w:r>
      <w:r>
        <w:t>Deployment is No Footprint, regardless of competition or pipeline.</w:t>
      </w:r>
    </w:p>
    <w:p>
      <w:r>
        <w:t>Meaning: the account has no recorded footprint for this product family. Action: verify the gap, business need and existing account plans before a new-product conversation. Example: Synthetic Account 1143 / Integration scores 84.8, with No Footprint and an open product opportunity. It remains Whitespace; coordinate with the opportunity owner.</w:t>
      </w:r>
    </w:p>
    <w:p>
      <w:pPr>
        <w:pStyle w:val="Heading2"/>
      </w:pPr>
      <w:r>
        <w:t>Modernization — investigate a deployment change</w:t>
      </w:r>
    </w:p>
    <w:p>
      <w:r>
        <w:rPr>
          <w:b/>
        </w:rPr>
        <w:t xml:space="preserve">Rule: </w:t>
      </w:r>
      <w:r>
        <w:t>Not whitespace, and modernization signal is at least 65. This covers Hybrid and On-Premise with product engagement ≥60.</w:t>
      </w:r>
    </w:p>
    <w:p>
      <w:r>
        <w:t>Meaning: the installed deployment suggests a modernization discussion. Action: assess architecture, constraints, migration appetite and timing. Example: Synthetic Account 1853 / Database scores 87.6. It has On-Premise deployment, engagement 100 and competitive intensity 100, but Modernization takes precedence over Competitive.</w:t>
      </w:r>
    </w:p>
    <w:p>
      <w:pPr>
        <w:pStyle w:val="Heading2"/>
      </w:pPr>
      <w:r>
        <w:t>Competitive — investigate competitor activity</w:t>
      </w:r>
    </w:p>
    <w:p>
      <w:r>
        <w:rPr>
          <w:b/>
        </w:rPr>
        <w:t xml:space="preserve">Rule: </w:t>
      </w:r>
      <w:r>
        <w:t>Not whitespace, modernization below 65, and competitive intensity at least 60.</w:t>
      </w:r>
    </w:p>
    <w:p>
      <w:r>
        <w:t>Meaning: competitor activity may warrant investigation, not necessarily displacement. Action: confirm the competitor, incumbent relationship and account risk. Example: Synthetic Account 2011 / Applications scores 77.9, with Cloud deployment and intensity 100. Cloud modernization is only 20, so Competitive applies.</w:t>
      </w:r>
    </w:p>
    <w:p>
      <w:pPr>
        <w:pStyle w:val="Heading2"/>
      </w:pPr>
      <w:r>
        <w:t>Expansion — review growth within an existing footprint</w:t>
      </w:r>
    </w:p>
    <w:p>
      <w:r>
        <w:rPr>
          <w:b/>
        </w:rPr>
        <w:t xml:space="preserve">Rule: </w:t>
      </w:r>
      <w:r>
        <w:t>None of the earlier rules applies. It is the fallback category, not confirmed upsell readiness.</w:t>
      </w:r>
    </w:p>
    <w:p>
      <w:r>
        <w:t>Action: review adoption, unmet needs and the account plan. Example: Synthetic Account 2263 / Integration scores 67.6, with Cloud deployment and no competitor record. Note that low-engagement On-Premise accounts can also fall into Expansion, because their modernization signal is 55, below the classification threshold.</w:t>
      </w:r>
    </w:p>
    <w:p>
      <w:r>
        <w:br w:type="page"/>
      </w:r>
    </w:p>
    <w:p>
      <w:pPr>
        <w:pStyle w:val="Heading1"/>
      </w:pPr>
      <w:r>
        <w:t>8. Reading the dashboard correctly</w:t>
      </w:r>
    </w:p>
    <w:p>
      <w:pPr>
        <w:pStyle w:val="Heading2"/>
      </w:pPr>
      <w:r>
        <w:t>Overview versus Account Explorer</w:t>
      </w:r>
    </w:p>
    <w:p>
      <w:r>
        <w:t>Overview contains the summary cards and interactive charts only. Account Explorer contains the detailed shortlist, account evidence and CSV export. “Explore these accounts” opens that shortlist using the current filters. Methodology explains the rules and assumptions.</w:t>
      </w:r>
    </w:p>
    <w:p>
      <w:pPr>
        <w:pStyle w:val="Heading2"/>
      </w:pPr>
      <w:r>
        <w:t>All signals versus Strategic · 55+</w:t>
      </w:r>
    </w:p>
    <w:p>
      <w:r>
        <w:t>All signals is the default when opening or resetting the page: all 21,000 combinations are eligible for display. Strategic · 55+ limits the view to scores of 55 or more. Emerging and Not Prioritized then correctly show zero; their data has not disappeared.</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E4E6EE"/>
          <w:bottom w:val="single" w:sz="4" w:color="E4E6EE"/>
          <w:left w:val="single" w:sz="4" w:color="E4E6EE"/>
          <w:right w:val="single" w:sz="4" w:color="E4E6EE"/>
          <w:insideH w:val="single" w:sz="4" w:color="E4E6EE"/>
          <w:insideV w:val="single" w:sz="4" w:color="E4E6EE"/>
        </w:tblBorders>
      </w:tblPr>
      <w:tblGrid>
        <w:gridCol w:w="2460"/>
        <w:gridCol w:w="2100"/>
        <w:gridCol w:w="2880"/>
        <w:gridCol w:w="1920"/>
      </w:tblGrid>
      <w:tr>
        <w:trPr>
          <w:cantSplit/>
          <w:tblHeader/>
        </w:trPr>
        <w:tc>
          <w:tcPr>
            <w:tcW w:type="dxa" w:w="2460"/>
            <w:vAlign w:val="center"/>
            <w:shd w:fill="EEEAFB"/>
          </w:tcPr>
          <w:p>
            <w:pPr>
              <w:pStyle w:val="TableText"/>
            </w:pPr>
            <w:r>
              <w:rPr>
                <w:b/>
              </w:rPr>
              <w:t>Band</w:t>
            </w:r>
          </w:p>
        </w:tc>
        <w:tc>
          <w:tcPr>
            <w:tcW w:type="dxa" w:w="2100"/>
            <w:vAlign w:val="center"/>
            <w:shd w:fill="EEEAFB"/>
          </w:tcPr>
          <w:p>
            <w:pPr>
              <w:pStyle w:val="TableText"/>
            </w:pPr>
            <w:r>
              <w:rPr>
                <w:b/>
              </w:rPr>
              <w:t>Score range</w:t>
            </w:r>
          </w:p>
        </w:tc>
        <w:tc>
          <w:tcPr>
            <w:tcW w:type="dxa" w:w="2880"/>
            <w:vAlign w:val="center"/>
            <w:shd w:fill="EEEAFB"/>
          </w:tcPr>
          <w:p>
            <w:pPr>
              <w:pStyle w:val="TableText"/>
              <w:jc w:val="right"/>
            </w:pPr>
            <w:r>
              <w:rPr>
                <w:b/>
              </w:rPr>
              <w:t>Full-portfolio count</w:t>
            </w:r>
          </w:p>
        </w:tc>
        <w:tc>
          <w:tcPr>
            <w:tcW w:type="dxa" w:w="1920"/>
            <w:vAlign w:val="center"/>
            <w:shd w:fill="EEEAFB"/>
          </w:tcPr>
          <w:p>
            <w:pPr>
              <w:pStyle w:val="TableText"/>
              <w:jc w:val="right"/>
            </w:pPr>
            <w:r>
              <w:rPr>
                <w:b/>
              </w:rPr>
              <w:t>Share</w:t>
            </w:r>
          </w:p>
        </w:tc>
      </w:tr>
      <w:tr>
        <w:trPr>
          <w:cantSplit/>
        </w:trPr>
        <w:tc>
          <w:tcPr>
            <w:tcW w:type="dxa" w:w="2460"/>
            <w:vAlign w:val="center"/>
          </w:tcPr>
          <w:p>
            <w:pPr>
              <w:pStyle w:val="TableText"/>
            </w:pPr>
            <w:r>
              <w:t>Very Strong</w:t>
            </w:r>
          </w:p>
        </w:tc>
        <w:tc>
          <w:tcPr>
            <w:tcW w:type="dxa" w:w="2100"/>
            <w:vAlign w:val="center"/>
          </w:tcPr>
          <w:p>
            <w:pPr>
              <w:pStyle w:val="TableText"/>
            </w:pPr>
            <w:r>
              <w:t>85–100</w:t>
            </w:r>
          </w:p>
        </w:tc>
        <w:tc>
          <w:tcPr>
            <w:tcW w:type="dxa" w:w="2880"/>
            <w:vAlign w:val="center"/>
          </w:tcPr>
          <w:p>
            <w:pPr>
              <w:pStyle w:val="TableText"/>
              <w:jc w:val="right"/>
            </w:pPr>
            <w:r>
              <w:t>83</w:t>
            </w:r>
          </w:p>
        </w:tc>
        <w:tc>
          <w:tcPr>
            <w:tcW w:type="dxa" w:w="1920"/>
            <w:vAlign w:val="center"/>
          </w:tcPr>
          <w:p>
            <w:pPr>
              <w:pStyle w:val="TableText"/>
              <w:jc w:val="right"/>
            </w:pPr>
            <w:r>
              <w:t>0.4%</w:t>
            </w:r>
          </w:p>
        </w:tc>
      </w:tr>
      <w:tr>
        <w:trPr>
          <w:cantSplit/>
        </w:trPr>
        <w:tc>
          <w:tcPr>
            <w:tcW w:type="dxa" w:w="2460"/>
            <w:vAlign w:val="center"/>
          </w:tcPr>
          <w:p>
            <w:pPr>
              <w:pStyle w:val="TableText"/>
            </w:pPr>
            <w:r>
              <w:t>Strong</w:t>
            </w:r>
          </w:p>
        </w:tc>
        <w:tc>
          <w:tcPr>
            <w:tcW w:type="dxa" w:w="2100"/>
            <w:vAlign w:val="center"/>
          </w:tcPr>
          <w:p>
            <w:pPr>
              <w:pStyle w:val="TableText"/>
            </w:pPr>
            <w:r>
              <w:t>70–84.9</w:t>
            </w:r>
          </w:p>
        </w:tc>
        <w:tc>
          <w:tcPr>
            <w:tcW w:type="dxa" w:w="2880"/>
            <w:vAlign w:val="center"/>
          </w:tcPr>
          <w:p>
            <w:pPr>
              <w:pStyle w:val="TableText"/>
              <w:jc w:val="right"/>
            </w:pPr>
            <w:r>
              <w:t>2,665</w:t>
            </w:r>
          </w:p>
        </w:tc>
        <w:tc>
          <w:tcPr>
            <w:tcW w:type="dxa" w:w="1920"/>
            <w:vAlign w:val="center"/>
          </w:tcPr>
          <w:p>
            <w:pPr>
              <w:pStyle w:val="TableText"/>
              <w:jc w:val="right"/>
            </w:pPr>
            <w:r>
              <w:t>12.7%</w:t>
            </w:r>
          </w:p>
        </w:tc>
      </w:tr>
      <w:tr>
        <w:trPr>
          <w:cantSplit/>
        </w:trPr>
        <w:tc>
          <w:tcPr>
            <w:tcW w:type="dxa" w:w="2460"/>
            <w:vAlign w:val="center"/>
          </w:tcPr>
          <w:p>
            <w:pPr>
              <w:pStyle w:val="TableText"/>
            </w:pPr>
            <w:r>
              <w:t>Moderate</w:t>
            </w:r>
          </w:p>
        </w:tc>
        <w:tc>
          <w:tcPr>
            <w:tcW w:type="dxa" w:w="2100"/>
            <w:vAlign w:val="center"/>
          </w:tcPr>
          <w:p>
            <w:pPr>
              <w:pStyle w:val="TableText"/>
            </w:pPr>
            <w:r>
              <w:t>55–69.9</w:t>
            </w:r>
          </w:p>
        </w:tc>
        <w:tc>
          <w:tcPr>
            <w:tcW w:type="dxa" w:w="2880"/>
            <w:vAlign w:val="center"/>
          </w:tcPr>
          <w:p>
            <w:pPr>
              <w:pStyle w:val="TableText"/>
              <w:jc w:val="right"/>
            </w:pPr>
            <w:r>
              <w:t>5,627</w:t>
            </w:r>
          </w:p>
        </w:tc>
        <w:tc>
          <w:tcPr>
            <w:tcW w:type="dxa" w:w="1920"/>
            <w:vAlign w:val="center"/>
          </w:tcPr>
          <w:p>
            <w:pPr>
              <w:pStyle w:val="TableText"/>
              <w:jc w:val="right"/>
            </w:pPr>
            <w:r>
              <w:t>26.8%</w:t>
            </w:r>
          </w:p>
        </w:tc>
      </w:tr>
      <w:tr>
        <w:trPr>
          <w:cantSplit/>
        </w:trPr>
        <w:tc>
          <w:tcPr>
            <w:tcW w:type="dxa" w:w="2460"/>
            <w:vAlign w:val="center"/>
          </w:tcPr>
          <w:p>
            <w:pPr>
              <w:pStyle w:val="TableText"/>
            </w:pPr>
            <w:r>
              <w:t>Emerging</w:t>
            </w:r>
          </w:p>
        </w:tc>
        <w:tc>
          <w:tcPr>
            <w:tcW w:type="dxa" w:w="2100"/>
            <w:vAlign w:val="center"/>
          </w:tcPr>
          <w:p>
            <w:pPr>
              <w:pStyle w:val="TableText"/>
            </w:pPr>
            <w:r>
              <w:t>40–54.9</w:t>
            </w:r>
          </w:p>
        </w:tc>
        <w:tc>
          <w:tcPr>
            <w:tcW w:type="dxa" w:w="2880"/>
            <w:vAlign w:val="center"/>
          </w:tcPr>
          <w:p>
            <w:pPr>
              <w:pStyle w:val="TableText"/>
              <w:jc w:val="right"/>
            </w:pPr>
            <w:r>
              <w:t>6,238</w:t>
            </w:r>
          </w:p>
        </w:tc>
        <w:tc>
          <w:tcPr>
            <w:tcW w:type="dxa" w:w="1920"/>
            <w:vAlign w:val="center"/>
          </w:tcPr>
          <w:p>
            <w:pPr>
              <w:pStyle w:val="TableText"/>
              <w:jc w:val="right"/>
            </w:pPr>
            <w:r>
              <w:t>29.7%</w:t>
            </w:r>
          </w:p>
        </w:tc>
      </w:tr>
      <w:tr>
        <w:trPr>
          <w:cantSplit/>
        </w:trPr>
        <w:tc>
          <w:tcPr>
            <w:tcW w:type="dxa" w:w="2460"/>
            <w:vAlign w:val="center"/>
          </w:tcPr>
          <w:p>
            <w:pPr>
              <w:pStyle w:val="TableText"/>
            </w:pPr>
            <w:r>
              <w:t>Not Prioritized</w:t>
            </w:r>
          </w:p>
        </w:tc>
        <w:tc>
          <w:tcPr>
            <w:tcW w:type="dxa" w:w="2100"/>
            <w:vAlign w:val="center"/>
          </w:tcPr>
          <w:p>
            <w:pPr>
              <w:pStyle w:val="TableText"/>
            </w:pPr>
            <w:r>
              <w:t>0–39.9</w:t>
            </w:r>
          </w:p>
        </w:tc>
        <w:tc>
          <w:tcPr>
            <w:tcW w:type="dxa" w:w="2880"/>
            <w:vAlign w:val="center"/>
          </w:tcPr>
          <w:p>
            <w:pPr>
              <w:pStyle w:val="TableText"/>
              <w:jc w:val="right"/>
            </w:pPr>
            <w:r>
              <w:t>6,387</w:t>
            </w:r>
          </w:p>
        </w:tc>
        <w:tc>
          <w:tcPr>
            <w:tcW w:type="dxa" w:w="1920"/>
            <w:vAlign w:val="center"/>
          </w:tcPr>
          <w:p>
            <w:pPr>
              <w:pStyle w:val="TableText"/>
              <w:jc w:val="right"/>
            </w:pPr>
            <w:r>
              <w:t>30.4%</w:t>
            </w:r>
          </w:p>
        </w:tc>
      </w:tr>
    </w:tbl>
    <w:p>
      <w:pPr>
        <w:pStyle w:val="TableNote"/>
      </w:pPr>
      <w:r>
        <w:t>Not Prioritized means low current rule-based evidence—not an unimportant customer or a permanent exclusion. Counts above describe the unfiltered All signals view.</w:t>
      </w:r>
    </w:p>
    <w:p>
      <w:pPr>
        <w:pStyle w:val="Heading2"/>
      </w:pPr>
      <w:r>
        <w:t>What the four cards count</w:t>
      </w:r>
    </w:p>
    <w:p>
      <w:r>
        <w:rPr>
          <w:b/>
        </w:rPr>
        <w:t xml:space="preserve">Unique accounts: </w:t>
      </w:r>
      <w:r>
        <w:t>Distinct account IDs in the current view; one account is counted once even if several products match.</w:t>
      </w:r>
    </w:p>
    <w:p>
      <w:r>
        <w:rPr>
          <w:b/>
        </w:rPr>
        <w:t xml:space="preserve">Strategic pursuits: </w:t>
      </w:r>
      <w:r>
        <w:t>Matching account–product rows with scores ≥55. In All signals, this card still counts only 55+ rows, so it can be lower than the chart total.</w:t>
      </w:r>
    </w:p>
    <w:p>
      <w:r>
        <w:rPr>
          <w:b/>
        </w:rPr>
        <w:t xml:space="preserve">Product pipeline: </w:t>
      </w:r>
      <w:r>
        <w:t>Sum of Open amounts for the visible account–product rows, counted once at that grain. The full demo totals $87.60B; it is synthetic, not a forecast.</w:t>
      </w:r>
    </w:p>
    <w:p>
      <w:r>
        <w:rPr>
          <w:b/>
        </w:rPr>
        <w:t xml:space="preserve">Modernization pursuits: </w:t>
      </w:r>
      <w:r>
        <w:t>Matching rows of type Modernization, including low scores when All signals is selected. Its percentage uses all filtered combinations as the denominator.</w:t>
      </w:r>
    </w:p>
    <w:p>
      <w:r>
        <w:t>Different filters combine with AND. Multiple bands combine with OR; no selected bands means all. Chart shares use filtered combinations, not distinct accounts. In an unfiltered All signals view, each product has 3,000 rows by construction. Product charts, band charts and type cards are clickable filters; Reset filters restores All signals.</w:t>
      </w:r>
    </w:p>
    <w:p>
      <w:r>
        <w:br w:type="page"/>
      </w:r>
    </w:p>
    <w:p>
      <w:pPr>
        <w:pStyle w:val="Heading1"/>
      </w:pPr>
      <w:r>
        <w:t>9. Worked example: Account 1853 / Database</w:t>
      </w:r>
    </w:p>
    <w:p>
      <w:pPr>
        <w:pStyle w:val="Cue"/>
      </w:pPr>
      <w:r>
        <w:t>Find this record: Reset filters → Product family: Database → Find an account: A01853 → Explore these accounts. Select the Database row if needed.</w:t>
      </w:r>
    </w:p>
    <w:p>
      <w:r>
        <w:t>Synthetic Account 1853 is a Financial Services account in Latin America, with $8,106,228,235 annual revenue and 62,053 employees. Its Database deployment is On-Premise. Displayed priority: 87.6/100; band: Very Strong; pursuit type: Modernization.</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E4E6EE"/>
          <w:bottom w:val="single" w:sz="4" w:color="E4E6EE"/>
          <w:left w:val="single" w:sz="4" w:color="E4E6EE"/>
          <w:right w:val="single" w:sz="4" w:color="E4E6EE"/>
          <w:insideH w:val="single" w:sz="4" w:color="E4E6EE"/>
          <w:insideV w:val="single" w:sz="4" w:color="E4E6EE"/>
        </w:tblBorders>
      </w:tblPr>
      <w:tblGrid>
        <w:gridCol w:w="3540"/>
        <w:gridCol w:w="2100"/>
        <w:gridCol w:w="1440"/>
        <w:gridCol w:w="2280"/>
      </w:tblGrid>
      <w:tr>
        <w:trPr>
          <w:cantSplit/>
          <w:tblHeader/>
        </w:trPr>
        <w:tc>
          <w:tcPr>
            <w:tcW w:type="dxa" w:w="3540"/>
            <w:vAlign w:val="center"/>
            <w:shd w:fill="EEEAFB"/>
          </w:tcPr>
          <w:p>
            <w:pPr>
              <w:pStyle w:val="TableText"/>
            </w:pPr>
            <w:r>
              <w:rPr>
                <w:b/>
              </w:rPr>
              <w:t>Component</w:t>
            </w:r>
          </w:p>
        </w:tc>
        <w:tc>
          <w:tcPr>
            <w:tcW w:type="dxa" w:w="2100"/>
            <w:vAlign w:val="center"/>
            <w:shd w:fill="EEEAFB"/>
          </w:tcPr>
          <w:p>
            <w:pPr>
              <w:pStyle w:val="TableText"/>
              <w:jc w:val="right"/>
            </w:pPr>
            <w:r>
              <w:rPr>
                <w:b/>
              </w:rPr>
              <w:t>Raw signal</w:t>
            </w:r>
          </w:p>
        </w:tc>
        <w:tc>
          <w:tcPr>
            <w:tcW w:type="dxa" w:w="1440"/>
            <w:vAlign w:val="center"/>
            <w:shd w:fill="EEEAFB"/>
          </w:tcPr>
          <w:p>
            <w:pPr>
              <w:pStyle w:val="TableText"/>
              <w:jc w:val="right"/>
            </w:pPr>
            <w:r>
              <w:rPr>
                <w:b/>
              </w:rPr>
              <w:t>Weight</w:t>
            </w:r>
          </w:p>
        </w:tc>
        <w:tc>
          <w:tcPr>
            <w:tcW w:type="dxa" w:w="2280"/>
            <w:vAlign w:val="center"/>
            <w:shd w:fill="EEEAFB"/>
          </w:tcPr>
          <w:p>
            <w:pPr>
              <w:pStyle w:val="TableText"/>
              <w:jc w:val="right"/>
            </w:pPr>
            <w:r>
              <w:rPr>
                <w:b/>
              </w:rPr>
              <w:t>Points</w:t>
            </w:r>
          </w:p>
        </w:tc>
      </w:tr>
      <w:tr>
        <w:trPr>
          <w:cantSplit/>
        </w:trPr>
        <w:tc>
          <w:tcPr>
            <w:tcW w:type="dxa" w:w="3540"/>
            <w:vAlign w:val="center"/>
          </w:tcPr>
          <w:p>
            <w:pPr>
              <w:pStyle w:val="TableText"/>
            </w:pPr>
            <w:r>
              <w:t>Customer fit</w:t>
            </w:r>
          </w:p>
        </w:tc>
        <w:tc>
          <w:tcPr>
            <w:tcW w:type="dxa" w:w="2100"/>
            <w:vAlign w:val="center"/>
          </w:tcPr>
          <w:p>
            <w:pPr>
              <w:pStyle w:val="TableText"/>
              <w:jc w:val="right"/>
            </w:pPr>
            <w:r>
              <w:t>100.0000</w:t>
            </w:r>
          </w:p>
        </w:tc>
        <w:tc>
          <w:tcPr>
            <w:tcW w:type="dxa" w:w="1440"/>
            <w:vAlign w:val="center"/>
          </w:tcPr>
          <w:p>
            <w:pPr>
              <w:pStyle w:val="TableText"/>
              <w:jc w:val="right"/>
            </w:pPr>
            <w:r>
              <w:t>20%</w:t>
            </w:r>
          </w:p>
        </w:tc>
        <w:tc>
          <w:tcPr>
            <w:tcW w:type="dxa" w:w="2280"/>
            <w:vAlign w:val="center"/>
          </w:tcPr>
          <w:p>
            <w:pPr>
              <w:pStyle w:val="TableText"/>
              <w:jc w:val="right"/>
            </w:pPr>
            <w:r>
              <w:t>20.0000</w:t>
            </w:r>
          </w:p>
        </w:tc>
      </w:tr>
      <w:tr>
        <w:trPr>
          <w:cantSplit/>
        </w:trPr>
        <w:tc>
          <w:tcPr>
            <w:tcW w:type="dxa" w:w="3540"/>
            <w:vAlign w:val="center"/>
          </w:tcPr>
          <w:p>
            <w:pPr>
              <w:pStyle w:val="TableText"/>
            </w:pPr>
            <w:r>
              <w:t>Customer intent</w:t>
            </w:r>
          </w:p>
        </w:tc>
        <w:tc>
          <w:tcPr>
            <w:tcW w:type="dxa" w:w="2100"/>
            <w:vAlign w:val="center"/>
          </w:tcPr>
          <w:p>
            <w:pPr>
              <w:pStyle w:val="TableText"/>
              <w:jc w:val="right"/>
            </w:pPr>
            <w:r>
              <w:t>99.8245</w:t>
            </w:r>
          </w:p>
        </w:tc>
        <w:tc>
          <w:tcPr>
            <w:tcW w:type="dxa" w:w="1440"/>
            <w:vAlign w:val="center"/>
          </w:tcPr>
          <w:p>
            <w:pPr>
              <w:pStyle w:val="TableText"/>
              <w:jc w:val="right"/>
            </w:pPr>
            <w:r>
              <w:t>20%</w:t>
            </w:r>
          </w:p>
        </w:tc>
        <w:tc>
          <w:tcPr>
            <w:tcW w:type="dxa" w:w="2280"/>
            <w:vAlign w:val="center"/>
          </w:tcPr>
          <w:p>
            <w:pPr>
              <w:pStyle w:val="TableText"/>
              <w:jc w:val="right"/>
            </w:pPr>
            <w:r>
              <w:t>19.9649</w:t>
            </w:r>
          </w:p>
        </w:tc>
      </w:tr>
      <w:tr>
        <w:trPr>
          <w:cantSplit/>
        </w:trPr>
        <w:tc>
          <w:tcPr>
            <w:tcW w:type="dxa" w:w="3540"/>
            <w:vAlign w:val="center"/>
          </w:tcPr>
          <w:p>
            <w:pPr>
              <w:pStyle w:val="TableText"/>
            </w:pPr>
            <w:r>
              <w:t>Product engagement</w:t>
            </w:r>
          </w:p>
        </w:tc>
        <w:tc>
          <w:tcPr>
            <w:tcW w:type="dxa" w:w="2100"/>
            <w:vAlign w:val="center"/>
          </w:tcPr>
          <w:p>
            <w:pPr>
              <w:pStyle w:val="TableText"/>
              <w:jc w:val="right"/>
            </w:pPr>
            <w:r>
              <w:t>100.0000</w:t>
            </w:r>
          </w:p>
        </w:tc>
        <w:tc>
          <w:tcPr>
            <w:tcW w:type="dxa" w:w="1440"/>
            <w:vAlign w:val="center"/>
          </w:tcPr>
          <w:p>
            <w:pPr>
              <w:pStyle w:val="TableText"/>
              <w:jc w:val="right"/>
            </w:pPr>
            <w:r>
              <w:t>15%</w:t>
            </w:r>
          </w:p>
        </w:tc>
        <w:tc>
          <w:tcPr>
            <w:tcW w:type="dxa" w:w="2280"/>
            <w:vAlign w:val="center"/>
          </w:tcPr>
          <w:p>
            <w:pPr>
              <w:pStyle w:val="TableText"/>
              <w:jc w:val="right"/>
            </w:pPr>
            <w:r>
              <w:t>15.0000</w:t>
            </w:r>
          </w:p>
        </w:tc>
      </w:tr>
      <w:tr>
        <w:trPr>
          <w:cantSplit/>
        </w:trPr>
        <w:tc>
          <w:tcPr>
            <w:tcW w:type="dxa" w:w="3540"/>
            <w:vAlign w:val="center"/>
          </w:tcPr>
          <w:p>
            <w:pPr>
              <w:pStyle w:val="TableText"/>
            </w:pPr>
            <w:r>
              <w:t>Product whitespace</w:t>
            </w:r>
          </w:p>
        </w:tc>
        <w:tc>
          <w:tcPr>
            <w:tcW w:type="dxa" w:w="2100"/>
            <w:vAlign w:val="center"/>
          </w:tcPr>
          <w:p>
            <w:pPr>
              <w:pStyle w:val="TableText"/>
              <w:jc w:val="right"/>
            </w:pPr>
            <w:r>
              <w:t>0.0000</w:t>
            </w:r>
          </w:p>
        </w:tc>
        <w:tc>
          <w:tcPr>
            <w:tcW w:type="dxa" w:w="1440"/>
            <w:vAlign w:val="center"/>
          </w:tcPr>
          <w:p>
            <w:pPr>
              <w:pStyle w:val="TableText"/>
              <w:jc w:val="right"/>
            </w:pPr>
            <w:r>
              <w:t>10%</w:t>
            </w:r>
          </w:p>
        </w:tc>
        <w:tc>
          <w:tcPr>
            <w:tcW w:type="dxa" w:w="2280"/>
            <w:vAlign w:val="center"/>
          </w:tcPr>
          <w:p>
            <w:pPr>
              <w:pStyle w:val="TableText"/>
              <w:jc w:val="right"/>
            </w:pPr>
            <w:r>
              <w:t>0.0000</w:t>
            </w:r>
          </w:p>
        </w:tc>
      </w:tr>
      <w:tr>
        <w:trPr>
          <w:cantSplit/>
        </w:trPr>
        <w:tc>
          <w:tcPr>
            <w:tcW w:type="dxa" w:w="3540"/>
            <w:vAlign w:val="center"/>
          </w:tcPr>
          <w:p>
            <w:pPr>
              <w:pStyle w:val="TableText"/>
            </w:pPr>
            <w:r>
              <w:t>Modernization</w:t>
            </w:r>
          </w:p>
        </w:tc>
        <w:tc>
          <w:tcPr>
            <w:tcW w:type="dxa" w:w="2100"/>
            <w:vAlign w:val="center"/>
          </w:tcPr>
          <w:p>
            <w:pPr>
              <w:pStyle w:val="TableText"/>
              <w:jc w:val="right"/>
            </w:pPr>
            <w:r>
              <w:t>85.0000</w:t>
            </w:r>
          </w:p>
        </w:tc>
        <w:tc>
          <w:tcPr>
            <w:tcW w:type="dxa" w:w="1440"/>
            <w:vAlign w:val="center"/>
          </w:tcPr>
          <w:p>
            <w:pPr>
              <w:pStyle w:val="TableText"/>
              <w:jc w:val="right"/>
            </w:pPr>
            <w:r>
              <w:t>15%</w:t>
            </w:r>
          </w:p>
        </w:tc>
        <w:tc>
          <w:tcPr>
            <w:tcW w:type="dxa" w:w="2280"/>
            <w:vAlign w:val="center"/>
          </w:tcPr>
          <w:p>
            <w:pPr>
              <w:pStyle w:val="TableText"/>
              <w:jc w:val="right"/>
            </w:pPr>
            <w:r>
              <w:t>12.7500</w:t>
            </w:r>
          </w:p>
        </w:tc>
      </w:tr>
      <w:tr>
        <w:trPr>
          <w:cantSplit/>
        </w:trPr>
        <w:tc>
          <w:tcPr>
            <w:tcW w:type="dxa" w:w="3540"/>
            <w:vAlign w:val="center"/>
          </w:tcPr>
          <w:p>
            <w:pPr>
              <w:pStyle w:val="TableText"/>
            </w:pPr>
            <w:r>
              <w:t>Competitive intensity</w:t>
            </w:r>
          </w:p>
        </w:tc>
        <w:tc>
          <w:tcPr>
            <w:tcW w:type="dxa" w:w="2100"/>
            <w:vAlign w:val="center"/>
          </w:tcPr>
          <w:p>
            <w:pPr>
              <w:pStyle w:val="TableText"/>
              <w:jc w:val="right"/>
            </w:pPr>
            <w:r>
              <w:t>100.0000</w:t>
            </w:r>
          </w:p>
        </w:tc>
        <w:tc>
          <w:tcPr>
            <w:tcW w:type="dxa" w:w="1440"/>
            <w:vAlign w:val="center"/>
          </w:tcPr>
          <w:p>
            <w:pPr>
              <w:pStyle w:val="TableText"/>
              <w:jc w:val="right"/>
            </w:pPr>
            <w:r>
              <w:t>10%</w:t>
            </w:r>
          </w:p>
        </w:tc>
        <w:tc>
          <w:tcPr>
            <w:tcW w:type="dxa" w:w="2280"/>
            <w:vAlign w:val="center"/>
          </w:tcPr>
          <w:p>
            <w:pPr>
              <w:pStyle w:val="TableText"/>
              <w:jc w:val="right"/>
            </w:pPr>
            <w:r>
              <w:t>10.0000</w:t>
            </w:r>
          </w:p>
        </w:tc>
      </w:tr>
      <w:tr>
        <w:trPr>
          <w:cantSplit/>
        </w:trPr>
        <w:tc>
          <w:tcPr>
            <w:tcW w:type="dxa" w:w="3540"/>
            <w:vAlign w:val="center"/>
          </w:tcPr>
          <w:p>
            <w:pPr>
              <w:pStyle w:val="TableText"/>
            </w:pPr>
            <w:r>
              <w:t>Product pipeline</w:t>
            </w:r>
          </w:p>
        </w:tc>
        <w:tc>
          <w:tcPr>
            <w:tcW w:type="dxa" w:w="2100"/>
            <w:vAlign w:val="center"/>
          </w:tcPr>
          <w:p>
            <w:pPr>
              <w:pStyle w:val="TableText"/>
              <w:jc w:val="right"/>
            </w:pPr>
            <w:r>
              <w:t>99.0276</w:t>
            </w:r>
          </w:p>
        </w:tc>
        <w:tc>
          <w:tcPr>
            <w:tcW w:type="dxa" w:w="1440"/>
            <w:vAlign w:val="center"/>
          </w:tcPr>
          <w:p>
            <w:pPr>
              <w:pStyle w:val="TableText"/>
              <w:jc w:val="right"/>
            </w:pPr>
            <w:r>
              <w:t>10%</w:t>
            </w:r>
          </w:p>
        </w:tc>
        <w:tc>
          <w:tcPr>
            <w:tcW w:type="dxa" w:w="2280"/>
            <w:vAlign w:val="center"/>
          </w:tcPr>
          <w:p>
            <w:pPr>
              <w:pStyle w:val="TableText"/>
              <w:jc w:val="right"/>
            </w:pPr>
            <w:r>
              <w:t>9.9028</w:t>
            </w:r>
          </w:p>
        </w:tc>
      </w:tr>
    </w:tbl>
    <w:p>
      <w:pPr>
        <w:pStyle w:val="TableNote"/>
      </w:pPr>
      <w:r>
        <w:t>Unrounded total = 87.61765. Rounded to one decimal = 87.6. The dashboard shows component points to one decimal, so displayed components can add slightly differently.</w:t>
      </w:r>
    </w:p>
    <w:p>
      <w:pPr>
        <w:pStyle w:val="Heading2"/>
      </w:pPr>
      <w:r>
        <w:t>Explain the evidence in ordinary language</w:t>
      </w:r>
    </w:p>
    <w:p>
      <w:r>
        <w:t>Fit is 100 because revenue and employees exceed the top thresholds and Financial Services is a target industry. Account intent is about 99.8, based on 28 very recent account-wide activity records. The channel breakdown is 9 webinars, 8 product-page records, 3 website records, 4 events and 4 campaign records. All 28 fall within 90 relative days; the latest is 1 day old.</w:t>
      </w:r>
    </w:p>
    <w:p>
      <w:r>
        <w:t>Product engagement is a generated index of 100. There is no whitespace because Database is already present. On-Premise plus high engagement yields modernization 85. Competitor C is recorded with intensity 100. One open product opportunity totals $15,349,210, about 99.03% of the portfolio maximum.</w:t>
      </w:r>
    </w:p>
    <w:p>
      <w:r>
        <w:rPr>
          <w:b/>
        </w:rPr>
        <w:t xml:space="preserve">Suggested action: </w:t>
      </w:r>
      <w:r>
        <w:t>Review deployment constraints and migration appetite with the account and opportunity owners. Modernization wins the type classification even though the competitive signal is also high.</w:t>
      </w:r>
    </w:p>
    <w:p>
      <w:r>
        <w:rPr>
          <w:b/>
        </w:rPr>
        <w:t xml:space="preserve">Say carefully: </w:t>
      </w:r>
      <w:r>
        <w:t>“This is a high-priority synthetic example under our rules,” not “this customer has an 87.6% chance of buying.”</w:t>
      </w:r>
    </w:p>
    <w:p>
      <w:r>
        <w:br w:type="page"/>
      </w:r>
    </w:p>
    <w:p>
      <w:pPr>
        <w:pStyle w:val="Heading1"/>
      </w:pPr>
      <w:r>
        <w:t>10. A six-minute interview walkthrough</w:t>
      </w:r>
    </w:p>
    <w:p>
      <w:pPr>
        <w:pStyle w:val="Heading3"/>
      </w:pPr>
      <w:r>
        <w:t>0:00–0:40 | Frame the problem</w:t>
      </w:r>
    </w:p>
    <w:p>
      <w:pPr>
        <w:pStyle w:val="Cue"/>
      </w:pPr>
      <w:r>
        <w:rPr>
          <w:b/>
        </w:rPr>
        <w:t xml:space="preserve">Do: </w:t>
      </w:r>
      <w:r>
        <w:t>Open the demo and use Reset filters. Start in Overview / All signals.</w:t>
      </w:r>
    </w:p>
    <w:p>
      <w:r>
        <w:rPr>
          <w:b/>
        </w:rPr>
        <w:t xml:space="preserve">Say: </w:t>
      </w:r>
      <w:r>
        <w:t>“Strategic Pursuits helps an account team decide which account and product to investigate next, and why. I developed it with AI assistance as an explainable analytics portfolio project. It covers 3,000 synthetic accounts and seven products, so the analytical universe contains 21,000 combinations.”</w:t>
      </w:r>
    </w:p>
    <w:p>
      <w:pPr>
        <w:pStyle w:val="Heading3"/>
      </w:pPr>
      <w:r>
        <w:t>0:40–1:30 | Explain scope and the portfolio</w:t>
      </w:r>
    </w:p>
    <w:p>
      <w:pPr>
        <w:pStyle w:val="Cue"/>
      </w:pPr>
      <w:r>
        <w:rPr>
          <w:b/>
        </w:rPr>
        <w:t xml:space="preserve">Do: </w:t>
      </w:r>
      <w:r>
        <w:t>Point to the cards and score distribution. Toggle Strategic · 55+, then return to All signals.</w:t>
      </w:r>
    </w:p>
    <w:p>
      <w:r>
        <w:rPr>
          <w:b/>
        </w:rPr>
        <w:t xml:space="preserve">Say: </w:t>
      </w:r>
      <w:r>
        <w:t>“The full view includes low-signal records. Strategic focuses on scores of 55 or more. Those are two views of the same data. A pursuit is an account–product combination, so pursuit counts and unique-account counts answer different questions.”</w:t>
      </w:r>
    </w:p>
    <w:p>
      <w:pPr>
        <w:pStyle w:val="Heading3"/>
      </w:pPr>
      <w:r>
        <w:t>1:30–2:15 | Move from overview to investigation</w:t>
      </w:r>
    </w:p>
    <w:p>
      <w:pPr>
        <w:pStyle w:val="Cue"/>
      </w:pPr>
      <w:r>
        <w:rPr>
          <w:b/>
        </w:rPr>
        <w:t xml:space="preserve">Do: </w:t>
      </w:r>
      <w:r>
        <w:t>Choose Database, then select Explore these accounts. Search for A01853.</w:t>
      </w:r>
    </w:p>
    <w:p>
      <w:r>
        <w:rPr>
          <w:b/>
        </w:rPr>
        <w:t xml:space="preserve">Say: </w:t>
      </w:r>
      <w:r>
        <w:t>“Overview helps me understand the portfolio. Account Explorer lets me investigate the filtered shortlist. The filters carry across, and the account choices follow them. Scores were calculated during the analytical build; filters do not rescore the customer.”</w:t>
      </w:r>
    </w:p>
    <w:p>
      <w:pPr>
        <w:pStyle w:val="Heading3"/>
      </w:pPr>
      <w:r>
        <w:t>2:15–3:40 | Explain the example and pursuit type</w:t>
      </w:r>
    </w:p>
    <w:p>
      <w:pPr>
        <w:pStyle w:val="Cue"/>
      </w:pPr>
      <w:r>
        <w:rPr>
          <w:b/>
        </w:rPr>
        <w:t xml:space="preserve">Do: </w:t>
      </w:r>
      <w:r>
        <w:t>Show Account 1853’s seven contributions and expand Inspect the underlying signals.</w:t>
      </w:r>
    </w:p>
    <w:p>
      <w:r>
        <w:rPr>
          <w:b/>
        </w:rPr>
        <w:t xml:space="preserve">Say: </w:t>
      </w:r>
      <w:r>
        <w:t>“This Database pursuit scores 87.6. Fit, recent account activity, product engagement, competition and existing pipeline are strong. On-Premise deployment creates a modernization signal; there is no whitespace. Modernization is the suggested conversation type, while Very Strong describes its score band. The evidence distinguishes account-wide activity from the synthetic product index.”</w:t>
      </w:r>
    </w:p>
    <w:p>
      <w:pPr>
        <w:pStyle w:val="Heading3"/>
      </w:pPr>
      <w:r>
        <w:t>3:40–4:35 | Show the practical hand-off</w:t>
      </w:r>
    </w:p>
    <w:p>
      <w:pPr>
        <w:pStyle w:val="Cue"/>
      </w:pPr>
      <w:r>
        <w:rPr>
          <w:b/>
        </w:rPr>
        <w:t xml:space="preserve">Do: </w:t>
      </w:r>
      <w:r>
        <w:t>Clear the account search, retain Database, switch to Strategic · 55+, and export Top 50.</w:t>
      </w:r>
    </w:p>
    <w:p>
      <w:r>
        <w:rPr>
          <w:b/>
        </w:rPr>
        <w:t xml:space="preserve">Say: </w:t>
      </w:r>
      <w:r>
        <w:t>“The export takes up to 50 matching opportunities, ranked by priority score. It may contain several products for one account. It is a human review list, not automated outreach. Where pipeline already exists, the next step is coordination with the opportunity owner.”</w:t>
      </w:r>
    </w:p>
    <w:p>
      <w:pPr>
        <w:pStyle w:val="Heading3"/>
      </w:pPr>
      <w:r>
        <w:t>4:35–6:00 | Explain the implementation and limits</w:t>
      </w:r>
    </w:p>
    <w:p>
      <w:pPr>
        <w:pStyle w:val="Cue"/>
      </w:pPr>
      <w:r>
        <w:rPr>
          <w:b/>
        </w:rPr>
        <w:t xml:space="preserve">Do: </w:t>
      </w:r>
      <w:r>
        <w:t>Open Methodology and summarize the documented assumptions.</w:t>
      </w:r>
    </w:p>
    <w:p>
      <w:r>
        <w:rPr>
          <w:b/>
        </w:rPr>
        <w:t xml:space="preserve">Say: </w:t>
      </w:r>
      <w:r>
        <w:t>“Python prepares and scores the data; the browser presents a self-contained HTML demo. AI assisted implementation. My role is reviewing business logic, challenging the output and making the explanation usable. We corrected footprint and pipeline aggregation, then broadened synthetic scenarios for demonstration. Before production I would validate governed data, ranking quality and user feedback. I have not demonstrated conversion accuracy or revenue uplift.”</w:t>
      </w:r>
    </w:p>
    <w:p>
      <w:r>
        <w:br w:type="page"/>
      </w:r>
    </w:p>
    <w:p>
      <w:pPr>
        <w:pStyle w:val="Heading1"/>
      </w:pPr>
      <w:r>
        <w:t>11. Delivery, validation and interview questions</w:t>
      </w:r>
    </w:p>
    <w:p>
      <w:pPr>
        <w:pStyle w:val="Heading2"/>
      </w:pPr>
      <w:r>
        <w:t>How to open, share and update it</w:t>
      </w:r>
    </w:p>
    <w:p>
      <w:r>
        <w:t>Double-click index.html in a normal browser with JavaScript enabled. The file embeds its data, styling and application code; it does not require Python, a server, an installer, an API key or an internet connection to run. Share that file for an offline demo, or publish it through GitHub Pages. The localhost preview address works only while its local server is running; it is not a public interview link.</w:t>
      </w:r>
    </w:p>
    <w:p>
      <w:r>
        <w:t>For a portfolio repository, include the source data, build, tests and documentation as well. Edit source inputs or assets, then rebuild index.html. Changing a source CSV alone does not update the already-published page.</w:t>
      </w:r>
    </w:p>
    <w:p>
      <w:pPr>
        <w:pStyle w:val="Formula"/>
      </w:pPr>
      <w:r>
        <w:t>python build.py</w:t>
        <w:br/>
        <w:t>python -m unittest discover -s tests -p "test_*.py"</w:t>
        <w:br/>
        <w:t>node tests/test_client.cjs</w:t>
      </w:r>
    </w:p>
    <w:p>
      <w:r>
        <w:t>Python 3.10+ is needed only for rebuilding; Node is needed only for client tests. In the package, build.py applies checks and scoring; demo_scenarios.py defines the illustrative stages; assets/ contains the editable interface. data/audit.json and data/demo-scenarios.json provide lineage and reconciliation.</w:t>
      </w:r>
    </w:p>
    <w:p>
      <w:pPr>
        <w:pStyle w:val="Heading2"/>
      </w:pPr>
      <w:r>
        <w:t>What has been checked</w:t>
      </w:r>
    </w:p>
    <w:p>
      <w:r>
        <w:t>The project has 26 Python tests plus JavaScript checks covering boundaries, deployment, classifications, reproducibility, source preservation, rankings, filter logic, CSV escaping and pipeline reconciliation. Browser checks confirmed separate views, retained filters, all five opening bands and Reset behavior. These tests validate implementation—not real-world predictive accuracy.</w:t>
      </w:r>
    </w:p>
    <w:p>
      <w:pPr>
        <w:pStyle w:val="Heading2"/>
      </w:pPr>
      <w:r>
        <w:t>Questions to be ready for</w:t>
      </w:r>
    </w:p>
    <w:p>
      <w:r>
        <w:rPr>
          <w:b/>
        </w:rPr>
        <w:t xml:space="preserve">“Why these weights?” </w:t>
      </w:r>
      <w:r>
        <w:t>They are transparent starting assumptions inherited from the project, not learned or validated coefficients. I would review them with business stakeholders and evaluate alternatives against a baseline.</w:t>
      </w:r>
    </w:p>
    <w:p>
      <w:r>
        <w:rPr>
          <w:b/>
        </w:rPr>
        <w:t xml:space="preserve">“Is AI generating the recommendations live?” </w:t>
      </w:r>
      <w:r>
        <w:t>No. AI assisted development; the app runs deterministic scoring results and factual evidence templates. There are no live model calls.</w:t>
      </w:r>
    </w:p>
    <w:p>
      <w:r>
        <w:rPr>
          <w:b/>
        </w:rPr>
        <w:t xml:space="preserve">“What did you personally do?” </w:t>
      </w:r>
      <w:r>
        <w:t>Describe only your actual work: shaping the business question, reviewing results, challenging the distribution, requesting usable filters and clearer explanations. Do not claim to have independently coded or personally executed work performed with AI.</w:t>
      </w:r>
    </w:p>
    <w:p>
      <w:r>
        <w:rPr>
          <w:b/>
        </w:rPr>
        <w:t xml:space="preserve">“What would you improve for production?” </w:t>
      </w:r>
      <w:r>
        <w:t>Add explicit snapshots, currency, event identity and missing-data handling; examine overlapping signals and normalization sensitivity; compare top-N quality using time-separated outcomes; validate with account owners.</w:t>
      </w:r>
    </w:p>
    <w:p>
      <w:r>
        <w:rPr>
          <w:b/>
        </w:rPr>
        <w:t xml:space="preserve">Final rehearsal check: </w:t>
      </w:r>
      <w:r>
        <w:t>Know the difference between score, band and type; explain 87.6 without reading; demonstrate scope and filter changes; test your shareable link and CSV export; state that the data is synthetic.</w:t>
      </w:r>
    </w:p>
    <w:p>
      <w:pPr>
        <w:pStyle w:val="Metadata"/>
      </w:pPr>
      <w:r>
        <w:t>Reference sources: current build.py, demo_scenarios.py, assets/core.js, assets/app.js, data/audit.json and project documentation. This guide describes the current Project 2 implementation, not a universal sales-scoring standard.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Reference edition · 25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STRATEGIC PURSUITS  /  PROJECT 2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lvl w:ilvl="0">
      <w:start w:val="1"/>
      <w:numFmt w:val="bullet"/>
      <w:lvlText w:val="•"/>
      <w:lvlJc w:val="left"/>
      <w:pPr>
        <w:tabs>
          <w:tab w:val="num" w:pos="720"/>
        </w:tabs>
        <w:ind w:left="720" w:hanging="360"/>
        <w:spacing w:before="0" w:after="160" w:line="280" w:lineRule="auto"/>
      </w:pPr>
    </w:lvl>
  </w:abstractNum>
  <w:num w:numId="70">
    <w:abstractNumId w:val="70"/>
  </w:num>
  <w:abstractNum w:abstractNumId="71">
    <w:lvl w:ilvl="0">
      <w:start w:val="1"/>
      <w:numFmt w:val="decimal"/>
      <w:lvlText w:val="%1."/>
      <w:lvlJc w:val="left"/>
      <w:pPr>
        <w:tabs>
          <w:tab w:val="num" w:pos="720"/>
        </w:tabs>
        <w:ind w:left="720" w:hanging="360"/>
        <w:spacing w:before="0" w:after="160" w:line="280" w:lineRule="auto"/>
      </w:pPr>
    </w:lvl>
  </w:abstract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b w:val="0"/>
      <w:color w:val="202A40"/>
      <w:sz w:val="22"/>
    </w:rPr>
  </w:style>
  <w:style w:type="paragraph" w:styleId="Header">
    <w:name w:val="header"/>
    <w:basedOn w:val="Normal"/>
    <w:link w:val="HeaderChar"/>
    <w:uiPriority w:val="99"/>
    <w:unhideWhenUsed/>
    <w:rsid w:val="00E618BF"/>
    <w:pPr>
      <w:widowControl/>
      <w:tabs>
        <w:tab w:val="center" w:pos="4680"/>
        <w:tab w:val="right" w:pos="9360"/>
      </w:tabs>
      <w:spacing w:after="0" w:line="264" w:lineRule="auto" w:before="0"/>
    </w:pPr>
    <w:rPr>
      <w:rFonts w:ascii="Calibri" w:hAnsi="Calibri"/>
      <w:b w:val="0"/>
      <w:color w:val="6A7285"/>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64" w:lineRule="auto" w:before="0"/>
    </w:pPr>
    <w:rPr>
      <w:rFonts w:ascii="Calibri" w:hAnsi="Calibri"/>
      <w:b w:val="0"/>
      <w:color w:val="6A7285"/>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b/>
      <w:bCs/>
      <w:color w:val="182138"/>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b/>
      <w:bCs/>
      <w:color w:val="7059CA"/>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b/>
      <w:bCs/>
      <w:color w:val="18213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b/>
      <w:color w:val="18213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264" w:lineRule="auto"/>
    </w:pPr>
    <w:rPr>
      <w:rFonts w:asciiTheme="majorHAnsi" w:eastAsiaTheme="majorEastAsia" w:hAnsiTheme="majorHAnsi" w:cstheme="majorBidi" w:ascii="Calibri" w:hAnsi="Calibri"/>
      <w:b w:val="0"/>
      <w:i/>
      <w:iCs/>
      <w:color w:val="7059C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widowControl/>
      <w:spacing w:before="0" w:after="120" w:line="264" w:lineRule="auto"/>
    </w:pPr>
    <w:rPr>
      <w:rFonts w:ascii="Calibri" w:hAnsi="Calibri"/>
      <w:b w:val="0"/>
      <w:color w:val="6A7285"/>
      <w:sz w:val="20"/>
    </w:rPr>
  </w:style>
  <w:style w:type="paragraph" w:customStyle="1" w:styleId="Cue">
    <w:name w:val="Cue"/>
    <w:pPr>
      <w:keepNext/>
      <w:widowControl/>
      <w:spacing w:before="0" w:after="100" w:line="264" w:lineRule="auto"/>
    </w:pPr>
    <w:rPr>
      <w:rFonts w:ascii="Calibri" w:hAnsi="Calibri"/>
      <w:b w:val="0"/>
      <w:color w:val="6A7285"/>
      <w:sz w:val="20"/>
    </w:rPr>
  </w:style>
  <w:style w:type="paragraph" w:customStyle="1" w:styleId="TableText">
    <w:name w:val="Table Text"/>
    <w:pPr>
      <w:widowControl/>
      <w:spacing w:before="0" w:after="80" w:line="264" w:lineRule="auto"/>
    </w:pPr>
    <w:rPr>
      <w:rFonts w:ascii="Calibri" w:hAnsi="Calibri"/>
      <w:b w:val="0"/>
      <w:color w:val="202A40"/>
      <w:sz w:val="20"/>
    </w:rPr>
  </w:style>
  <w:style w:type="paragraph" w:customStyle="1" w:styleId="TableNote">
    <w:name w:val="Table Note"/>
    <w:pPr>
      <w:widowControl/>
      <w:spacing w:before="80" w:after="80" w:line="264" w:lineRule="auto"/>
    </w:pPr>
    <w:rPr>
      <w:rFonts w:ascii="Calibri" w:hAnsi="Calibri"/>
      <w:b w:val="0"/>
      <w:color w:val="6A7285"/>
      <w:sz w:val="20"/>
    </w:rPr>
  </w:style>
  <w:style w:type="paragraph" w:customStyle="1" w:styleId="Formula">
    <w:name w:val="Formula"/>
    <w:pPr>
      <w:widowControl/>
      <w:spacing w:before="80" w:after="160" w:line="264" w:lineRule="auto"/>
    </w:pPr>
    <w:rPr>
      <w:rFonts w:ascii="Consolas" w:hAnsi="Consolas"/>
      <w:b w:val="0"/>
      <w:color w:val="182138"/>
      <w:sz w:val="20"/>
    </w:rPr>
  </w:style>
  <w:style w:type="paragraph" w:customStyle="1" w:styleId="GuideBullet">
    <w:name w:val="Guide Bullet"/>
    <w:pPr>
      <w:widowControl/>
      <w:spacing w:before="0" w:after="160" w:line="280" w:lineRule="auto"/>
      <w:numPr>
        <w:ilvl w:val="0"/>
        <w:numId w:val="70"/>
      </w:numPr>
      <w:ind w:left="720" w:hanging="360"/>
    </w:pPr>
    <w:rPr>
      <w:rFonts w:ascii="Calibri" w:hAnsi="Calibri"/>
      <w:b w:val="0"/>
      <w:color w:val="202A40"/>
      <w:sz w:val="22"/>
    </w:rPr>
  </w:style>
  <w:style w:type="paragraph" w:customStyle="1" w:styleId="GuideNumber">
    <w:name w:val="Guide Number"/>
    <w:pPr>
      <w:widowControl/>
      <w:spacing w:before="0" w:after="160" w:line="280" w:lineRule="auto"/>
      <w:numPr>
        <w:ilvl w:val="0"/>
        <w:numId w:val="71"/>
      </w:numPr>
      <w:ind w:left="720" w:hanging="360"/>
    </w:pPr>
    <w:rPr>
      <w:rFonts w:ascii="Calibri" w:hAnsi="Calibri"/>
      <w:b w:val="0"/>
      <w:color w:val="202A4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Pursuits — Complete Logic and Walkthrough</dc:title>
  <dc:subject>Project 2 end-to-end analytics reference and interview guide</dc:subject>
  <dc:creator>Vikas</dc:creator>
  <cp:keywords>analytics, account intelligence, strategic pursuits, walkthrough, synthetic data</cp:keywords>
  <dc:description>generated by python-docx</dc:description>
  <cp:lastModifiedBy/>
  <cp:revision>1</cp:revision>
  <dcterms:created xsi:type="dcterms:W3CDTF">2013-12-23T23:15:00Z</dcterms:created>
  <dcterms:modified xsi:type="dcterms:W3CDTF">2013-12-23T23:15:00Z</dcterms:modified>
  <cp:category/>
</cp:coreProperties>
</file>