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 Growth</w:t>
        <w:br/>
        <w:t>Intelligence Workbench</w:t>
      </w:r>
    </w:p>
    <w:p>
      <w:pPr>
        <w:pStyle w:val="Subtitle"/>
      </w:pPr>
      <w:r>
        <w:t>Your five-minute interview walkthrough</w:t>
      </w:r>
    </w:p>
    <w:p>
      <w:pPr>
        <w:pStyle w:val="Cue"/>
      </w:pPr>
      <w:r>
        <w:t>A practical rehearsal guide for an AI-assisted analytics portfolio project.</w:t>
      </w:r>
    </w:p>
    <w:p>
      <w:r>
        <w:rPr>
          <w:b/>
        </w:rPr>
        <w:t xml:space="preserve">Before you start: </w:t>
      </w:r>
      <w:r>
        <w:t>Open your live demo and click Reset filters. Keep your GitHub repository in a second tab. Rehearse Account 023 once before the interview. The dates and numbers below describe the current synthetic snapshot, not live customer data.</w:t>
      </w:r>
    </w:p>
    <w:p>
      <w:pPr>
        <w:pStyle w:val="Heading2"/>
      </w:pPr>
      <w:r>
        <w:t>0:00–0:40  |  Introduce the business problem</w:t>
      </w:r>
    </w:p>
    <w:p>
      <w:pPr>
        <w:pStyle w:val="Cue"/>
      </w:pPr>
      <w:r>
        <w:rPr>
          <w:b/>
        </w:rPr>
        <w:t xml:space="preserve">On screen: </w:t>
      </w:r>
      <w:r>
        <w:t>Start at the dashboard heading and summary cards.</w:t>
      </w:r>
    </w:p>
    <w:p>
      <w:r>
        <w:rPr>
          <w:b/>
        </w:rPr>
        <w:t xml:space="preserve">Say: </w:t>
      </w:r>
      <w:r>
        <w:t>“This project answers a question familiar from my analytics work: when a sales or marketing team can review only 50 product opportunities, which existing customers should they review first, for which product, and why? I developed this portfolio prototype with AI assistance to turn account, ownership and engagement data into an explainable shortlist.”</w:t>
      </w:r>
    </w:p>
    <w:p>
      <w:pPr>
        <w:pStyle w:val="Heading2"/>
      </w:pPr>
      <w:r>
        <w:t>0:40–1:20  |  Explain the population</w:t>
      </w:r>
    </w:p>
    <w:p>
      <w:pPr>
        <w:pStyle w:val="Cue"/>
      </w:pPr>
      <w:r>
        <w:rPr>
          <w:b/>
        </w:rPr>
        <w:t xml:space="preserve">On screen: </w:t>
      </w:r>
      <w:r>
        <w:t>Point to 500 accounts, 626 eligible opportunities, 564 ready for review and 62 with missing engagement data.</w:t>
      </w:r>
    </w:p>
    <w:p>
      <w:r>
        <w:rPr>
          <w:b/>
        </w:rPr>
        <w:t xml:space="preserve">Say: </w:t>
      </w:r>
      <w:r>
        <w:t>“The demo uses 500 synthetic customer accounts. There are 626 eligible account–product opportunities because one account can be eligible for more than one product. We exclude products already owned and products with an open opportunity, and apply a minimum fit threshold. Of these opportunities, 564 have engagement data available; 62 need a data-quality follow-up.”</w:t>
      </w:r>
    </w:p>
    <w:p>
      <w:pPr>
        <w:pStyle w:val="Heading2"/>
      </w:pPr>
      <w:r>
        <w:t>1:20–2:00  |  Show interactive exploration</w:t>
      </w:r>
    </w:p>
    <w:p>
      <w:pPr>
        <w:pStyle w:val="Cue"/>
      </w:pPr>
      <w:r>
        <w:rPr>
          <w:b/>
        </w:rPr>
        <w:t xml:space="preserve">On screen: </w:t>
      </w:r>
      <w:r>
        <w:t>Choose Customer Data Platform, then Healthcare. Select both the 60–79 and 80–100 score ranges. Point to the chart counts and Share %. Search for Demo Account 023.</w:t>
      </w:r>
    </w:p>
    <w:p>
      <w:r>
        <w:rPr>
          <w:b/>
        </w:rPr>
        <w:t xml:space="preserve">Say: </w:t>
      </w:r>
      <w:r>
        <w:t>“The filters let a campaign team narrow the audience by product, industry, region and priority band. Multiple score bands can be selected together. The charts show the distribution within the filtered opportunities, and the account dropdown updates to match those selections. That connects the portfolio view to an individual account.”</w:t>
      </w:r>
    </w:p>
    <w:p>
      <w:r>
        <w:br w:type="page"/>
      </w:r>
    </w:p>
    <w:p>
      <w:pPr>
        <w:pStyle w:val="Heading1"/>
      </w:pPr>
      <w:r>
        <w:t>Five-minute walkthrough — continued</w:t>
      </w:r>
    </w:p>
    <w:p>
      <w:pPr>
        <w:pStyle w:val="Heading2"/>
      </w:pPr>
      <w:r>
        <w:t>2:00–3:10  |  Explain one recommendation</w:t>
      </w:r>
    </w:p>
    <w:p>
      <w:pPr>
        <w:pStyle w:val="Cue"/>
      </w:pPr>
      <w:r>
        <w:rPr>
          <w:b/>
        </w:rPr>
        <w:t xml:space="preserve">On screen: </w:t>
      </w:r>
      <w:r>
        <w:t>Select Demo Account 023 for Customer Data Platform. Show its score breakdown and evidence brief.</w:t>
      </w:r>
    </w:p>
    <w:p>
      <w:r>
        <w:rPr>
          <w:b/>
        </w:rPr>
        <w:t xml:space="preserve">Say: </w:t>
      </w:r>
      <w:r>
        <w:t>“This account scores 86 out of 100: 26 for fit, 25 for relevant engagement, 20 for recency and 15 for complementary ownership. The score is a rule-based ranking, not an 86% likelihood of buying. Its evidence includes two demo requests, three webinar interactions and two email-click signals. We account for activity type and age, and cap contributions so repeated low-value activity cannot dominate. The brief makes those reasons visible for a human reviewer.”</w:t>
      </w:r>
    </w:p>
    <w:p>
      <w:pPr>
        <w:pStyle w:val="Heading2"/>
      </w:pPr>
      <w:r>
        <w:t>3:10–3:50  |  Show the operational hand-off</w:t>
      </w:r>
    </w:p>
    <w:p>
      <w:pPr>
        <w:pStyle w:val="Cue"/>
      </w:pPr>
      <w:r>
        <w:rPr>
          <w:b/>
        </w:rPr>
        <w:t xml:space="preserve">On screen: </w:t>
      </w:r>
      <w:r>
        <w:t>Reset filters. Toggle Include missing engagement data to show the coverage gap, then turn it off. Use Export top 50 opportunities to demonstrate the CSV hand-off.</w:t>
      </w:r>
    </w:p>
    <w:p>
      <w:r>
        <w:rPr>
          <w:b/>
        </w:rPr>
        <w:t xml:space="preserve">Say: </w:t>
      </w:r>
      <w:r>
        <w:t>“Missing engagement data is different from observed zero activity. I can show those records for investigation, but the export excludes them. The export takes up to 50 eligible opportunities from the current filters. It is a review list, not an automatic outreach campaign, and it may include more than one product for an account.”</w:t>
      </w:r>
    </w:p>
    <w:p>
      <w:pPr>
        <w:pStyle w:val="Heading2"/>
      </w:pPr>
      <w:r>
        <w:t>3:50–4:35  |  Explain your contribution and AI use</w:t>
      </w:r>
    </w:p>
    <w:p>
      <w:pPr>
        <w:pStyle w:val="Cue"/>
      </w:pPr>
      <w:r>
        <w:rPr>
          <w:b/>
        </w:rPr>
        <w:t xml:space="preserve">On screen: </w:t>
      </w:r>
      <w:r>
        <w:t>Stay on the demo, or briefly show the repository and its documentation.</w:t>
      </w:r>
    </w:p>
    <w:p>
      <w:r>
        <w:rPr>
          <w:b/>
        </w:rPr>
        <w:t xml:space="preserve">Say: </w:t>
      </w:r>
      <w:r>
        <w:t>“My contribution was applying business judgment to the output: challenging inflated scores, requesting more useful filters and charts, and replacing vague signal counts with specific evidence. I also published the demo. AI generated the implementation and tests. My Python is foundational, so I am developing that skill by reviewing how the business rules translate into code. I would not claim to have independently written every line.”</w:t>
      </w:r>
    </w:p>
    <w:p>
      <w:pPr>
        <w:pStyle w:val="Heading2"/>
      </w:pPr>
      <w:r>
        <w:t>4:35–5:00  |  Close with limitations and next steps</w:t>
      </w:r>
    </w:p>
    <w:p>
      <w:pPr>
        <w:pStyle w:val="Cue"/>
      </w:pPr>
      <w:r>
        <w:rPr>
          <w:b/>
        </w:rPr>
        <w:t xml:space="preserve">On screen: </w:t>
      </w:r>
      <w:r>
        <w:t>Return to the shortlist.</w:t>
      </w:r>
    </w:p>
    <w:p>
      <w:r>
        <w:rPr>
          <w:b/>
        </w:rPr>
        <w:t xml:space="preserve">Say: </w:t>
      </w:r>
      <w:r>
        <w:t>“This demonstrates an analytics workflow, not proven sales uplift. The data is synthetic and the weights are assumptions. Before production, I would validate recommendations with account owners, test against historical outcomes and compare the shortlist with a simple baseline. The value here is making prioritization transparent and actionable.”</w:t>
      </w:r>
    </w:p>
    <w:p>
      <w:r>
        <w:br w:type="page"/>
      </w:r>
    </w:p>
    <w:p>
      <w:pPr>
        <w:pStyle w:val="Heading1"/>
      </w:pPr>
      <w:r>
        <w:t>Your worked example: Account 023</w:t>
      </w:r>
    </w:p>
    <w:p>
      <w:pPr>
        <w:pStyle w:val="Cue"/>
      </w:pPr>
      <w:r>
        <w:t>Customer Data Platform recommendation • Healthcare • APAC • 2,500 employees</w:t>
      </w:r>
    </w:p>
    <w:p>
      <w:r>
        <w:t>Analysis date: 1 September 2026. The account owns Marketing Automation with 66% adoption. It does not own the recommended product and has no open opportunity for it at the snapshot.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9E0E5"/>
          <w:left w:val="single" w:sz="4" w:color="D9E0E5"/>
          <w:bottom w:val="single" w:sz="4" w:color="D9E0E5"/>
          <w:right w:val="single" w:sz="4" w:color="D9E0E5"/>
          <w:insideH w:val="single" w:sz="4" w:color="D9E0E5"/>
          <w:insideV w:val="single" w:sz="4" w:color="D9E0E5"/>
        </w:tblBorders>
      </w:tblPr>
      <w:tblGrid>
        <w:gridCol w:w="2520"/>
        <w:gridCol w:w="1080"/>
        <w:gridCol w:w="5760"/>
      </w:tblGrid>
      <w:tr>
        <w:trPr>
          <w:cantSplit/>
          <w:tblHeader/>
        </w:trPr>
        <w:tc>
          <w:tcPr>
            <w:tcW w:type="dxa" w:w="2520"/>
            <w:shd w:fill="F2F4F7"/>
          </w:tcPr>
          <w:p>
            <w:pPr>
              <w:pStyle w:val="TableText"/>
            </w:pPr>
            <w:r>
              <w:rPr>
                <w:b/>
              </w:rPr>
              <w:t>Component</w:t>
            </w:r>
          </w:p>
        </w:tc>
        <w:tc>
          <w:tcPr>
            <w:tcW w:type="dxa" w:w="1080"/>
            <w:shd w:fill="F2F4F7"/>
          </w:tcPr>
          <w:p>
            <w:pPr>
              <w:pStyle w:val="TableText"/>
            </w:pPr>
            <w:r>
              <w:rPr>
                <w:b/>
              </w:rPr>
              <w:t>Points</w:t>
            </w:r>
          </w:p>
        </w:tc>
        <w:tc>
          <w:tcPr>
            <w:tcW w:type="dxa" w:w="5760"/>
            <w:shd w:fill="F2F4F7"/>
          </w:tcPr>
          <w:p>
            <w:pPr>
              <w:pStyle w:val="TableText"/>
            </w:pPr>
            <w:r>
              <w:rPr>
                <w:b/>
              </w:rPr>
              <w:t>Why it receives these points</w:t>
            </w:r>
          </w:p>
        </w:tc>
      </w:tr>
      <w:tr>
        <w:trPr>
          <w:cantSplit/>
        </w:trPr>
        <w:tc>
          <w:tcPr>
            <w:tcW w:type="dxa" w:w="2520"/>
          </w:tcPr>
          <w:p>
            <w:pPr>
              <w:pStyle w:val="TableText"/>
            </w:pPr>
            <w:r>
              <w:t>Fit / 30</w:t>
            </w:r>
          </w:p>
        </w:tc>
        <w:tc>
          <w:tcPr>
            <w:tcW w:type="dxa" w:w="1080"/>
          </w:tcPr>
          <w:p>
            <w:pPr>
              <w:pStyle w:val="TableText"/>
            </w:pPr>
            <w:r>
              <w:t>26</w:t>
            </w:r>
          </w:p>
        </w:tc>
        <w:tc>
          <w:tcPr>
            <w:tcW w:type="dxa" w:w="5760"/>
          </w:tcPr>
          <w:p>
            <w:pPr>
              <w:pStyle w:val="TableText"/>
            </w:pPr>
            <w:r>
              <w:t>Healthcare industry: 16; enterprise size: 10.</w:t>
            </w:r>
          </w:p>
        </w:tc>
      </w:tr>
      <w:tr>
        <w:trPr>
          <w:cantSplit/>
        </w:trPr>
        <w:tc>
          <w:tcPr>
            <w:tcW w:type="dxa" w:w="2520"/>
          </w:tcPr>
          <w:p>
            <w:pPr>
              <w:pStyle w:val="TableText"/>
            </w:pPr>
            <w:r>
              <w:t>Engagement / 30</w:t>
            </w:r>
          </w:p>
        </w:tc>
        <w:tc>
          <w:tcPr>
            <w:tcW w:type="dxa" w:w="1080"/>
          </w:tcPr>
          <w:p>
            <w:pPr>
              <w:pStyle w:val="TableText"/>
            </w:pPr>
            <w:r>
              <w:t>25</w:t>
            </w:r>
          </w:p>
        </w:tc>
        <w:tc>
          <w:tcPr>
            <w:tcW w:type="dxa" w:w="5760"/>
          </w:tcPr>
          <w:p>
            <w:pPr>
              <w:pStyle w:val="TableText"/>
            </w:pPr>
            <w:r>
              <w:t>Demo requests: 15; webinars: 8; email clicks: 1.5. Total 24.5, rounded to 25.</w:t>
            </w:r>
          </w:p>
        </w:tc>
      </w:tr>
      <w:tr>
        <w:trPr>
          <w:cantSplit/>
        </w:trPr>
        <w:tc>
          <w:tcPr>
            <w:tcW w:type="dxa" w:w="2520"/>
          </w:tcPr>
          <w:p>
            <w:pPr>
              <w:pStyle w:val="TableText"/>
            </w:pPr>
            <w:r>
              <w:t>Recency / 20</w:t>
            </w:r>
          </w:p>
        </w:tc>
        <w:tc>
          <w:tcPr>
            <w:tcW w:type="dxa" w:w="1080"/>
          </w:tcPr>
          <w:p>
            <w:pPr>
              <w:pStyle w:val="TableText"/>
            </w:pPr>
            <w:r>
              <w:t>20</w:t>
            </w:r>
          </w:p>
        </w:tc>
        <w:tc>
          <w:tcPr>
            <w:tcW w:type="dxa" w:w="5760"/>
          </w:tcPr>
          <w:p>
            <w:pPr>
              <w:pStyle w:val="TableText"/>
            </w:pPr>
            <w:r>
              <w:t>Demo request on 22 August: 10 days before the snapshot.</w:t>
            </w:r>
          </w:p>
        </w:tc>
      </w:tr>
      <w:tr>
        <w:trPr>
          <w:cantSplit/>
        </w:trPr>
        <w:tc>
          <w:tcPr>
            <w:tcW w:type="dxa" w:w="2520"/>
          </w:tcPr>
          <w:p>
            <w:pPr>
              <w:pStyle w:val="TableText"/>
            </w:pPr>
            <w:r>
              <w:t>Complementary ownership / 20</w:t>
            </w:r>
          </w:p>
        </w:tc>
        <w:tc>
          <w:tcPr>
            <w:tcW w:type="dxa" w:w="1080"/>
          </w:tcPr>
          <w:p>
            <w:pPr>
              <w:pStyle w:val="TableText"/>
            </w:pPr>
            <w:r>
              <w:t>15</w:t>
            </w:r>
          </w:p>
        </w:tc>
        <w:tc>
          <w:tcPr>
            <w:tcW w:type="dxa" w:w="5760"/>
          </w:tcPr>
          <w:p>
            <w:pPr>
              <w:pStyle w:val="TableText"/>
            </w:pPr>
            <w:r>
              <w:t>Marketing Automation supports a CDP cross-sell. Strength 20 × (0.2 + 0.8 × 0.66) = 14.56, rounded to 15.</w:t>
            </w:r>
          </w:p>
        </w:tc>
      </w:tr>
      <w:tr>
        <w:trPr>
          <w:cantSplit/>
        </w:trPr>
        <w:tc>
          <w:tcPr>
            <w:tcW w:type="dxa" w:w="2520"/>
          </w:tcPr>
          <w:p>
            <w:pPr>
              <w:pStyle w:val="TableText"/>
            </w:pPr>
            <w:r>
              <w:t>Priority / 100</w:t>
            </w:r>
          </w:p>
        </w:tc>
        <w:tc>
          <w:tcPr>
            <w:tcW w:type="dxa" w:w="1080"/>
          </w:tcPr>
          <w:p>
            <w:pPr>
              <w:pStyle w:val="TableText"/>
            </w:pPr>
            <w:r>
              <w:t>86</w:t>
            </w:r>
          </w:p>
        </w:tc>
        <w:tc>
          <w:tcPr>
            <w:tcW w:type="dxa" w:w="5760"/>
          </w:tcPr>
          <w:p>
            <w:pPr>
              <w:pStyle w:val="TableText"/>
            </w:pPr>
            <w:r>
              <w:t>26 + 25 + 20 + 15 = 86. A review priority, not a conversion probability.</w:t>
            </w:r>
          </w:p>
        </w:tc>
      </w:tr>
    </w:tbl>
    <w:p>
      <w:pPr>
        <w:pStyle w:val="TableNote"/>
      </w:pPr>
      <w:r>
        <w:t>Reference: current demo scoring rules, version 3.1. All underlying records are synthetic.</w:t>
      </w:r>
    </w:p>
    <w:p>
      <w:pPr>
        <w:pStyle w:val="Heading2"/>
      </w:pPr>
      <w:r>
        <w:t>What exactly are the seven signals?</w:t>
      </w:r>
    </w:p>
    <w:p>
      <w:r>
        <w:t>Two demo requests: 22 August and 27 July. Three webinar interactions: 9 August, 2 August and 20 July. Two email-click signals: 31 August and 20 July. All are in 2026 and within the 90-day window.</w:t>
      </w:r>
    </w:p>
    <w:p>
      <w:r>
        <w:t>A distinct signal means one account + product + activity type + date. Repeated email clicks for the same account and product on the same day count once. Different activity types on the same day count separately. Seven signals does not mean seven different people.</w:t>
      </w:r>
    </w:p>
    <w:p>
      <w:pPr>
        <w:pStyle w:val="Heading2"/>
      </w:pPr>
      <w:r>
        <w:t>Two details worth remembering</w:t>
      </w:r>
    </w:p>
    <w:p>
      <w:r>
        <w:t>The latest activity is the email click on 31 August, but the recent demo request earns the 20 recency points. A fresh email click alone would earn only 4 recency points.</w:t>
      </w:r>
    </w:p>
    <w:p>
      <w:r>
        <w:t>Complementary ownership measures whether an existing product supports the recommended product, adjusted by adoption. Owning a related product does not automatically earn 20/20.</w:t>
      </w:r>
    </w:p>
    <w:p>
      <w:r>
        <w:br w:type="page"/>
      </w:r>
    </w:p>
    <w:p>
      <w:pPr>
        <w:pStyle w:val="Heading1"/>
      </w:pPr>
      <w:r>
        <w:t>Questions you may be asked</w:t>
      </w:r>
    </w:p>
    <w:p>
      <w:pPr>
        <w:pStyle w:val="Heading2"/>
      </w:pPr>
      <w:r>
        <w:t>“Is this machine learning or an AI recommendation engine?”</w:t>
      </w:r>
    </w:p>
    <w:p>
      <w:r>
        <w:t>“No. It is an AI-assisted development project with deterministic scoring. AI helped create the code; the running demo does not call an AI model. The evidence brief is generated from a factual template, not free-form AI text.”</w:t>
      </w:r>
    </w:p>
    <w:p>
      <w:pPr>
        <w:pStyle w:val="Heading2"/>
      </w:pPr>
      <w:r>
        <w:t>“Why these weights, and why so few very high scores?”</w:t>
      </w:r>
    </w:p>
    <w:p>
      <w:r>
        <w:t>“The 30/30/20/20 split is an explainable starting assumption, not a learned formula. During review I challenged score saturation. The revised rules distinguish stronger activity, account for age, cap repeated signals and adjust ownership by adoption. The current maximum is 91, with one opportunity at 90 or above. That improves differentiation, but does not establish predictive accuracy.”</w:t>
      </w:r>
    </w:p>
    <w:p>
      <w:pPr>
        <w:pStyle w:val="Heading2"/>
      </w:pPr>
      <w:r>
        <w:t>“What does engagement data available actually mean?”</w:t>
      </w:r>
    </w:p>
    <w:p>
      <w:r>
        <w:t>“It means the engagement input is present, not that activity is high or every field is verified. Missing inputs are flagged and excluded from campaign export. Observed zero engagement is still usable information.”</w:t>
      </w:r>
    </w:p>
    <w:p>
      <w:pPr>
        <w:pStyle w:val="Heading2"/>
      </w:pPr>
      <w:r>
        <w:t>“How does the project work technically?”</w:t>
      </w:r>
    </w:p>
    <w:p>
      <w:r>
        <w:t>“Python generates synthetic source data and runs the analytical build using SQLite and SQL. The results are published as static data used by HTML, CSS and JavaScript. GitHub Pages hosts the browser demo; it does not run the Python build. Changing the source data or scoring rules requires rebuilding and publishing updated output.”</w:t>
      </w:r>
    </w:p>
    <w:p>
      <w:pPr>
        <w:pStyle w:val="Heading2"/>
      </w:pPr>
      <w:r>
        <w:t>“How do you know the results are correct?”</w:t>
      </w:r>
    </w:p>
    <w:p>
      <w:r>
        <w:t>“The project includes 22 automated analytical tests and separate filter/export checks. They check implementation behavior, not commercial effectiveness. For production I would use real, permissioned historical data, time-separated evaluation and account-owner review, then compare the top-50 shortlist against a simple fit-only baseline.”</w:t>
      </w:r>
    </w:p>
    <w:p>
      <w:pPr>
        <w:pStyle w:val="Heading2"/>
      </w:pPr>
      <w:r>
        <w:t>“What would you improve next?”</w:t>
      </w:r>
    </w:p>
    <w:p>
      <w:r>
        <w:t>“Validate the assumptions with sales users; connect governed data sources; test whether engagement aging and recency double-count freshness; and evaluate shortlist quality against actual outcomes. I would not promise revenue uplift without measurement.”</w:t>
      </w:r>
    </w:p>
    <w:p>
      <w:pPr>
        <w:pStyle w:val="Heading2"/>
      </w:pPr>
      <w:r>
        <w:t>Your final rehearsal check</w:t>
      </w:r>
    </w:p>
    <w:p>
      <w:r>
        <w:t>Practice explaining 86 = 26 + 25 + 20 + 15 without reading. Test the live link, account dropdown, filters and CSV export. Review the SQL and one scoring function so you can explain them honestly. Say “synthetic data,” “rule-based priority” and “AI-assisted development” clearly.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Vikas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ACCOUNT GROWTH INTELLIGENCE  |  INTERVIEW REHEARSAL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02C35"/>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52657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52657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
    <w:name w:val="Cue"/>
    <w:pPr>
      <w:keepNext/>
      <w:widowControl/>
      <w:spacing w:before="0" w:after="120" w:line="264" w:lineRule="auto"/>
    </w:pPr>
    <w:rPr>
      <w:rFonts w:ascii="Calibri" w:hAnsi="Calibri"/>
      <w:b w:val="0"/>
      <w:color w:val="526575"/>
      <w:sz w:val="20"/>
    </w:rPr>
  </w:style>
  <w:style w:type="paragraph" w:customStyle="1" w:styleId="TableText">
    <w:name w:val="Table Text"/>
    <w:pPr>
      <w:widowControl/>
      <w:spacing w:before="0" w:after="80" w:line="264" w:lineRule="auto"/>
    </w:pPr>
    <w:rPr>
      <w:rFonts w:ascii="Calibri" w:hAnsi="Calibri"/>
      <w:b w:val="0"/>
      <w:color w:val="202C35"/>
      <w:sz w:val="20"/>
    </w:rPr>
  </w:style>
  <w:style w:type="paragraph" w:customStyle="1" w:styleId="TableNote">
    <w:name w:val="Table Note"/>
    <w:pPr>
      <w:widowControl/>
      <w:spacing w:before="80" w:after="80" w:line="264" w:lineRule="auto"/>
    </w:pPr>
    <w:rPr>
      <w:rFonts w:ascii="Calibri" w:hAnsi="Calibri"/>
      <w:b w:val="0"/>
      <w:color w:val="52657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 Growth Intelligence — Interview Walkthrough</dc:title>
  <dc:subject>Five-minute demo script and interview reference</dc:subject>
  <dc:creator>Vikas</dc:creator>
  <cp:keywords>analytics, portfolio, interview, AI-assisted development</cp:keywords>
  <dc:description>generated by python-docx</dc:description>
  <cp:lastModifiedBy/>
  <cp:revision>1</cp:revision>
  <dcterms:created xsi:type="dcterms:W3CDTF">2013-12-23T23:15:00Z</dcterms:created>
  <dcterms:modified xsi:type="dcterms:W3CDTF">2013-12-23T23:15:00Z</dcterms:modified>
  <cp:category/>
</cp:coreProperties>
</file>