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1E51" w14:textId="77777777" w:rsidR="004141FD" w:rsidRPr="004141FD" w:rsidRDefault="004141FD" w:rsidP="004141FD">
      <w:pPr>
        <w:shd w:val="clear" w:color="auto" w:fill="F0EEE6"/>
        <w:spacing w:after="0" w:line="240" w:lineRule="auto"/>
        <w:rPr>
          <w:rFonts w:ascii="Segoe UI" w:eastAsia="Times New Roman" w:hAnsi="Segoe UI" w:cs="Segoe UI"/>
          <w:kern w:val="0"/>
          <w14:ligatures w14:val="none"/>
        </w:rPr>
      </w:pPr>
      <w:r w:rsidRPr="004141FD">
        <w:rPr>
          <w:rFonts w:ascii="Segoe UI" w:eastAsia="Times New Roman" w:hAnsi="Segoe UI" w:cs="Segoe UI"/>
          <w:kern w:val="0"/>
          <w14:ligatures w14:val="none"/>
        </w:rPr>
        <w:br/>
        <w:t>Праналізуй CRM на предмет які бази використовуються в аналітиці і до яких є доступ відкритий а де платний і які дані є відкритими?</w:t>
      </w:r>
    </w:p>
    <w:p w14:paraId="4F30D195" w14:textId="77777777" w:rsidR="004141FD" w:rsidRPr="004141FD" w:rsidRDefault="004141FD" w:rsidP="004141FD">
      <w:pPr>
        <w:spacing w:after="0" w:line="240" w:lineRule="auto"/>
        <w:rPr>
          <w:rFonts w:ascii="Times New Roman" w:eastAsia="Times New Roman" w:hAnsi="Times New Roman" w:cs="Times New Roman"/>
          <w:kern w:val="0"/>
          <w14:ligatures w14:val="none"/>
        </w:rPr>
      </w:pPr>
      <w:r w:rsidRPr="004141FD">
        <w:rPr>
          <w:rFonts w:ascii="Segoe UI" w:eastAsia="Times New Roman" w:hAnsi="Segoe UI" w:cs="Segoe UI"/>
          <w:kern w:val="0"/>
          <w:sz w:val="21"/>
          <w:szCs w:val="21"/>
          <w14:ligatures w14:val="none"/>
        </w:rPr>
        <w:t>51 steps</w:t>
      </w:r>
    </w:p>
    <w:p w14:paraId="1EE517E6" w14:textId="77777777" w:rsidR="004141FD" w:rsidRPr="004141FD" w:rsidRDefault="004141FD" w:rsidP="004141FD">
      <w:pPr>
        <w:spacing w:after="0" w:line="240" w:lineRule="auto"/>
        <w:rPr>
          <w:rFonts w:ascii="Times New Roman" w:eastAsia="Times New Roman" w:hAnsi="Times New Roman" w:cs="Times New Roman"/>
          <w:kern w:val="0"/>
          <w14:ligatures w14:val="none"/>
        </w:rPr>
      </w:pPr>
      <w:r w:rsidRPr="004141FD">
        <w:rPr>
          <w:rFonts w:ascii="Times New Roman" w:eastAsia="Times New Roman" w:hAnsi="Times New Roman" w:cs="Times New Roman"/>
          <w:kern w:val="0"/>
          <w14:ligatures w14:val="none"/>
        </w:rPr>
        <w:t>51 steps</w:t>
      </w:r>
    </w:p>
    <w:p w14:paraId="55D29311" w14:textId="77777777" w:rsidR="004141FD" w:rsidRPr="004141FD" w:rsidRDefault="004141FD" w:rsidP="004141FD">
      <w:pPr>
        <w:spacing w:before="180" w:after="0" w:line="240" w:lineRule="auto"/>
        <w:outlineLvl w:val="1"/>
        <w:rPr>
          <w:rFonts w:ascii="Georgia" w:eastAsia="Times New Roman" w:hAnsi="Georgia" w:cs="Times New Roman"/>
          <w:b/>
          <w:bCs/>
          <w:color w:val="141413"/>
          <w:kern w:val="0"/>
          <w:sz w:val="36"/>
          <w:szCs w:val="36"/>
          <w14:ligatures w14:val="none"/>
        </w:rPr>
      </w:pPr>
      <w:r w:rsidRPr="004141FD">
        <w:rPr>
          <w:rFonts w:ascii="Georgia" w:eastAsia="Times New Roman" w:hAnsi="Georgia" w:cs="Times New Roman"/>
          <w:b/>
          <w:bCs/>
          <w:color w:val="141413"/>
          <w:kern w:val="0"/>
          <w:sz w:val="36"/>
          <w:szCs w:val="36"/>
          <w14:ligatures w14:val="none"/>
        </w:rPr>
        <w:t>Аналіз баз даних у CRM Bellshire Homes</w:t>
      </w:r>
    </w:p>
    <w:p w14:paraId="0A60DC14"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t>CRM використовує модуль </w:t>
      </w:r>
      <w:r w:rsidRPr="004141FD">
        <w:rPr>
          <w:rFonts w:ascii="Georgia" w:eastAsia="Times New Roman" w:hAnsi="Georgia" w:cs="Times New Roman"/>
          <w:b/>
          <w:bCs/>
          <w:color w:val="141413"/>
          <w:kern w:val="0"/>
          <w:sz w:val="21"/>
          <w:szCs w:val="21"/>
          <w14:ligatures w14:val="none"/>
        </w:rPr>
        <w:t>Data Scout</w:t>
      </w:r>
      <w:r w:rsidRPr="004141FD">
        <w:rPr>
          <w:rFonts w:ascii="Georgia" w:eastAsia="Times New Roman" w:hAnsi="Georgia" w:cs="Times New Roman"/>
          <w:color w:val="141413"/>
          <w:kern w:val="0"/>
          <w:sz w:val="21"/>
          <w:szCs w:val="21"/>
          <w14:ligatures w14:val="none"/>
        </w:rPr>
        <w:t> — систему активної багатоточкової інтеграції (Active Multi-Endpoint Integration), яка підключається до </w:t>
      </w:r>
      <w:r w:rsidRPr="004141FD">
        <w:rPr>
          <w:rFonts w:ascii="Georgia" w:eastAsia="Times New Roman" w:hAnsi="Georgia" w:cs="Times New Roman"/>
          <w:b/>
          <w:bCs/>
          <w:color w:val="141413"/>
          <w:kern w:val="0"/>
          <w:sz w:val="21"/>
          <w:szCs w:val="21"/>
          <w14:ligatures w14:val="none"/>
        </w:rPr>
        <w:t>15 зовнішніх джерел даних</w:t>
      </w:r>
      <w:r w:rsidRPr="004141FD">
        <w:rPr>
          <w:rFonts w:ascii="Georgia" w:eastAsia="Times New Roman" w:hAnsi="Georgia" w:cs="Times New Roman"/>
          <w:color w:val="141413"/>
          <w:kern w:val="0"/>
          <w:sz w:val="21"/>
          <w:szCs w:val="21"/>
          <w14:ligatures w14:val="none"/>
        </w:rPr>
        <w:t>. З них наразі </w:t>
      </w:r>
      <w:r w:rsidRPr="004141FD">
        <w:rPr>
          <w:rFonts w:ascii="Georgia" w:eastAsia="Times New Roman" w:hAnsi="Georgia" w:cs="Times New Roman"/>
          <w:b/>
          <w:bCs/>
          <w:color w:val="141413"/>
          <w:kern w:val="0"/>
          <w:sz w:val="21"/>
          <w:szCs w:val="21"/>
          <w14:ligatures w14:val="none"/>
        </w:rPr>
        <w:t>5 вибрано для сканування</w:t>
      </w:r>
      <w:r w:rsidRPr="004141FD">
        <w:rPr>
          <w:rFonts w:ascii="Georgia" w:eastAsia="Times New Roman" w:hAnsi="Georgia" w:cs="Times New Roman"/>
          <w:color w:val="141413"/>
          <w:kern w:val="0"/>
          <w:sz w:val="21"/>
          <w:szCs w:val="21"/>
          <w14:ligatures w14:val="none"/>
        </w:rPr>
        <w:t>. Всі бази розділені на дві категорії за доступністю.</w:t>
      </w:r>
    </w:p>
    <w:p w14:paraId="40E7AA21"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033C629B">
          <v:rect id="_x0000_i1040" alt="" style="width:468pt;height:.05pt;mso-width-percent:0;mso-height-percent:0;mso-width-percent:0;mso-height-percent:0" o:hralign="center" o:hrstd="t" o:hr="t" fillcolor="#a0a0a0" stroked="f"/>
        </w:pict>
      </w:r>
    </w:p>
    <w:p w14:paraId="12769D0A"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14:ligatures w14:val="none"/>
        </w:rPr>
      </w:pPr>
      <w:r w:rsidRPr="004141FD">
        <w:rPr>
          <w:rFonts w:ascii="Apple Color Emoji" w:eastAsia="Times New Roman" w:hAnsi="Apple Color Emoji" w:cs="Apple Color Emoji"/>
          <w:b/>
          <w:bCs/>
          <w:color w:val="141413"/>
          <w:kern w:val="0"/>
          <w14:ligatures w14:val="none"/>
        </w:rPr>
        <w:t>✅</w:t>
      </w:r>
      <w:r w:rsidRPr="004141FD">
        <w:rPr>
          <w:rFonts w:ascii="Georgia" w:eastAsia="Times New Roman" w:hAnsi="Georgia" w:cs="Times New Roman"/>
          <w:b/>
          <w:bCs/>
          <w:color w:val="141413"/>
          <w:kern w:val="0"/>
          <w14:ligatures w14:val="none"/>
        </w:rPr>
        <w:t xml:space="preserve"> ВІДКРИТІ БАЗИ (LIVE SYNC — безкоштовний доступ, активна синхронізація)</w:t>
      </w:r>
    </w:p>
    <w:p w14:paraId="6B73556F"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1. King County Assessor</w:t>
      </w:r>
      <w:r w:rsidRPr="004141FD">
        <w:rPr>
          <w:rFonts w:ascii="Georgia" w:eastAsia="Times New Roman" w:hAnsi="Georgia" w:cs="Times New Roman"/>
          <w:color w:val="141413"/>
          <w:kern w:val="0"/>
          <w:sz w:val="21"/>
          <w:szCs w:val="21"/>
          <w14:ligatures w14:val="none"/>
        </w:rPr>
        <w:t> Публічна база даних оцінювача майна округу Кінг (штат Вашингтон). Відкриті дані: кадастрові відомості, оцінна вартість нерухомості, дані власника, площа ділянки, рік побудови, характеристики будівель.</w:t>
      </w:r>
    </w:p>
    <w:p w14:paraId="42A16422"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2. King County GIS</w:t>
      </w:r>
      <w:r w:rsidRPr="004141FD">
        <w:rPr>
          <w:rFonts w:ascii="Georgia" w:eastAsia="Times New Roman" w:hAnsi="Georgia" w:cs="Times New Roman"/>
          <w:color w:val="141413"/>
          <w:kern w:val="0"/>
          <w:sz w:val="21"/>
          <w:szCs w:val="21"/>
          <w14:ligatures w14:val="none"/>
        </w:rPr>
        <w:t> Відкрита геоінформаційна система округу Кінг. Відкриті дані: геопросторові шари, межі земельних ділянок, зонування, топографія, дороги, адресні геокоординати.</w:t>
      </w:r>
    </w:p>
    <w:p w14:paraId="448B39E7"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3. Seattle Open Data</w:t>
      </w:r>
      <w:r w:rsidRPr="004141FD">
        <w:rPr>
          <w:rFonts w:ascii="Georgia" w:eastAsia="Times New Roman" w:hAnsi="Georgia" w:cs="Times New Roman"/>
          <w:color w:val="141413"/>
          <w:kern w:val="0"/>
          <w:sz w:val="21"/>
          <w:szCs w:val="21"/>
          <w14:ligatures w14:val="none"/>
        </w:rPr>
        <w:t> Міський відкритий портал даних Сіетла (data.seattle.gov). Відкриті дані: дозволи на будівництво, дані про нерухомість, злочинність, інфраструктура, демографія, доходи за районами.</w:t>
      </w:r>
    </w:p>
    <w:p w14:paraId="2C392CAF"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4. FEMA Flood Maps</w:t>
      </w:r>
      <w:r w:rsidRPr="004141FD">
        <w:rPr>
          <w:rFonts w:ascii="Georgia" w:eastAsia="Times New Roman" w:hAnsi="Georgia" w:cs="Times New Roman"/>
          <w:color w:val="141413"/>
          <w:kern w:val="0"/>
          <w:sz w:val="21"/>
          <w:szCs w:val="21"/>
          <w14:ligatures w14:val="none"/>
        </w:rPr>
        <w:t> Федеральне агентство управління надзвичайними ситуаціями США. Відкриті дані: зони затоплення, ризики повеней, страхові зони NFIP, коефіцієнти ризику за адресою.</w:t>
      </w:r>
    </w:p>
    <w:p w14:paraId="28740048"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5. King County Treasurer</w:t>
      </w:r>
      <w:r w:rsidRPr="004141FD">
        <w:rPr>
          <w:rFonts w:ascii="Georgia" w:eastAsia="Times New Roman" w:hAnsi="Georgia" w:cs="Times New Roman"/>
          <w:color w:val="141413"/>
          <w:kern w:val="0"/>
          <w:sz w:val="21"/>
          <w:szCs w:val="21"/>
          <w14:ligatures w14:val="none"/>
        </w:rPr>
        <w:t> Скарбник округу Кінг. Відкриті дані: заборгованість по податках, статус виплат, податкові пільги, застави та неоплачені зобов'язання по конкретних об'єктах нерухомості.</w:t>
      </w:r>
    </w:p>
    <w:p w14:paraId="053B814F"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2967A365">
          <v:rect id="_x0000_i1039" alt="" style="width:468pt;height:.05pt;mso-width-percent:0;mso-height-percent:0;mso-width-percent:0;mso-height-percent:0" o:hralign="center" o:hrstd="t" o:hr="t" fillcolor="#a0a0a0" stroked="f"/>
        </w:pict>
      </w:r>
    </w:p>
    <w:p w14:paraId="56DC5B2F"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14:ligatures w14:val="none"/>
        </w:rPr>
      </w:pPr>
      <w:r w:rsidRPr="004141FD">
        <w:rPr>
          <w:rFonts w:ascii="Apple Color Emoji" w:eastAsia="Times New Roman" w:hAnsi="Apple Color Emoji" w:cs="Apple Color Emoji"/>
          <w:b/>
          <w:bCs/>
          <w:color w:val="141413"/>
          <w:kern w:val="0"/>
          <w14:ligatures w14:val="none"/>
        </w:rPr>
        <w:t>🔴</w:t>
      </w:r>
      <w:r w:rsidRPr="004141FD">
        <w:rPr>
          <w:rFonts w:ascii="Georgia" w:eastAsia="Times New Roman" w:hAnsi="Georgia" w:cs="Times New Roman"/>
          <w:b/>
          <w:bCs/>
          <w:color w:val="141413"/>
          <w:kern w:val="0"/>
          <w14:ligatures w14:val="none"/>
        </w:rPr>
        <w:t xml:space="preserve"> ОБМЕЖЕНІ / ПЛАТНІ БАЗИ (RESTRICTED / DEMO — потребують підписки або API-ключа)</w:t>
      </w:r>
    </w:p>
    <w:p w14:paraId="5EA30FB6"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6. PACER Bankruptcy</w:t>
      </w:r>
      <w:r w:rsidRPr="004141FD">
        <w:rPr>
          <w:rFonts w:ascii="Georgia" w:eastAsia="Times New Roman" w:hAnsi="Georgia" w:cs="Times New Roman"/>
          <w:color w:val="141413"/>
          <w:kern w:val="0"/>
          <w:sz w:val="21"/>
          <w:szCs w:val="21"/>
          <w14:ligatures w14:val="none"/>
        </w:rPr>
        <w:t> — Федеральна судова система США (Public Access to Court Electronic Records). Дані про банкрутства фізичних та юридичних осіб; тарифікована система, ~10 центів за сторінку.</w:t>
      </w:r>
    </w:p>
    <w:p w14:paraId="309E99B3"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7. WA Sec of State</w:t>
      </w:r>
      <w:r w:rsidRPr="004141FD">
        <w:rPr>
          <w:rFonts w:ascii="Georgia" w:eastAsia="Times New Roman" w:hAnsi="Georgia" w:cs="Times New Roman"/>
          <w:color w:val="141413"/>
          <w:kern w:val="0"/>
          <w:sz w:val="21"/>
          <w:szCs w:val="21"/>
          <w14:ligatures w14:val="none"/>
        </w:rPr>
        <w:t> — Держсекретар штату Вашингтон. Дані: реєстрація бізнесу, ліцензування LLC, зміни власника юридичних осіб; частина даних платна через API.</w:t>
      </w:r>
    </w:p>
    <w:p w14:paraId="4F7B4709"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8. WA Courts SCOMIS</w:t>
      </w:r>
      <w:r w:rsidRPr="004141FD">
        <w:rPr>
          <w:rFonts w:ascii="Georgia" w:eastAsia="Times New Roman" w:hAnsi="Georgia" w:cs="Times New Roman"/>
          <w:color w:val="141413"/>
          <w:kern w:val="0"/>
          <w:sz w:val="21"/>
          <w:szCs w:val="21"/>
          <w14:ligatures w14:val="none"/>
        </w:rPr>
        <w:t> — Судова система штату Вашингтон (Superior Court Management Information System). Дані про судові позови, ухвали, заставні претензії, розлучення та спадщину.</w:t>
      </w:r>
    </w:p>
    <w:p w14:paraId="47610A66"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9. King County Recorder</w:t>
      </w:r>
      <w:r w:rsidRPr="004141FD">
        <w:rPr>
          <w:rFonts w:ascii="Georgia" w:eastAsia="Times New Roman" w:hAnsi="Georgia" w:cs="Times New Roman"/>
          <w:color w:val="141413"/>
          <w:kern w:val="0"/>
          <w:sz w:val="21"/>
          <w:szCs w:val="21"/>
          <w14:ligatures w14:val="none"/>
        </w:rPr>
        <w:t> — Реєстратор документів округу Кінг. Дані: записи передачі права власності, заставні угоди (liens), акти купівлі-продажу, іпотеки; прямий API-доступ є платним.</w:t>
      </w:r>
    </w:p>
    <w:p w14:paraId="70D8B4A2"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10. HUD HomeStore</w:t>
      </w:r>
      <w:r w:rsidRPr="004141FD">
        <w:rPr>
          <w:rFonts w:ascii="Georgia" w:eastAsia="Times New Roman" w:hAnsi="Georgia" w:cs="Times New Roman"/>
          <w:color w:val="141413"/>
          <w:kern w:val="0"/>
          <w:sz w:val="21"/>
          <w:szCs w:val="21"/>
          <w14:ligatures w14:val="none"/>
        </w:rPr>
        <w:t> — Міністерство житлового господарства та міського розвитку США. Дані про будинки HUD на продаж, програми субсидій, реєстр відчужених об'єктів.</w:t>
      </w:r>
    </w:p>
    <w:p w14:paraId="449692ED"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11. Fannie Mae HomePath</w:t>
      </w:r>
      <w:r w:rsidRPr="004141FD">
        <w:rPr>
          <w:rFonts w:ascii="Georgia" w:eastAsia="Times New Roman" w:hAnsi="Georgia" w:cs="Times New Roman"/>
          <w:color w:val="141413"/>
          <w:kern w:val="0"/>
          <w:sz w:val="21"/>
          <w:szCs w:val="21"/>
          <w14:ligatures w14:val="none"/>
        </w:rPr>
        <w:t> — Іпотечна корпорація Fannie Mae. Дані: відчужені об'єкти власності (REO), умови фінансування, виключне право першої покупки для покупців-мешканців.</w:t>
      </w:r>
    </w:p>
    <w:p w14:paraId="5F8F7379"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12. NWMLS</w:t>
      </w:r>
      <w:r w:rsidRPr="004141FD">
        <w:rPr>
          <w:rFonts w:ascii="Georgia" w:eastAsia="Times New Roman" w:hAnsi="Georgia" w:cs="Times New Roman"/>
          <w:color w:val="141413"/>
          <w:kern w:val="0"/>
          <w:sz w:val="21"/>
          <w:szCs w:val="21"/>
          <w14:ligatures w14:val="none"/>
        </w:rPr>
        <w:t> — Northwest Multiple Listing Service. Комерційна MLS-база нерухомості Тихоокеанського Північного Заходу; суворо ліцензована, доступ лише для акредитованих агентів нерухомості з підпискою.</w:t>
      </w:r>
    </w:p>
    <w:p w14:paraId="1D4DDFF2"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lastRenderedPageBreak/>
        <w:t>13. Zillow</w:t>
      </w:r>
      <w:r w:rsidRPr="004141FD">
        <w:rPr>
          <w:rFonts w:ascii="Georgia" w:eastAsia="Times New Roman" w:hAnsi="Georgia" w:cs="Times New Roman"/>
          <w:color w:val="141413"/>
          <w:kern w:val="0"/>
          <w:sz w:val="21"/>
          <w:szCs w:val="21"/>
          <w14:ligatures w14:val="none"/>
        </w:rPr>
        <w:t> — Комерційна платформа нерухомості. Дані: оцінки Zestimate, ринкові ціни, історія продажів, дані орендного ринку; API-доступ платний.</w:t>
      </w:r>
    </w:p>
    <w:p w14:paraId="4F950B79"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14. Redfin</w:t>
      </w:r>
      <w:r w:rsidRPr="004141FD">
        <w:rPr>
          <w:rFonts w:ascii="Georgia" w:eastAsia="Times New Roman" w:hAnsi="Georgia" w:cs="Times New Roman"/>
          <w:color w:val="141413"/>
          <w:kern w:val="0"/>
          <w:sz w:val="21"/>
          <w:szCs w:val="21"/>
          <w14:ligatures w14:val="none"/>
        </w:rPr>
        <w:t> — Брокерська платформа нерухомості. Дані: активні лістинги, ціни, дні на ринку, конкурентність ринку; комерційний API.</w:t>
      </w:r>
    </w:p>
    <w:p w14:paraId="23E60284"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15. Trulia</w:t>
      </w:r>
      <w:r w:rsidRPr="004141FD">
        <w:rPr>
          <w:rFonts w:ascii="Georgia" w:eastAsia="Times New Roman" w:hAnsi="Georgia" w:cs="Times New Roman"/>
          <w:color w:val="141413"/>
          <w:kern w:val="0"/>
          <w:sz w:val="21"/>
          <w:szCs w:val="21"/>
          <w14:ligatures w14:val="none"/>
        </w:rPr>
        <w:t> — Агрегатор нерухомості (власник Zillow Group). Дані: лістинги, тренди ринку, оцінка кварталів, демографія; комерційний API.</w:t>
      </w:r>
    </w:p>
    <w:p w14:paraId="49FB4876"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pict w14:anchorId="4AA342FE">
          <v:rect id="_x0000_i1027" style="width:0;height:0" o:hralign="center" o:hrstd="t" o:hr="t" fillcolor="#a0a0a0" stroked="f"/>
        </w:pict>
      </w:r>
    </w:p>
    <w:p w14:paraId="4817ADC9"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14:ligatures w14:val="none"/>
        </w:rPr>
      </w:pPr>
      <w:r w:rsidRPr="004141FD">
        <w:rPr>
          <w:rFonts w:ascii="Georgia" w:eastAsia="Times New Roman" w:hAnsi="Georgia" w:cs="Times New Roman"/>
          <w:b/>
          <w:bCs/>
          <w:color w:val="141413"/>
          <w:kern w:val="0"/>
          <w14:ligatures w14:val="none"/>
        </w:rPr>
        <w:t>Підсумок</w:t>
      </w:r>
    </w:p>
    <w:tbl>
      <w:tblPr>
        <w:tblW w:w="0" w:type="auto"/>
        <w:tblCellMar>
          <w:left w:w="0" w:type="dxa"/>
          <w:right w:w="0" w:type="dxa"/>
        </w:tblCellMar>
        <w:tblLook w:val="04A0" w:firstRow="1" w:lastRow="0" w:firstColumn="1" w:lastColumn="0" w:noHBand="0" w:noVBand="1"/>
      </w:tblPr>
      <w:tblGrid>
        <w:gridCol w:w="3275"/>
        <w:gridCol w:w="1167"/>
        <w:gridCol w:w="3279"/>
      </w:tblGrid>
      <w:tr w:rsidR="004141FD" w:rsidRPr="004141FD" w14:paraId="6A639613"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72C678"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Категорія</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34CA41"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Кількість</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3FDF3A"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Статус</w:t>
            </w:r>
          </w:p>
        </w:tc>
      </w:tr>
      <w:tr w:rsidR="004141FD" w:rsidRPr="004141FD" w14:paraId="5E6B8B2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8152B0"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Відкриті (LIVE SYNC)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4DE01C"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9B7886"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Безкоштовний доступ</w:t>
            </w:r>
          </w:p>
        </w:tc>
      </w:tr>
      <w:tr w:rsidR="004141FD" w:rsidRPr="004141FD" w14:paraId="1F50CD2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C6A5F8"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Обмежені (RESTRICTED/DEMO)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DA0186"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7930C6"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Платні або потребують реєстрації</w:t>
            </w:r>
          </w:p>
        </w:tc>
      </w:tr>
      <w:tr w:rsidR="004141FD" w:rsidRPr="004141FD" w14:paraId="4EEA1D7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B5E54"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Всього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BEC4CF"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15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9122A1"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w:t>
            </w:r>
          </w:p>
        </w:tc>
      </w:tr>
    </w:tbl>
    <w:p w14:paraId="0679CADC"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t>З 5 обраних для активного сканування баз — усі мають статус </w:t>
      </w:r>
      <w:r w:rsidRPr="004141FD">
        <w:rPr>
          <w:rFonts w:ascii="Georgia" w:eastAsia="Times New Roman" w:hAnsi="Georgia" w:cs="Times New Roman"/>
          <w:b/>
          <w:bCs/>
          <w:color w:val="141413"/>
          <w:kern w:val="0"/>
          <w:sz w:val="21"/>
          <w:szCs w:val="21"/>
          <w14:ligatures w14:val="none"/>
        </w:rPr>
        <w:t>LIVE SYNC</w:t>
      </w:r>
      <w:r w:rsidRPr="004141FD">
        <w:rPr>
          <w:rFonts w:ascii="Georgia" w:eastAsia="Times New Roman" w:hAnsi="Georgia" w:cs="Times New Roman"/>
          <w:color w:val="141413"/>
          <w:kern w:val="0"/>
          <w:sz w:val="21"/>
          <w:szCs w:val="21"/>
          <w14:ligatures w14:val="none"/>
        </w:rPr>
        <w:t>, тобто система зараз використовує лише відкриті та безкоштовні джерела: King County Assessor, King County GIS, Seattle Open Data, FEMA Flood Maps та King County Treasurer. Інші 10 баз відображені як </w:t>
      </w:r>
      <w:r w:rsidRPr="004141FD">
        <w:rPr>
          <w:rFonts w:ascii="Georgia" w:eastAsia="Times New Roman" w:hAnsi="Georgia" w:cs="Times New Roman"/>
          <w:b/>
          <w:bCs/>
          <w:color w:val="141413"/>
          <w:kern w:val="0"/>
          <w:sz w:val="21"/>
          <w:szCs w:val="21"/>
          <w14:ligatures w14:val="none"/>
        </w:rPr>
        <w:t>DEMO / RESTRICTED</w:t>
      </w:r>
      <w:r w:rsidRPr="004141FD">
        <w:rPr>
          <w:rFonts w:ascii="Georgia" w:eastAsia="Times New Roman" w:hAnsi="Georgia" w:cs="Times New Roman"/>
          <w:color w:val="141413"/>
          <w:kern w:val="0"/>
          <w:sz w:val="21"/>
          <w:szCs w:val="21"/>
          <w14:ligatures w14:val="none"/>
        </w:rPr>
        <w:t> — вони інтегровані, але потребують отримання ліцензійних або платних API-ключів для повноцінного використання.</w:t>
      </w:r>
    </w:p>
    <w:p w14:paraId="0967FEDD" w14:textId="77777777" w:rsidR="004141FD" w:rsidRPr="004141FD" w:rsidRDefault="004141FD" w:rsidP="004141FD">
      <w:pPr>
        <w:shd w:val="clear" w:color="auto" w:fill="F0EEE6"/>
        <w:spacing w:after="0" w:line="240" w:lineRule="auto"/>
        <w:rPr>
          <w:rFonts w:ascii="Segoe UI" w:eastAsia="Times New Roman" w:hAnsi="Segoe UI" w:cs="Segoe UI"/>
          <w:kern w:val="0"/>
          <w14:ligatures w14:val="none"/>
        </w:rPr>
      </w:pPr>
      <w:r w:rsidRPr="004141FD">
        <w:rPr>
          <w:rFonts w:ascii="Segoe UI" w:eastAsia="Times New Roman" w:hAnsi="Segoe UI" w:cs="Segoe UI"/>
          <w:kern w:val="0"/>
          <w14:ligatures w14:val="none"/>
        </w:rPr>
        <w:t>Інші 10 баз відображені як DEMO / RESTRICTED — вони інтегровані, але потребують отримання ліцензійних або платних API-ключів для повноцінного використання. Які рівні доступів повинні бути по кожній з них? Просто платні API чи спеціалізовані ліцензії. І якщо спеціалізовані ліцензії то хто їх може отримувати і чи можна ці данні використовувати для аналітики такої як в CRM?</w:t>
      </w:r>
    </w:p>
    <w:p w14:paraId="75A92CD0" w14:textId="77777777" w:rsidR="004141FD" w:rsidRPr="004141FD" w:rsidRDefault="004141FD" w:rsidP="004141FD">
      <w:pPr>
        <w:spacing w:after="0" w:line="240" w:lineRule="auto"/>
        <w:rPr>
          <w:rFonts w:ascii="Times New Roman" w:eastAsia="Times New Roman" w:hAnsi="Times New Roman" w:cs="Times New Roman"/>
          <w:kern w:val="0"/>
          <w14:ligatures w14:val="none"/>
        </w:rPr>
      </w:pPr>
      <w:r w:rsidRPr="004141FD">
        <w:rPr>
          <w:rFonts w:ascii="Segoe UI" w:eastAsia="Times New Roman" w:hAnsi="Segoe UI" w:cs="Segoe UI"/>
          <w:kern w:val="0"/>
          <w:sz w:val="21"/>
          <w:szCs w:val="21"/>
          <w14:ligatures w14:val="none"/>
        </w:rPr>
        <w:t>98 steps</w:t>
      </w:r>
    </w:p>
    <w:p w14:paraId="7629212B" w14:textId="77777777" w:rsidR="004141FD" w:rsidRPr="004141FD" w:rsidRDefault="004141FD" w:rsidP="004141FD">
      <w:pPr>
        <w:spacing w:after="0" w:line="240" w:lineRule="auto"/>
        <w:rPr>
          <w:rFonts w:ascii="Times New Roman" w:eastAsia="Times New Roman" w:hAnsi="Times New Roman" w:cs="Times New Roman"/>
          <w:kern w:val="0"/>
          <w14:ligatures w14:val="none"/>
        </w:rPr>
      </w:pPr>
      <w:r w:rsidRPr="004141FD">
        <w:rPr>
          <w:rFonts w:ascii="Times New Roman" w:eastAsia="Times New Roman" w:hAnsi="Times New Roman" w:cs="Times New Roman"/>
          <w:kern w:val="0"/>
          <w14:ligatures w14:val="none"/>
        </w:rPr>
        <w:t>98 steps</w:t>
      </w:r>
    </w:p>
    <w:p w14:paraId="22EA6755" w14:textId="77777777" w:rsidR="004141FD" w:rsidRPr="004141FD" w:rsidRDefault="004141FD" w:rsidP="004141FD">
      <w:pPr>
        <w:spacing w:before="180" w:after="0" w:line="240" w:lineRule="auto"/>
        <w:outlineLvl w:val="1"/>
        <w:rPr>
          <w:rFonts w:ascii="Georgia" w:eastAsia="Times New Roman" w:hAnsi="Georgia" w:cs="Times New Roman"/>
          <w:b/>
          <w:bCs/>
          <w:color w:val="141413"/>
          <w:kern w:val="0"/>
          <w:sz w:val="36"/>
          <w:szCs w:val="36"/>
          <w14:ligatures w14:val="none"/>
        </w:rPr>
      </w:pPr>
      <w:r w:rsidRPr="004141FD">
        <w:rPr>
          <w:rFonts w:ascii="Georgia" w:eastAsia="Times New Roman" w:hAnsi="Georgia" w:cs="Times New Roman"/>
          <w:b/>
          <w:bCs/>
          <w:color w:val="141413"/>
          <w:kern w:val="0"/>
          <w:sz w:val="36"/>
          <w:szCs w:val="36"/>
          <w14:ligatures w14:val="none"/>
        </w:rPr>
        <w:t>Детальний аналіз рівнів доступу до 10 обмежених баз даних</w:t>
      </w:r>
    </w:p>
    <w:p w14:paraId="158AF356"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pict w14:anchorId="744DD666">
          <v:rect id="_x0000_i1028" style="width:0;height:0" o:hralign="center" o:hrstd="t" o:hr="t" fillcolor="#a0a0a0" stroked="f"/>
        </w:pict>
      </w:r>
    </w:p>
    <w:p w14:paraId="0EA5DA59"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1. PACER Bankruptcy (федеральна судова система)</w:t>
      </w:r>
    </w:p>
    <w:p w14:paraId="0BB65357"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Платна реєстрація + порегулярна тарифікація — НЕ API-ключ у класичному розумінні.</w:t>
      </w:r>
    </w:p>
    <w:p w14:paraId="6CA7DD43"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Будь-яка фізична або юридична особа (без спеціалізованої ліцензії) може зареєструватися. Існує чотири типи акаунтів: пошуковий (Case Search Only), для адвокатів-фільєрів, для не-адвокатів, та груповий (Group Billing для компаній). Реєстрація відкрита для всіх.</w:t>
      </w:r>
    </w:p>
    <w:p w14:paraId="7EE03711"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Тарифікація:</w:t>
      </w:r>
      <w:r w:rsidRPr="004141FD">
        <w:rPr>
          <w:rFonts w:ascii="Georgia" w:eastAsia="Times New Roman" w:hAnsi="Georgia" w:cs="Times New Roman"/>
          <w:color w:val="141413"/>
          <w:kern w:val="0"/>
          <w:sz w:val="21"/>
          <w:szCs w:val="21"/>
          <w14:ligatures w14:val="none"/>
        </w:rPr>
        <w:t> $0.10 за сторінку. Один документ — не більше $3.00. Якщо за квартал нараховано $30 або менше — плата не стягується (75% користувачів не платять нічого).</w:t>
      </w:r>
    </w:p>
    <w:p w14:paraId="7AAD7E62"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аналітиці CRM:</w:t>
      </w:r>
      <w:r w:rsidRPr="004141FD">
        <w:rPr>
          <w:rFonts w:ascii="Georgia" w:eastAsia="Times New Roman" w:hAnsi="Georgia" w:cs="Times New Roman"/>
          <w:color w:val="141413"/>
          <w:kern w:val="0"/>
          <w:sz w:val="21"/>
          <w:szCs w:val="21"/>
          <w14:ligatures w14:val="none"/>
        </w:rPr>
        <w:t> Так, дозволено. Дані про банкрутства є публічними судовими записами. CRM-системи можуть агрегувати їх для виявлення власників нерухомості у фінансовому стресі — це стандартна практика в real estate аналітиці. Потрібна реєстрація і оплата по факту запитів.</w:t>
      </w:r>
    </w:p>
    <w:p w14:paraId="6CD6758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pict w14:anchorId="6926F5DF">
          <v:rect id="_x0000_i1029" style="width:0;height:0" o:hralign="center" o:hrstd="t" o:hr="t" fillcolor="#a0a0a0" stroked="f"/>
        </w:pict>
      </w:r>
    </w:p>
    <w:p w14:paraId="7A66B219"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2. WA Sec of State (Держсекретар штату Вашингтон)</w:t>
      </w:r>
    </w:p>
    <w:p w14:paraId="50CB5A0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Частково відкрита база, частково платна через систему CCFS.</w:t>
      </w:r>
    </w:p>
    <w:p w14:paraId="244881A7"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Базовий пошук по реєстру бізнесів є безкоштовним через портал CCFS. Для масового або автоматизованого доступу (bulk data) потрібне окреме звернення до офісу. Ліцензія не потрібна — але комерційний API-доступ узгоджується окремо.</w:t>
      </w:r>
    </w:p>
    <w:p w14:paraId="0CA29A5E"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Будь-яка особа або компанія.</w:t>
      </w:r>
    </w:p>
    <w:p w14:paraId="5508D28D"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lastRenderedPageBreak/>
        <w:t>Використання в CRM:</w:t>
      </w:r>
      <w:r w:rsidRPr="004141FD">
        <w:rPr>
          <w:rFonts w:ascii="Georgia" w:eastAsia="Times New Roman" w:hAnsi="Georgia" w:cs="Times New Roman"/>
          <w:color w:val="141413"/>
          <w:kern w:val="0"/>
          <w:sz w:val="21"/>
          <w:szCs w:val="21"/>
          <w14:ligatures w14:val="none"/>
        </w:rPr>
        <w:t> Так, дозволено. Дані про зміни власника бізнесів, реєстрацію LLC використовуються для відстеження корпоративних власників нерухомості. Необхідна угода про умови використання при bulk-запитах.</w:t>
      </w:r>
    </w:p>
    <w:p w14:paraId="4E825339"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pict w14:anchorId="16B35EBB">
          <v:rect id="_x0000_i1030" style="width:0;height:0" o:hralign="center" o:hrstd="t" o:hr="t" fillcolor="#a0a0a0" stroked="f"/>
        </w:pict>
      </w:r>
    </w:p>
    <w:p w14:paraId="78BF900A"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3. WA Courts SCOMIS / JIS-Link</w:t>
      </w:r>
    </w:p>
    <w:p w14:paraId="6805C3C5"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Платна підписка — спеціалізований договір (Basic Access, Subscription and Licensing Agreement).</w:t>
      </w:r>
    </w:p>
    <w:p w14:paraId="40344B3C"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Потрібна реєстрація через WA Administrative Office of the Courts (AOC). Система JIS-Link — це ліцензована підписка з такими параметрами: одноразовий нелегований setup fee $200, мінімальна місячна оплата $13, $0.145 за транзакцію. Доступна для широкого кола: юридичних фірм, ріелторів, кредиторів, дослідників. Але є нюанс — суди King County, Seattle Municipal Court та ряд інших вже перейшли на нову систему Odyssey Portal і їхні дані не відображаються в Legacy JIS-Link; вони доступні через окремий Odyssey Portal.</w:t>
      </w:r>
    </w:p>
    <w:p w14:paraId="3137218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Будь-яка компанія або фізособа. Спеціальна юридична або ріелторська ліцензія НЕ потрібна.</w:t>
      </w:r>
    </w:p>
    <w:p w14:paraId="2B0D0A23"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Так, але з обмеженнями. Адреси учасників справ та дати народження неповнолітніх не надаються публічним користувачам. Дані про позови, застави (liens), іпотечні претензії — доступні і є стандартним інструментом motivated seller analysis.</w:t>
      </w:r>
    </w:p>
    <w:p w14:paraId="2E4AA40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pict w14:anchorId="7A45E2ED">
          <v:rect id="_x0000_i1031" style="width:0;height:0" o:hralign="center" o:hrstd="t" o:hr="t" fillcolor="#a0a0a0" stroked="f"/>
        </w:pict>
      </w:r>
    </w:p>
    <w:p w14:paraId="00827230"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4. King County Recorder (Реєстратор документів)</w:t>
      </w:r>
    </w:p>
    <w:p w14:paraId="27635B47"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Двоїстий — портальний пошук безкоштовний, але API-інтеграція платна через третіх операторів.</w:t>
      </w:r>
    </w:p>
    <w:p w14:paraId="29B18358"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Прямий пошук через офіційний портал (Landmark Records Search) — безкоштовний і відкритий для всіх без реєстрації. Однак CRM-системи зазвичай підключаються не напряму, а через комерційних агрегаторів даних (DataTree, ATTOM Data Solutions, CoreLogic), які ліцензують bulk-дані від Recorder's Office і надають їх через API. Ці сервіси є платними і не потребують спеціальних ліцензій — лише комерційний договір.</w:t>
      </w:r>
    </w:p>
    <w:p w14:paraId="1A08901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Будь-яка компанія.</w:t>
      </w:r>
    </w:p>
    <w:p w14:paraId="558B83C6"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Так, активно використовується. Дані про передачу права власності, акти, іпотечні записи — ключова аналітика для motivated seller detection.</w:t>
      </w:r>
    </w:p>
    <w:p w14:paraId="644B2FD6"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pict w14:anchorId="661FAABC">
          <v:rect id="_x0000_i1032" style="width:0;height:0" o:hralign="center" o:hrstd="t" o:hr="t" fillcolor="#a0a0a0" stroked="f"/>
        </w:pict>
      </w:r>
    </w:p>
    <w:p w14:paraId="3377125D"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5. HUD HomeStore (Міністерство HUD)</w:t>
      </w:r>
    </w:p>
    <w:p w14:paraId="7A0849A8"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Обмежений доступ — потрібна реєстрація як зареєстрований агент або брокер HUD.</w:t>
      </w:r>
    </w:p>
    <w:p w14:paraId="2AFEA40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Для активної роботи з лістингами відчужених об'єктів HUD (REO) потрібна реєстрація на платформі HUD Homes (через HUD's Management and Marketing contractors — зараз це Sage Acquisitions та інші). Агент повинен мати діючу ліцензію на нерухомість (real estate license). Перегляд лістингів HUD — безкоштовний і публічний. Подавати пропозиції від імені клієнтів — лише через зареєстрованих брокерів.</w:t>
      </w:r>
    </w:p>
    <w:p w14:paraId="05E6521F"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Отримати програматичний API-доступ можуть компанії через партнерські угоди HUD або через агрегаторів. Для CRM-аналітики прямий доступ не передбачений — дані доступні через сторонні сервіси або web scraping (з обмеженнями умов використання).</w:t>
      </w:r>
    </w:p>
    <w:p w14:paraId="6FE912A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Так, але опосередковано. Дані про REO-об'єкти (відчужені будинки) є публічними, але для автоматизованої інтеграції в CRM потрібен договір з агрегатором або отримання ліцензії агента нерухомості.</w:t>
      </w:r>
    </w:p>
    <w:p w14:paraId="5B7C7A23"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1EF280E4">
          <v:rect id="_x0000_i1038" alt="" style="width:468pt;height:.05pt;mso-width-percent:0;mso-height-percent:0;mso-width-percent:0;mso-height-percent:0" o:hralign="center" o:hrstd="t" o:hr="t" fillcolor="#a0a0a0" stroked="f"/>
        </w:pict>
      </w:r>
    </w:p>
    <w:p w14:paraId="51666DDA"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6. Fannie Mae HomePath</w:t>
      </w:r>
    </w:p>
    <w:p w14:paraId="61911591"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Публічний перегляд, але подавати заявки — лише через ліцензованих агентів.</w:t>
      </w:r>
    </w:p>
    <w:p w14:paraId="15F53F8F"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xml:space="preserve"> Лістинги REO-об'єктів Fannie Mae відкриті для перегляду на homepath.com. Для участі в угодах як агент — потрібна діюча ліцензія на нерухомість. API-доступ для </w:t>
      </w:r>
      <w:r w:rsidRPr="004141FD">
        <w:rPr>
          <w:rFonts w:ascii="Georgia" w:eastAsia="Times New Roman" w:hAnsi="Georgia" w:cs="Times New Roman"/>
          <w:color w:val="141413"/>
          <w:kern w:val="0"/>
          <w:sz w:val="21"/>
          <w:szCs w:val="21"/>
          <w14:ligatures w14:val="none"/>
        </w:rPr>
        <w:lastRenderedPageBreak/>
        <w:t>інтеграцій надається виключно через офіційні партнерські програми Fannie Mae та через агрегаторів (ATTOM, CoreLogic).</w:t>
      </w:r>
    </w:p>
    <w:p w14:paraId="7C94094B"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Для аналітики — будь-яка компанія через агрегаторів. Для транзакційної роботи — лише ліцензовані агенти.</w:t>
      </w:r>
    </w:p>
    <w:p w14:paraId="563572DD"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Обмежено. Дані про REO-об'єкти можна використовувати як індикатор дистрес-активів, але пряма API-інтеграція вимагає або партнерства з Fannie Mae, або підписки на комерційний агрегатор.</w:t>
      </w:r>
    </w:p>
    <w:p w14:paraId="5B84626C"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31D9C93D">
          <v:rect id="_x0000_i1037" alt="" style="width:468pt;height:.05pt;mso-width-percent:0;mso-height-percent:0;mso-width-percent:0;mso-height-percent:0" o:hralign="center" o:hrstd="t" o:hr="t" fillcolor="#a0a0a0" stroked="f"/>
        </w:pict>
      </w:r>
    </w:p>
    <w:p w14:paraId="00C0B6C9"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7. NWMLS (Northwest Multiple Listing Service)</w:t>
      </w:r>
    </w:p>
    <w:p w14:paraId="7C30DF8F"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НАЙСУВОРІШІ обмеження з усіх 10 баз. Спеціалізована ліцензія обов'язкова.</w:t>
      </w:r>
    </w:p>
    <w:p w14:paraId="79FD6709"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NWMLS є member-owned кооперативом. Доступ надається виключно членам NWMLS — тобто брокерам та агентам нерухомості, які мають діючу ліцензію в штаті Вашингтон (або Орегон) І є членами NWMLS з активною членською угодою. Наразі об'єднує понад 30,000 брокерів.</w:t>
      </w:r>
    </w:p>
    <w:p w14:paraId="0966B3D7"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color w:val="141413"/>
          <w:kern w:val="0"/>
          <w:sz w:val="21"/>
          <w:szCs w:val="21"/>
          <w14:ligatures w14:val="none"/>
        </w:rPr>
        <w:t>Компанія без ліцензії на нерухомість НЕ може стати прямим членом NWMLS. Проте існує альтернатива: RESO (Real Estate Standards Organization) API — брокери-члени можуть надавати IDX/RETS feeds стороннім технологічним компаніям через спеціальну Data Share угоду, але тільки за умови схвалення NWMLS і підписання IDX License Agreement.</w:t>
      </w:r>
    </w:p>
    <w:p w14:paraId="440E046A"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Лише ліцензовані брокери нерухомості WA/OR, члени NWMLS. Для PropTech/CRM компаній — тільки через IDX partnership з діючим брокером-членом.</w:t>
      </w:r>
    </w:p>
    <w:p w14:paraId="68CC3105"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Технічно дозволено лише для відображення лістингів (IDX), але НЕ для bulk аналітики, AI-навчання або перепродажу даних без окремої ліцензійної угоди. Це найскладніший кейс серед усіх 10 баз.</w:t>
      </w:r>
    </w:p>
    <w:p w14:paraId="7C8176D6"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06249D76">
          <v:rect id="_x0000_i1036" alt="" style="width:468pt;height:.05pt;mso-width-percent:0;mso-height-percent:0;mso-width-percent:0;mso-height-percent:0" o:hralign="center" o:hrstd="t" o:hr="t" fillcolor="#a0a0a0" stroked="f"/>
        </w:pict>
      </w:r>
    </w:p>
    <w:p w14:paraId="0DB8F0C6"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8. Zillow</w:t>
      </w:r>
    </w:p>
    <w:p w14:paraId="0AF9872B"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Дворівневий — дослідницькі дані безкоштовно, але API-інтеграція лістингів комерційна/закрита.</w:t>
      </w:r>
    </w:p>
    <w:p w14:paraId="21C328AE"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Zillow Research Data (ZHVI, ZORI тощо) — безкоштовно скачуються у CSV без реєстрації. Однак Zillow вже у 2021 році закрив публічний API (Zillow API). Зараз програматичний доступ до актуальних лістингів можливий лише через Bridge Interactive (дочірня компанія Zillow Group) або через стандартний RESO/RETS feed від підключених MLS, або через комерційні партнерства. Умови використання Zillow прямо забороняють автоматизований парсинг і скрейпінг без письмового дозволу.</w:t>
      </w:r>
    </w:p>
    <w:p w14:paraId="56FC6D8E"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Для агрегованих ринкових даних — будь-хто безкоштовно. Для інтеграції лістингів — тільки через платне партнерство або Bridge Interactive.</w:t>
      </w:r>
    </w:p>
    <w:p w14:paraId="2D03D254"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Агреговані дані (ZHVI, ZORI) — так, безкоштовно для аналітики. Реальні активні лістинги через Zillow API — потрібна комерційна угода.</w:t>
      </w:r>
    </w:p>
    <w:p w14:paraId="06A8B005"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4E6C1613">
          <v:rect id="_x0000_i1035" alt="" style="width:468pt;height:.05pt;mso-width-percent:0;mso-height-percent:0;mso-width-percent:0;mso-height-percent:0" o:hralign="center" o:hrstd="t" o:hr="t" fillcolor="#a0a0a0" stroked="f"/>
        </w:pict>
      </w:r>
    </w:p>
    <w:p w14:paraId="10755895"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9. Redfin</w:t>
      </w:r>
    </w:p>
    <w:p w14:paraId="00D3F86A"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Тип доступу:</w:t>
      </w:r>
      <w:r w:rsidRPr="004141FD">
        <w:rPr>
          <w:rFonts w:ascii="Georgia" w:eastAsia="Times New Roman" w:hAnsi="Georgia" w:cs="Times New Roman"/>
          <w:color w:val="141413"/>
          <w:kern w:val="0"/>
          <w:sz w:val="21"/>
          <w:szCs w:val="21"/>
          <w14:ligatures w14:val="none"/>
        </w:rPr>
        <w:t> Публічні зведені дані безкоштовно, API лістингів — закритий.</w:t>
      </w:r>
    </w:p>
    <w:p w14:paraId="5EEDBB65"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Redfin Data Center публікує безкоштовні CSV-файли з ринковими трендами (тижневий оновлення). Але умови використання явно забороняють "automated crawl or query the Services" без письмового дозволу Redfin Companies (п. 2.3.5 Terms of Use). Прямого публічного API для лістингів Redfin не надає — вони є брокером і їхні дані є їхньою власністю.</w:t>
      </w:r>
    </w:p>
    <w:p w14:paraId="613AF712"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Для завантажувальних CSV-даних — будь-хто. Для API-доступу до лістингів — лише через офіційну партнерську програму Redfin (вони обирають партнерів самостійно).</w:t>
      </w:r>
    </w:p>
    <w:p w14:paraId="2E2549A1"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Зведені ринкові метрики (медіанна ціна, дні на ринку тощо) — так. Пряма інтеграція реальних лістингів — потрібна письмова угода з Redfin.</w:t>
      </w:r>
    </w:p>
    <w:p w14:paraId="67866207"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70E065FE">
          <v:rect id="_x0000_i1034" alt="" style="width:468pt;height:.05pt;mso-width-percent:0;mso-height-percent:0;mso-width-percent:0;mso-height-percent:0" o:hralign="center" o:hrstd="t" o:hr="t" fillcolor="#a0a0a0" stroked="f"/>
        </w:pict>
      </w:r>
    </w:p>
    <w:p w14:paraId="296B9DC1"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10. Trulia</w:t>
      </w:r>
    </w:p>
    <w:p w14:paraId="208FCE94"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lastRenderedPageBreak/>
        <w:t>Тип доступу:</w:t>
      </w:r>
      <w:r w:rsidRPr="004141FD">
        <w:rPr>
          <w:rFonts w:ascii="Georgia" w:eastAsia="Times New Roman" w:hAnsi="Georgia" w:cs="Times New Roman"/>
          <w:color w:val="141413"/>
          <w:kern w:val="0"/>
          <w:sz w:val="21"/>
          <w:szCs w:val="21"/>
          <w14:ligatures w14:val="none"/>
        </w:rPr>
        <w:t> Фактично — через Zillow Group. Окремого API немає.</w:t>
      </w:r>
    </w:p>
    <w:p w14:paraId="47F4D8F5"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Як отримати:</w:t>
      </w:r>
      <w:r w:rsidRPr="004141FD">
        <w:rPr>
          <w:rFonts w:ascii="Georgia" w:eastAsia="Times New Roman" w:hAnsi="Georgia" w:cs="Times New Roman"/>
          <w:color w:val="141413"/>
          <w:kern w:val="0"/>
          <w:sz w:val="21"/>
          <w:szCs w:val="21"/>
          <w14:ligatures w14:val="none"/>
        </w:rPr>
        <w:t> Trulia є дочірньою компанією Zillow Group з 2015 року. У неї немає самостійного API. Весь доступ йде через ті ж механізми, що і для Zillow (Bridge Interactive, партнерські угоди). Умови використання ідентичні Zillow.</w:t>
      </w:r>
    </w:p>
    <w:p w14:paraId="17341D00"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Хто може отримати:</w:t>
      </w:r>
      <w:r w:rsidRPr="004141FD">
        <w:rPr>
          <w:rFonts w:ascii="Georgia" w:eastAsia="Times New Roman" w:hAnsi="Georgia" w:cs="Times New Roman"/>
          <w:color w:val="141413"/>
          <w:kern w:val="0"/>
          <w:sz w:val="21"/>
          <w:szCs w:val="21"/>
          <w14:ligatures w14:val="none"/>
        </w:rPr>
        <w:t> Так само як Zillow — через Zillow Group partnership або Bridge Interactive.</w:t>
      </w:r>
    </w:p>
    <w:p w14:paraId="4549555A"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Використання в CRM:</w:t>
      </w:r>
      <w:r w:rsidRPr="004141FD">
        <w:rPr>
          <w:rFonts w:ascii="Georgia" w:eastAsia="Times New Roman" w:hAnsi="Georgia" w:cs="Times New Roman"/>
          <w:color w:val="141413"/>
          <w:kern w:val="0"/>
          <w:sz w:val="21"/>
          <w:szCs w:val="21"/>
          <w14:ligatures w14:val="none"/>
        </w:rPr>
        <w:t> Ринкові тренди — опосередковано через Zillow Research. Лістинги — тільки через комерційне партнерство з Zillow Group.</w:t>
      </w:r>
    </w:p>
    <w:p w14:paraId="295C3B0F" w14:textId="77777777" w:rsidR="004141FD" w:rsidRPr="004141FD" w:rsidRDefault="004F3797" w:rsidP="004141FD">
      <w:pPr>
        <w:spacing w:after="0" w:line="240" w:lineRule="auto"/>
        <w:rPr>
          <w:rFonts w:ascii="Georgia" w:eastAsia="Times New Roman" w:hAnsi="Georgia" w:cs="Times New Roman"/>
          <w:color w:val="141413"/>
          <w:kern w:val="0"/>
          <w:sz w:val="21"/>
          <w:szCs w:val="21"/>
          <w14:ligatures w14:val="none"/>
        </w:rPr>
      </w:pPr>
      <w:r w:rsidRPr="004F3797">
        <w:rPr>
          <w:rFonts w:ascii="Georgia" w:eastAsia="Times New Roman" w:hAnsi="Georgia" w:cs="Times New Roman"/>
          <w:noProof/>
          <w:color w:val="141413"/>
          <w:kern w:val="0"/>
          <w:sz w:val="21"/>
          <w:szCs w:val="21"/>
        </w:rPr>
        <w:pict w14:anchorId="49D1A04E">
          <v:rect id="_x0000_i1033" alt="" style="width:468pt;height:.05pt;mso-width-percent:0;mso-height-percent:0;mso-width-percent:0;mso-height-percent:0" o:hralign="center" o:hrstd="t" o:hr="t" fillcolor="#a0a0a0" stroked="f"/>
        </w:pict>
      </w:r>
    </w:p>
    <w:p w14:paraId="52526E5D" w14:textId="77777777" w:rsidR="004141FD" w:rsidRPr="004141FD" w:rsidRDefault="004141FD" w:rsidP="004141FD">
      <w:pPr>
        <w:spacing w:before="120" w:after="0" w:line="240" w:lineRule="auto"/>
        <w:outlineLvl w:val="2"/>
        <w:rPr>
          <w:rFonts w:ascii="Georgia" w:eastAsia="Times New Roman" w:hAnsi="Georgia" w:cs="Times New Roman"/>
          <w:b/>
          <w:bCs/>
          <w:color w:val="141413"/>
          <w:kern w:val="0"/>
          <w:sz w:val="27"/>
          <w:szCs w:val="27"/>
          <w14:ligatures w14:val="none"/>
        </w:rPr>
      </w:pPr>
      <w:r w:rsidRPr="004141FD">
        <w:rPr>
          <w:rFonts w:ascii="Georgia" w:eastAsia="Times New Roman" w:hAnsi="Georgia" w:cs="Times New Roman"/>
          <w:b/>
          <w:bCs/>
          <w:color w:val="141413"/>
          <w:kern w:val="0"/>
          <w:sz w:val="27"/>
          <w:szCs w:val="27"/>
          <w14:ligatures w14:val="none"/>
        </w:rPr>
        <w:t>Зведена таблиця</w:t>
      </w:r>
    </w:p>
    <w:tbl>
      <w:tblPr>
        <w:tblW w:w="0" w:type="auto"/>
        <w:tblCellMar>
          <w:left w:w="0" w:type="dxa"/>
          <w:right w:w="0" w:type="dxa"/>
        </w:tblCellMar>
        <w:tblLook w:val="04A0" w:firstRow="1" w:lastRow="0" w:firstColumn="1" w:lastColumn="0" w:noHBand="0" w:noVBand="1"/>
      </w:tblPr>
      <w:tblGrid>
        <w:gridCol w:w="1456"/>
        <w:gridCol w:w="2257"/>
        <w:gridCol w:w="1965"/>
        <w:gridCol w:w="1690"/>
        <w:gridCol w:w="1986"/>
      </w:tblGrid>
      <w:tr w:rsidR="004141FD" w:rsidRPr="004141FD" w14:paraId="3104C20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60BD4D"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База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4B12CD"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Тип обмеження</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1D4EE3"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Хто може отримати</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684371"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Потрібна спец. ліцензія?</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F00BE2" w14:textId="77777777" w:rsidR="004141FD" w:rsidRPr="004141FD" w:rsidRDefault="004141FD" w:rsidP="004141FD">
            <w:pPr>
              <w:spacing w:after="0" w:line="240" w:lineRule="auto"/>
              <w:jc w:val="center"/>
              <w:rPr>
                <w:rFonts w:ascii="Times New Roman" w:eastAsia="Times New Roman" w:hAnsi="Times New Roman" w:cs="Times New Roman"/>
                <w:b/>
                <w:bCs/>
                <w:color w:val="141413"/>
                <w:kern w:val="0"/>
                <w:sz w:val="21"/>
                <w:szCs w:val="21"/>
                <w14:ligatures w14:val="none"/>
              </w:rPr>
            </w:pPr>
            <w:r w:rsidRPr="004141FD">
              <w:rPr>
                <w:rFonts w:ascii="Times New Roman" w:eastAsia="Times New Roman" w:hAnsi="Times New Roman" w:cs="Times New Roman"/>
                <w:b/>
                <w:bCs/>
                <w:color w:val="141413"/>
                <w:kern w:val="0"/>
                <w:sz w:val="21"/>
                <w:szCs w:val="21"/>
                <w14:ligatures w14:val="none"/>
              </w:rPr>
              <w:t>Дозволено в CRM-аналітиці?</w:t>
            </w:r>
          </w:p>
        </w:tc>
      </w:tr>
      <w:tr w:rsidR="004141FD" w:rsidRPr="004141FD" w14:paraId="0923AC8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947A16"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PACER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1C54EA"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Платна реєстрація (pay-per-use)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F27450"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Будь-хто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652310"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FEFC59"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Так</w:t>
            </w:r>
          </w:p>
        </w:tc>
      </w:tr>
      <w:tr w:rsidR="004141FD" w:rsidRPr="004141FD" w14:paraId="701F484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9DF0B0"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WA Sec of State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275446"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Частково відкрита / bulk платно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D8CE14"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Будь-хто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66CE80"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0CDA4C"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Так</w:t>
            </w:r>
          </w:p>
        </w:tc>
      </w:tr>
      <w:tr w:rsidR="004141FD" w:rsidRPr="004141FD" w14:paraId="4AB9F14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240415"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WA Courts SCOMIS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BDA06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Платна підписка ($200 setup + $0.145/запит)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C046BF"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Будь-хто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66DC5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20A07F"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Так (з обмеженнями по PII)</w:t>
            </w:r>
          </w:p>
        </w:tc>
      </w:tr>
      <w:tr w:rsidR="004141FD" w:rsidRPr="004141FD" w14:paraId="2166F7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69A255"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King County Recorder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856E8C"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Портал безкоштовний / API через агрегатори</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EEB845"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Будь-хто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1FE683"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DB1950"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Так</w:t>
            </w:r>
          </w:p>
        </w:tc>
      </w:tr>
      <w:tr w:rsidR="004141FD" w:rsidRPr="004141FD" w14:paraId="4ACC192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26DB11"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HUD HomeStore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AEC5B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Публічний перегляд / API через партнерів</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E49DBB"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Агенти нерухомості для транзакцій</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83E001"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Ліцензія агента для угод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3574BC"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Обмежено (через агрегатора)</w:t>
            </w:r>
          </w:p>
        </w:tc>
      </w:tr>
      <w:tr w:rsidR="004141FD" w:rsidRPr="004141FD" w14:paraId="00C832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ECCFBF"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Fannie Mae HomePath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EA942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Публічний перегляд / партнерство для API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434842"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Ліцензовані агенти для угод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37D183"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Ліцензія агента для угод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6D57A5"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Обмежено (через агрегатора)</w:t>
            </w:r>
          </w:p>
        </w:tc>
      </w:tr>
      <w:tr w:rsidR="004141FD" w:rsidRPr="004141FD" w14:paraId="52AFE8B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4A19BC"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NWMLS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CA0856"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Членська ліцензія</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AE6B59"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Тільки ліцензовані брокери WA/OR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591BF3"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Так — обов'язково</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91F6A5"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b/>
                <w:bCs/>
                <w:kern w:val="0"/>
                <w:sz w:val="21"/>
                <w:szCs w:val="21"/>
                <w14:ligatures w14:val="none"/>
              </w:rPr>
              <w:t>Тільки через IDX-угоду з членом</w:t>
            </w:r>
          </w:p>
        </w:tc>
      </w:tr>
      <w:tr w:rsidR="004141FD" w:rsidRPr="004141FD" w14:paraId="038D5D9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7F86FA"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Zillow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69FE22"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Дані безкоштовно / API закритий</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474BFA"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Будь-хто (дані) / партнери (API)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3A5F55"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680B7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Частково (CSV так, API — угода)</w:t>
            </w:r>
          </w:p>
        </w:tc>
      </w:tr>
      <w:tr w:rsidR="004141FD" w:rsidRPr="004141FD" w14:paraId="185F19E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4C3B43"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Redfin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8A73E3"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CSV безкоштовно / API закритий</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8C94F9"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Будь-хто (CSV) / партнери (API)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3BCF33"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88C0F4"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Частково</w:t>
            </w:r>
          </w:p>
        </w:tc>
      </w:tr>
      <w:tr w:rsidR="004141FD" w:rsidRPr="004141FD" w14:paraId="349F3C2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723EF1"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Trulia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E54C9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Через Zillow Group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B8EB32"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Через Zillow Group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238D92"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Ні</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FADA8D" w14:textId="77777777" w:rsidR="004141FD" w:rsidRPr="004141FD" w:rsidRDefault="004141FD" w:rsidP="004141FD">
            <w:pPr>
              <w:spacing w:after="0" w:line="240" w:lineRule="auto"/>
              <w:rPr>
                <w:rFonts w:ascii="Times New Roman" w:eastAsia="Times New Roman" w:hAnsi="Times New Roman" w:cs="Times New Roman"/>
                <w:kern w:val="0"/>
                <w:sz w:val="21"/>
                <w:szCs w:val="21"/>
                <w14:ligatures w14:val="none"/>
              </w:rPr>
            </w:pPr>
            <w:r w:rsidRPr="004141FD">
              <w:rPr>
                <w:rFonts w:ascii="Times New Roman" w:eastAsia="Times New Roman" w:hAnsi="Times New Roman" w:cs="Times New Roman"/>
                <w:kern w:val="0"/>
                <w:sz w:val="21"/>
                <w:szCs w:val="21"/>
                <w14:ligatures w14:val="none"/>
              </w:rPr>
              <w:t>Через Zillow Group</w:t>
            </w:r>
          </w:p>
        </w:tc>
      </w:tr>
    </w:tbl>
    <w:p w14:paraId="5BD2567D" w14:textId="77777777" w:rsidR="004141FD" w:rsidRPr="004141FD" w:rsidRDefault="004141FD" w:rsidP="004141FD">
      <w:pPr>
        <w:spacing w:after="0" w:line="240" w:lineRule="auto"/>
        <w:rPr>
          <w:rFonts w:ascii="Georgia" w:eastAsia="Times New Roman" w:hAnsi="Georgia" w:cs="Times New Roman"/>
          <w:color w:val="141413"/>
          <w:kern w:val="0"/>
          <w:sz w:val="21"/>
          <w:szCs w:val="21"/>
          <w14:ligatures w14:val="none"/>
        </w:rPr>
      </w:pPr>
      <w:r w:rsidRPr="004141FD">
        <w:rPr>
          <w:rFonts w:ascii="Georgia" w:eastAsia="Times New Roman" w:hAnsi="Georgia" w:cs="Times New Roman"/>
          <w:b/>
          <w:bCs/>
          <w:color w:val="141413"/>
          <w:kern w:val="0"/>
          <w:sz w:val="21"/>
          <w:szCs w:val="21"/>
          <w14:ligatures w14:val="none"/>
        </w:rPr>
        <w:t>Головний висновок:</w:t>
      </w:r>
      <w:r w:rsidRPr="004141FD">
        <w:rPr>
          <w:rFonts w:ascii="Georgia" w:eastAsia="Times New Roman" w:hAnsi="Georgia" w:cs="Times New Roman"/>
          <w:color w:val="141413"/>
          <w:kern w:val="0"/>
          <w:sz w:val="21"/>
          <w:szCs w:val="21"/>
          <w14:ligatures w14:val="none"/>
        </w:rPr>
        <w:t> Єдина база, що вимагає обов'язкової </w:t>
      </w:r>
      <w:r w:rsidRPr="004141FD">
        <w:rPr>
          <w:rFonts w:ascii="Georgia" w:eastAsia="Times New Roman" w:hAnsi="Georgia" w:cs="Times New Roman"/>
          <w:b/>
          <w:bCs/>
          <w:color w:val="141413"/>
          <w:kern w:val="0"/>
          <w:sz w:val="21"/>
          <w:szCs w:val="21"/>
          <w14:ligatures w14:val="none"/>
        </w:rPr>
        <w:t>спеціалізованої ліцензії</w:t>
      </w:r>
      <w:r w:rsidRPr="004141FD">
        <w:rPr>
          <w:rFonts w:ascii="Georgia" w:eastAsia="Times New Roman" w:hAnsi="Georgia" w:cs="Times New Roman"/>
          <w:color w:val="141413"/>
          <w:kern w:val="0"/>
          <w:sz w:val="21"/>
          <w:szCs w:val="21"/>
          <w14:ligatures w14:val="none"/>
        </w:rPr>
        <w:t> — це </w:t>
      </w:r>
      <w:r w:rsidRPr="004141FD">
        <w:rPr>
          <w:rFonts w:ascii="Georgia" w:eastAsia="Times New Roman" w:hAnsi="Georgia" w:cs="Times New Roman"/>
          <w:b/>
          <w:bCs/>
          <w:color w:val="141413"/>
          <w:kern w:val="0"/>
          <w:sz w:val="21"/>
          <w:szCs w:val="21"/>
          <w14:ligatures w14:val="none"/>
        </w:rPr>
        <w:t>NWMLS</w:t>
      </w:r>
      <w:r w:rsidRPr="004141FD">
        <w:rPr>
          <w:rFonts w:ascii="Georgia" w:eastAsia="Times New Roman" w:hAnsi="Georgia" w:cs="Times New Roman"/>
          <w:color w:val="141413"/>
          <w:kern w:val="0"/>
          <w:sz w:val="21"/>
          <w:szCs w:val="21"/>
          <w14:ligatures w14:val="none"/>
        </w:rPr>
        <w:t> (ліцензія брокера нерухомості штату Вашингтон + членство). Всі інші або відкриті з оплатою, або доступні через комерційні угоди без галузевих ліцензій. Для CRM Bellshire Homes, враховуючи що це брокерська компанія з ліцензованими агентами, всі 10 баз потенційно досяжні — але для 6 з них найпрактичніший шлях це підписка на агрегатор типу </w:t>
      </w:r>
      <w:r w:rsidRPr="004141FD">
        <w:rPr>
          <w:rFonts w:ascii="Georgia" w:eastAsia="Times New Roman" w:hAnsi="Georgia" w:cs="Times New Roman"/>
          <w:b/>
          <w:bCs/>
          <w:color w:val="141413"/>
          <w:kern w:val="0"/>
          <w:sz w:val="21"/>
          <w:szCs w:val="21"/>
          <w14:ligatures w14:val="none"/>
        </w:rPr>
        <w:t>ATTOM Data Solutions</w:t>
      </w:r>
      <w:r w:rsidRPr="004141FD">
        <w:rPr>
          <w:rFonts w:ascii="Georgia" w:eastAsia="Times New Roman" w:hAnsi="Georgia" w:cs="Times New Roman"/>
          <w:color w:val="141413"/>
          <w:kern w:val="0"/>
          <w:sz w:val="21"/>
          <w:szCs w:val="21"/>
          <w14:ligatures w14:val="none"/>
        </w:rPr>
        <w:t> або </w:t>
      </w:r>
      <w:r w:rsidRPr="004141FD">
        <w:rPr>
          <w:rFonts w:ascii="Georgia" w:eastAsia="Times New Roman" w:hAnsi="Georgia" w:cs="Times New Roman"/>
          <w:b/>
          <w:bCs/>
          <w:color w:val="141413"/>
          <w:kern w:val="0"/>
          <w:sz w:val="21"/>
          <w:szCs w:val="21"/>
          <w14:ligatures w14:val="none"/>
        </w:rPr>
        <w:t>CoreLogic</w:t>
      </w:r>
      <w:r w:rsidRPr="004141FD">
        <w:rPr>
          <w:rFonts w:ascii="Georgia" w:eastAsia="Times New Roman" w:hAnsi="Georgia" w:cs="Times New Roman"/>
          <w:color w:val="141413"/>
          <w:kern w:val="0"/>
          <w:sz w:val="21"/>
          <w:szCs w:val="21"/>
          <w14:ligatures w14:val="none"/>
        </w:rPr>
        <w:t>, який вже зібрав дані з Recorder, HUD, Fannie Mae та інших у єдиний платний API.</w:t>
      </w:r>
    </w:p>
    <w:p w14:paraId="2F4CE276" w14:textId="77777777" w:rsidR="004141FD" w:rsidRPr="004141FD" w:rsidRDefault="004141FD" w:rsidP="004141FD">
      <w:pPr>
        <w:shd w:val="clear" w:color="auto" w:fill="F9ECEC"/>
        <w:spacing w:after="0" w:line="240" w:lineRule="auto"/>
        <w:rPr>
          <w:rFonts w:ascii="Segoe UI" w:eastAsia="Times New Roman" w:hAnsi="Segoe UI" w:cs="Segoe UI"/>
          <w:color w:val="B53333"/>
          <w:kern w:val="0"/>
          <w:sz w:val="18"/>
          <w:szCs w:val="18"/>
          <w14:ligatures w14:val="none"/>
        </w:rPr>
      </w:pPr>
      <w:r w:rsidRPr="004141FD">
        <w:rPr>
          <w:rFonts w:ascii="Segoe UI" w:eastAsia="Times New Roman" w:hAnsi="Segoe UI" w:cs="Segoe UI"/>
          <w:color w:val="B53333"/>
          <w:kern w:val="0"/>
          <w:sz w:val="18"/>
          <w:szCs w:val="18"/>
          <w14:ligatures w14:val="none"/>
        </w:rPr>
        <w:t>Spend limit reached · Manage</w:t>
      </w:r>
    </w:p>
    <w:p w14:paraId="339895AB" w14:textId="77777777" w:rsidR="004141FD" w:rsidRPr="004141FD" w:rsidRDefault="004141FD" w:rsidP="004141FD">
      <w:pPr>
        <w:shd w:val="clear" w:color="auto" w:fill="FFFFFF"/>
        <w:spacing w:after="0" w:line="240" w:lineRule="auto"/>
        <w:rPr>
          <w:rFonts w:ascii="Segoe UI" w:eastAsia="Times New Roman" w:hAnsi="Segoe UI" w:cs="Segoe UI"/>
          <w:color w:val="141413"/>
          <w:kern w:val="0"/>
          <w:sz w:val="21"/>
          <w:szCs w:val="21"/>
          <w14:ligatures w14:val="none"/>
        </w:rPr>
      </w:pPr>
    </w:p>
    <w:p w14:paraId="7FB2A1ED" w14:textId="77777777" w:rsidR="004141FD" w:rsidRPr="004141FD" w:rsidRDefault="004141FD" w:rsidP="004141FD">
      <w:pPr>
        <w:shd w:val="clear" w:color="auto" w:fill="FFFFFF"/>
        <w:spacing w:after="0" w:line="240" w:lineRule="auto"/>
        <w:rPr>
          <w:rFonts w:ascii="Segoe UI" w:eastAsia="Times New Roman" w:hAnsi="Segoe UI" w:cs="Segoe UI"/>
          <w:color w:val="000000"/>
          <w:kern w:val="0"/>
          <w:sz w:val="18"/>
          <w:szCs w:val="18"/>
          <w14:ligatures w14:val="none"/>
        </w:rPr>
      </w:pPr>
      <w:r w:rsidRPr="004141FD">
        <w:rPr>
          <w:rFonts w:ascii="Segoe UI" w:eastAsia="Times New Roman" w:hAnsi="Segoe UI" w:cs="Segoe UI"/>
          <w:color w:val="000000"/>
          <w:kern w:val="0"/>
          <w:sz w:val="18"/>
          <w:szCs w:val="18"/>
          <w14:ligatures w14:val="none"/>
        </w:rPr>
        <w:t>Ask before acting</w:t>
      </w:r>
    </w:p>
    <w:p w14:paraId="02FAF504" w14:textId="77777777" w:rsidR="004141FD" w:rsidRPr="004141FD" w:rsidRDefault="004141FD" w:rsidP="004141FD">
      <w:pPr>
        <w:shd w:val="clear" w:color="auto" w:fill="FAF9F5"/>
        <w:spacing w:after="0" w:line="240" w:lineRule="auto"/>
        <w:rPr>
          <w:rFonts w:ascii="Segoe UI" w:eastAsia="Times New Roman" w:hAnsi="Segoe UI" w:cs="Segoe UI"/>
          <w:color w:val="73726C"/>
          <w:kern w:val="0"/>
          <w:sz w:val="18"/>
          <w:szCs w:val="18"/>
          <w14:ligatures w14:val="none"/>
        </w:rPr>
      </w:pPr>
      <w:hyperlink r:id="rId4" w:tgtFrame="_blank" w:history="1">
        <w:r w:rsidRPr="004141FD">
          <w:rPr>
            <w:rFonts w:ascii="Segoe UI" w:eastAsia="Times New Roman" w:hAnsi="Segoe UI" w:cs="Segoe UI"/>
            <w:color w:val="0000FF"/>
            <w:kern w:val="0"/>
            <w:sz w:val="17"/>
            <w:szCs w:val="17"/>
            <w14:ligatures w14:val="none"/>
          </w:rPr>
          <w:t>Claude is AI and can make mistakes. Please double-check responses.</w:t>
        </w:r>
      </w:hyperlink>
    </w:p>
    <w:p w14:paraId="70964DED" w14:textId="77777777" w:rsidR="004141FD" w:rsidRPr="004141FD" w:rsidRDefault="004141FD" w:rsidP="004141FD">
      <w:pPr>
        <w:spacing w:after="0" w:line="240" w:lineRule="auto"/>
        <w:rPr>
          <w:rFonts w:ascii="Times New Roman" w:eastAsia="Times New Roman" w:hAnsi="Times New Roman" w:cs="Times New Roman"/>
          <w:kern w:val="0"/>
          <w14:ligatures w14:val="none"/>
        </w:rPr>
      </w:pPr>
    </w:p>
    <w:p w14:paraId="75CC8969" w14:textId="77777777" w:rsidR="009A3290" w:rsidRDefault="009A3290"/>
    <w:sectPr w:rsidR="009A3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FD"/>
    <w:rsid w:val="00040FEC"/>
    <w:rsid w:val="00080771"/>
    <w:rsid w:val="001C2A3C"/>
    <w:rsid w:val="002B28F7"/>
    <w:rsid w:val="003663DD"/>
    <w:rsid w:val="004141FD"/>
    <w:rsid w:val="004F3797"/>
    <w:rsid w:val="006C062E"/>
    <w:rsid w:val="009A3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5195"/>
  <w15:chartTrackingRefBased/>
  <w15:docId w15:val="{F0D941AE-33F1-BD47-85C9-332F26BC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4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4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4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1FD"/>
    <w:rPr>
      <w:rFonts w:eastAsiaTheme="majorEastAsia" w:cstheme="majorBidi"/>
      <w:color w:val="272727" w:themeColor="text1" w:themeTint="D8"/>
    </w:rPr>
  </w:style>
  <w:style w:type="paragraph" w:styleId="Title">
    <w:name w:val="Title"/>
    <w:basedOn w:val="Normal"/>
    <w:next w:val="Normal"/>
    <w:link w:val="TitleChar"/>
    <w:uiPriority w:val="10"/>
    <w:qFormat/>
    <w:rsid w:val="0041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1FD"/>
    <w:pPr>
      <w:spacing w:before="160"/>
      <w:jc w:val="center"/>
    </w:pPr>
    <w:rPr>
      <w:i/>
      <w:iCs/>
      <w:color w:val="404040" w:themeColor="text1" w:themeTint="BF"/>
    </w:rPr>
  </w:style>
  <w:style w:type="character" w:customStyle="1" w:styleId="QuoteChar">
    <w:name w:val="Quote Char"/>
    <w:basedOn w:val="DefaultParagraphFont"/>
    <w:link w:val="Quote"/>
    <w:uiPriority w:val="29"/>
    <w:rsid w:val="004141FD"/>
    <w:rPr>
      <w:i/>
      <w:iCs/>
      <w:color w:val="404040" w:themeColor="text1" w:themeTint="BF"/>
    </w:rPr>
  </w:style>
  <w:style w:type="paragraph" w:styleId="ListParagraph">
    <w:name w:val="List Paragraph"/>
    <w:basedOn w:val="Normal"/>
    <w:uiPriority w:val="34"/>
    <w:qFormat/>
    <w:rsid w:val="004141FD"/>
    <w:pPr>
      <w:ind w:left="720"/>
      <w:contextualSpacing/>
    </w:pPr>
  </w:style>
  <w:style w:type="character" w:styleId="IntenseEmphasis">
    <w:name w:val="Intense Emphasis"/>
    <w:basedOn w:val="DefaultParagraphFont"/>
    <w:uiPriority w:val="21"/>
    <w:qFormat/>
    <w:rsid w:val="004141FD"/>
    <w:rPr>
      <w:i/>
      <w:iCs/>
      <w:color w:val="0F4761" w:themeColor="accent1" w:themeShade="BF"/>
    </w:rPr>
  </w:style>
  <w:style w:type="paragraph" w:styleId="IntenseQuote">
    <w:name w:val="Intense Quote"/>
    <w:basedOn w:val="Normal"/>
    <w:next w:val="Normal"/>
    <w:link w:val="IntenseQuoteChar"/>
    <w:uiPriority w:val="30"/>
    <w:qFormat/>
    <w:rsid w:val="00414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1FD"/>
    <w:rPr>
      <w:i/>
      <w:iCs/>
      <w:color w:val="0F4761" w:themeColor="accent1" w:themeShade="BF"/>
    </w:rPr>
  </w:style>
  <w:style w:type="character" w:styleId="IntenseReference">
    <w:name w:val="Intense Reference"/>
    <w:basedOn w:val="DefaultParagraphFont"/>
    <w:uiPriority w:val="32"/>
    <w:qFormat/>
    <w:rsid w:val="004141FD"/>
    <w:rPr>
      <w:b/>
      <w:bCs/>
      <w:smallCaps/>
      <w:color w:val="0F4761" w:themeColor="accent1" w:themeShade="BF"/>
      <w:spacing w:val="5"/>
    </w:rPr>
  </w:style>
  <w:style w:type="paragraph" w:customStyle="1" w:styleId="whitespace-pre-wrap">
    <w:name w:val="whitespace-pre-wrap"/>
    <w:basedOn w:val="Normal"/>
    <w:rsid w:val="004141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4141FD"/>
  </w:style>
  <w:style w:type="character" w:customStyle="1" w:styleId="inline-flex">
    <w:name w:val="inline-flex"/>
    <w:basedOn w:val="DefaultParagraphFont"/>
    <w:rsid w:val="004141FD"/>
  </w:style>
  <w:style w:type="character" w:customStyle="1" w:styleId="sr-only">
    <w:name w:val="sr-only"/>
    <w:basedOn w:val="DefaultParagraphFont"/>
    <w:rsid w:val="004141FD"/>
  </w:style>
  <w:style w:type="paragraph" w:customStyle="1" w:styleId="font-claude-response-body">
    <w:name w:val="font-claude-response-body"/>
    <w:basedOn w:val="Normal"/>
    <w:rsid w:val="004141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41FD"/>
    <w:rPr>
      <w:b/>
      <w:bCs/>
    </w:rPr>
  </w:style>
  <w:style w:type="paragraph" w:customStyle="1" w:styleId="is-empty">
    <w:name w:val="is-empty"/>
    <w:basedOn w:val="Normal"/>
    <w:rsid w:val="004141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xs">
    <w:name w:val="text-xs"/>
    <w:basedOn w:val="DefaultParagraphFont"/>
    <w:rsid w:val="004141FD"/>
  </w:style>
  <w:style w:type="character" w:styleId="Hyperlink">
    <w:name w:val="Hyperlink"/>
    <w:basedOn w:val="DefaultParagraphFont"/>
    <w:uiPriority w:val="99"/>
    <w:semiHidden/>
    <w:unhideWhenUsed/>
    <w:rsid w:val="004141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1957</Words>
  <Characters>12551</Characters>
  <Application>Microsoft Office Word</Application>
  <DocSecurity>0</DocSecurity>
  <Lines>321</Lines>
  <Paragraphs>174</Paragraphs>
  <ScaleCrop>false</ScaleCrop>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Viacheslav Dubovyk</dc:creator>
  <cp:keywords/>
  <dc:description/>
  <cp:lastModifiedBy>Viacheslav Dubovyk</cp:lastModifiedBy>
  <cp:revision>1</cp:revision>
  <dcterms:created xsi:type="dcterms:W3CDTF">2026-04-21T22:32:00Z</dcterms:created>
  <dcterms:modified xsi:type="dcterms:W3CDTF">2026-04-21T22:34:00Z</dcterms:modified>
</cp:coreProperties>
</file>