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1F3864"/>
          <w:sz w:val="40"/>
          <w:szCs w:val="40"/>
        </w:rPr>
        <w:t xml:space="preserve">LexisNexis Batch Pipeline</w:t>
      </w:r>
    </w:p>
    <w:p>
      <w:pPr>
        <w:spacing w:after="300" w:before="160"/>
        <w:jc w:val="center"/>
      </w:pPr>
      <w:r>
        <w:rPr>
          <w:color w:val="2E5395"/>
          <w:sz w:val="30"/>
          <w:szCs w:val="30"/>
        </w:rPr>
        <w:t xml:space="preserve">NFR &amp; Feature Validation Checklist</w:t>
      </w:r>
    </w:p>
    <w:p>
      <w:pPr>
        <w:spacing w:after="600"/>
        <w:jc w:val="center"/>
      </w:pPr>
      <w:r>
        <w:rPr>
          <w:i/>
          <w:iCs/>
          <w:sz w:val="22"/>
          <w:szCs w:val="22"/>
        </w:rPr>
        <w:t xml:space="preserve">Companion checklist to the Aligned Edition (Business + Engineering merged document)</w:t>
      </w:r>
    </w:p>
    <w:p>
      <w:pPr>
        <w:spacing w:after="160"/>
      </w:pPr>
      <w:r>
        <w:t xml:space="preserve">How to use this checklist: for each item, confirm the Validation Check against the actual build/test evidence, then mark the Status box — Met, Partial, or Not Met — and record supporting evidence (test case ID, log reference, dashboard link, etc.) in Notes. Section A covers every Non-Functional Requirement from the merged NFR table. Section B covers the key functional behaviours described in Parts II and III (LLD and Node.js/SQS implementation design). A summary sign-off table is included at the end.</w:t>
      </w:r>
    </w:p>
    <w:p>
      <w:r>
        <w:br w:type="page"/>
      </w:r>
    </w:p>
    <w:p>
      <w:pPr>
        <w:pStyle w:val="Heading1"/>
        <w:spacing w:after="200" w:before="360"/>
      </w:pPr>
      <w:r>
        <w:rPr>
          <w:b/>
          <w:bCs/>
          <w:color w:val="1F3864"/>
        </w:rPr>
        <w:t xml:space="preserve">Section A — Non-Functional Requirements Checklist</w:t>
      </w:r>
    </w:p>
    <w:p>
      <w:pPr>
        <w:spacing w:after="160"/>
      </w:pPr>
      <w:r>
        <w:t xml:space="preserve">Each row corresponds to an NFR ID in the merged NFR table. “Validation Check” restates the Acceptance/Target criteria as a testable action.</w:t>
      </w:r>
    </w:p>
    <w:p>
      <w:pPr>
        <w:pStyle w:val="Heading2"/>
        <w:spacing w:after="160" w:before="280"/>
      </w:pPr>
      <w:r>
        <w:rPr>
          <w:b/>
          <w:bCs/>
          <w:color w:val="2E5395"/>
        </w:rPr>
        <w:t xml:space="preserve">1. Performance &amp; Throughput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1660"/>
        <w:gridCol w:w="12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3300"/>
            <w:shd w:fill="1F3864" w:val="clear"/>
            <w:tcMar>
              <w:top w:type="dxa" w:w="80"/>
              <w:left w:type="dxa" w:w="100"/>
              <w:bottom w:type="dxa" w:w="80"/>
              <w:right w:type="dxa" w:w="100"/>
            </w:tcMar>
            <w:vAlign w:val="center"/>
          </w:tcPr>
          <w:p>
            <w:r>
              <w:rPr>
                <w:b/>
                <w:bCs/>
                <w:color w:val="FFFFFF"/>
                <w:sz w:val="20"/>
                <w:szCs w:val="20"/>
              </w:rPr>
              <w:t xml:space="preserve">Validation Check</w:t>
            </w:r>
          </w:p>
        </w:tc>
        <w:tc>
          <w:tcPr>
            <w:tcW w:type="dxa" w:w="166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700"/>
            <w:tcMar>
              <w:top w:type="dxa" w:w="80"/>
              <w:left w:type="dxa" w:w="100"/>
              <w:bottom w:type="dxa" w:w="80"/>
              <w:right w:type="dxa" w:w="100"/>
            </w:tcMar>
            <w:vAlign w:val="center"/>
          </w:tcPr>
          <w:p>
            <w:r>
              <w:rPr>
                <w:sz w:val="19"/>
                <w:szCs w:val="19"/>
              </w:rPr>
              <w:t xml:space="preserve">NFR-P1</w:t>
            </w:r>
          </w:p>
        </w:tc>
        <w:tc>
          <w:tcPr>
            <w:tcW w:type="dxa" w:w="2500"/>
            <w:tcMar>
              <w:top w:type="dxa" w:w="80"/>
              <w:left w:type="dxa" w:w="100"/>
              <w:bottom w:type="dxa" w:w="80"/>
              <w:right w:type="dxa" w:w="100"/>
            </w:tcMar>
            <w:vAlign w:val="center"/>
          </w:tcPr>
          <w:p>
            <w:r>
              <w:rPr>
                <w:sz w:val="19"/>
                <w:szCs w:val="19"/>
              </w:rPr>
              <w:t xml:space="preserve">Outbound LN rate stays within agreed limits.</w:t>
            </w:r>
          </w:p>
        </w:tc>
        <w:tc>
          <w:tcPr>
            <w:tcW w:type="dxa" w:w="3300"/>
            <w:tcMar>
              <w:top w:type="dxa" w:w="80"/>
              <w:left w:type="dxa" w:w="100"/>
              <w:bottom w:type="dxa" w:w="80"/>
              <w:right w:type="dxa" w:w="100"/>
            </w:tcMar>
            <w:vAlign w:val="center"/>
          </w:tcPr>
          <w:p>
            <w:r>
              <w:rPr>
                <w:sz w:val="19"/>
                <w:szCs w:val="19"/>
              </w:rPr>
              <w:t xml:space="preserve">Confirm the global RateLimiter never allows more than 10 requests/second across Address + Credit calls combined, under load test.</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NFR-P2</w:t>
            </w:r>
          </w:p>
        </w:tc>
        <w:tc>
          <w:tcPr>
            <w:tcW w:type="dxa" w:w="2500"/>
            <w:shd w:fill="F2F2F2" w:val="clear"/>
            <w:tcMar>
              <w:top w:type="dxa" w:w="80"/>
              <w:left w:type="dxa" w:w="100"/>
              <w:bottom w:type="dxa" w:w="80"/>
              <w:right w:type="dxa" w:w="100"/>
            </w:tcMar>
            <w:vAlign w:val="center"/>
          </w:tcPr>
          <w:p>
            <w:r>
              <w:rPr>
                <w:sz w:val="19"/>
                <w:szCs w:val="19"/>
              </w:rPr>
              <w:t xml:space="preserve">Large datasets processed without memory exhaustion.</w:t>
            </w:r>
          </w:p>
        </w:tc>
        <w:tc>
          <w:tcPr>
            <w:tcW w:type="dxa" w:w="3300"/>
            <w:shd w:fill="F2F2F2" w:val="clear"/>
            <w:tcMar>
              <w:top w:type="dxa" w:w="80"/>
              <w:left w:type="dxa" w:w="100"/>
              <w:bottom w:type="dxa" w:w="80"/>
              <w:right w:type="dxa" w:w="100"/>
            </w:tcMar>
            <w:vAlign w:val="center"/>
          </w:tcPr>
          <w:p>
            <w:r>
              <w:rPr>
                <w:sz w:val="19"/>
                <w:szCs w:val="19"/>
              </w:rPr>
              <w:t xml:space="preserve">Confirm queues are received in fixed batches of 25,000 and drained sequentially (Response Queue fully before Skip Queue); run a large-file load test and check for OOM errors.</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NFR-P3</w:t>
            </w:r>
          </w:p>
        </w:tc>
        <w:tc>
          <w:tcPr>
            <w:tcW w:type="dxa" w:w="2500"/>
            <w:tcMar>
              <w:top w:type="dxa" w:w="80"/>
              <w:left w:type="dxa" w:w="100"/>
              <w:bottom w:type="dxa" w:w="80"/>
              <w:right w:type="dxa" w:w="100"/>
            </w:tcMar>
            <w:vAlign w:val="center"/>
          </w:tcPr>
          <w:p>
            <w:r>
              <w:rPr>
                <w:sz w:val="19"/>
                <w:szCs w:val="19"/>
              </w:rPr>
              <w:t xml:space="preserve">Progress visible at file/batch/record level.</w:t>
            </w:r>
          </w:p>
        </w:tc>
        <w:tc>
          <w:tcPr>
            <w:tcW w:type="dxa" w:w="3300"/>
            <w:tcMar>
              <w:top w:type="dxa" w:w="80"/>
              <w:left w:type="dxa" w:w="100"/>
              <w:bottom w:type="dxa" w:w="80"/>
              <w:right w:type="dxa" w:w="100"/>
            </w:tcMar>
            <w:vAlign w:val="center"/>
          </w:tcPr>
          <w:p>
            <w:r>
              <w:rPr>
                <w:sz w:val="19"/>
                <w:szCs w:val="19"/>
              </w:rPr>
              <w:t xml:space="preserve">Call GET /jobs/{jobId}/progress during an active run and confirm total, queued, awaiting-response, processed, completed, failed and exception counts are all present and accurate.</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bl>
    <w:p>
      <w:pPr>
        <w:pStyle w:val="Heading2"/>
        <w:spacing w:after="160" w:before="280"/>
      </w:pPr>
      <w:r>
        <w:rPr>
          <w:b/>
          <w:bCs/>
          <w:color w:val="2E5395"/>
        </w:rPr>
        <w:t xml:space="preserve">2. Scalability &amp; Elasticity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1660"/>
        <w:gridCol w:w="12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3300"/>
            <w:shd w:fill="1F3864" w:val="clear"/>
            <w:tcMar>
              <w:top w:type="dxa" w:w="80"/>
              <w:left w:type="dxa" w:w="100"/>
              <w:bottom w:type="dxa" w:w="80"/>
              <w:right w:type="dxa" w:w="100"/>
            </w:tcMar>
            <w:vAlign w:val="center"/>
          </w:tcPr>
          <w:p>
            <w:r>
              <w:rPr>
                <w:b/>
                <w:bCs/>
                <w:color w:val="FFFFFF"/>
                <w:sz w:val="20"/>
                <w:szCs w:val="20"/>
              </w:rPr>
              <w:t xml:space="preserve">Validation Check</w:t>
            </w:r>
          </w:p>
        </w:tc>
        <w:tc>
          <w:tcPr>
            <w:tcW w:type="dxa" w:w="166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700"/>
            <w:shd w:fill="F2F2F2" w:val="clear"/>
            <w:tcMar>
              <w:top w:type="dxa" w:w="80"/>
              <w:left w:type="dxa" w:w="100"/>
              <w:bottom w:type="dxa" w:w="80"/>
              <w:right w:type="dxa" w:w="100"/>
            </w:tcMar>
            <w:vAlign w:val="center"/>
          </w:tcPr>
          <w:p>
            <w:r>
              <w:rPr>
                <w:sz w:val="19"/>
                <w:szCs w:val="19"/>
              </w:rPr>
              <w:t xml:space="preserve">NFR-S1</w:t>
            </w:r>
          </w:p>
        </w:tc>
        <w:tc>
          <w:tcPr>
            <w:tcW w:type="dxa" w:w="2500"/>
            <w:shd w:fill="F2F2F2" w:val="clear"/>
            <w:tcMar>
              <w:top w:type="dxa" w:w="80"/>
              <w:left w:type="dxa" w:w="100"/>
              <w:bottom w:type="dxa" w:w="80"/>
              <w:right w:type="dxa" w:w="100"/>
            </w:tcMar>
            <w:vAlign w:val="center"/>
          </w:tcPr>
          <w:p>
            <w:r>
              <w:rPr>
                <w:sz w:val="19"/>
                <w:szCs w:val="19"/>
              </w:rPr>
              <w:t xml:space="preserve">Address and Credit capacity scale independently.</w:t>
            </w:r>
          </w:p>
        </w:tc>
        <w:tc>
          <w:tcPr>
            <w:tcW w:type="dxa" w:w="3300"/>
            <w:shd w:fill="F2F2F2" w:val="clear"/>
            <w:tcMar>
              <w:top w:type="dxa" w:w="80"/>
              <w:left w:type="dxa" w:w="100"/>
              <w:bottom w:type="dxa" w:w="80"/>
              <w:right w:type="dxa" w:w="100"/>
            </w:tcMar>
            <w:vAlign w:val="center"/>
          </w:tcPr>
          <w:p>
            <w:r>
              <w:rPr>
                <w:sz w:val="19"/>
                <w:szCs w:val="19"/>
              </w:rPr>
              <w:t xml:space="preserve">Scale Address workers up/down and confirm Credit worker capacity and throughput are unaffected, and vice versa.</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NFR-S2</w:t>
            </w:r>
          </w:p>
        </w:tc>
        <w:tc>
          <w:tcPr>
            <w:tcW w:type="dxa" w:w="2500"/>
            <w:tcMar>
              <w:top w:type="dxa" w:w="80"/>
              <w:left w:type="dxa" w:w="100"/>
              <w:bottom w:type="dxa" w:w="80"/>
              <w:right w:type="dxa" w:w="100"/>
            </w:tcMar>
            <w:vAlign w:val="center"/>
          </w:tcPr>
          <w:p>
            <w:r>
              <w:rPr>
                <w:sz w:val="19"/>
                <w:szCs w:val="19"/>
              </w:rPr>
              <w:t xml:space="preserve">Address/Credit split is configurable and backlog-responsive.</w:t>
            </w:r>
          </w:p>
        </w:tc>
        <w:tc>
          <w:tcPr>
            <w:tcW w:type="dxa" w:w="3300"/>
            <w:tcMar>
              <w:top w:type="dxa" w:w="80"/>
              <w:left w:type="dxa" w:w="100"/>
              <w:bottom w:type="dxa" w:w="80"/>
              <w:right w:type="dxa" w:w="100"/>
            </w:tcMar>
            <w:vAlign w:val="center"/>
          </w:tcPr>
          <w:p>
            <w:r>
              <w:rPr>
                <w:sz w:val="19"/>
                <w:szCs w:val="19"/>
              </w:rPr>
              <w:t xml:space="preserve">Change the split via configuration without a code deploy; confirm default 70/30 dynamically reweights toward whichever queue has a larger backlog (via ApproximateNumberOfMessages).</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bl>
    <w:p>
      <w:pPr>
        <w:pStyle w:val="Heading2"/>
        <w:spacing w:after="160" w:before="280"/>
      </w:pPr>
      <w:r>
        <w:rPr>
          <w:b/>
          <w:bCs/>
          <w:color w:val="2E5395"/>
        </w:rPr>
        <w:t xml:space="preserve">3. Reliability &amp; Fault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1660"/>
        <w:gridCol w:w="12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3300"/>
            <w:shd w:fill="1F3864" w:val="clear"/>
            <w:tcMar>
              <w:top w:type="dxa" w:w="80"/>
              <w:left w:type="dxa" w:w="100"/>
              <w:bottom w:type="dxa" w:w="80"/>
              <w:right w:type="dxa" w:w="100"/>
            </w:tcMar>
            <w:vAlign w:val="center"/>
          </w:tcPr>
          <w:p>
            <w:r>
              <w:rPr>
                <w:b/>
                <w:bCs/>
                <w:color w:val="FFFFFF"/>
                <w:sz w:val="20"/>
                <w:szCs w:val="20"/>
              </w:rPr>
              <w:t xml:space="preserve">Validation Check</w:t>
            </w:r>
          </w:p>
        </w:tc>
        <w:tc>
          <w:tcPr>
            <w:tcW w:type="dxa" w:w="166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700"/>
            <w:shd w:fill="F2F2F2" w:val="clear"/>
            <w:tcMar>
              <w:top w:type="dxa" w:w="80"/>
              <w:left w:type="dxa" w:w="100"/>
              <w:bottom w:type="dxa" w:w="80"/>
              <w:right w:type="dxa" w:w="100"/>
            </w:tcMar>
            <w:vAlign w:val="center"/>
          </w:tcPr>
          <w:p>
            <w:r>
              <w:rPr>
                <w:sz w:val="19"/>
                <w:szCs w:val="19"/>
              </w:rPr>
              <w:t xml:space="preserve">NFR-R1</w:t>
            </w:r>
          </w:p>
        </w:tc>
        <w:tc>
          <w:tcPr>
            <w:tcW w:type="dxa" w:w="2500"/>
            <w:shd w:fill="F2F2F2" w:val="clear"/>
            <w:tcMar>
              <w:top w:type="dxa" w:w="80"/>
              <w:left w:type="dxa" w:w="100"/>
              <w:bottom w:type="dxa" w:w="80"/>
              <w:right w:type="dxa" w:w="100"/>
            </w:tcMar>
            <w:vAlign w:val="center"/>
          </w:tcPr>
          <w:p>
            <w:r>
              <w:rPr>
                <w:sz w:val="19"/>
                <w:szCs w:val="19"/>
              </w:rPr>
              <w:t xml:space="preserve">No record acknowledged before its outcome is durable.</w:t>
            </w:r>
          </w:p>
        </w:tc>
        <w:tc>
          <w:tcPr>
            <w:tcW w:type="dxa" w:w="3300"/>
            <w:shd w:fill="F2F2F2" w:val="clear"/>
            <w:tcMar>
              <w:top w:type="dxa" w:w="80"/>
              <w:left w:type="dxa" w:w="100"/>
              <w:bottom w:type="dxa" w:w="80"/>
              <w:right w:type="dxa" w:w="100"/>
            </w:tcMar>
            <w:vAlign w:val="center"/>
          </w:tcPr>
          <w:p>
            <w:r>
              <w:rPr>
                <w:sz w:val="19"/>
                <w:szCs w:val="19"/>
              </w:rPr>
              <w:t xml:space="preserve">Kill a worker mid-batch and confirm no SQS message was deleted before its DB write was committed (delete-after-completion).</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NFR-R2</w:t>
            </w:r>
          </w:p>
        </w:tc>
        <w:tc>
          <w:tcPr>
            <w:tcW w:type="dxa" w:w="2500"/>
            <w:tcMar>
              <w:top w:type="dxa" w:w="80"/>
              <w:left w:type="dxa" w:w="100"/>
              <w:bottom w:type="dxa" w:w="80"/>
              <w:right w:type="dxa" w:w="100"/>
            </w:tcMar>
            <w:vAlign w:val="center"/>
          </w:tcPr>
          <w:p>
            <w:r>
              <w:rPr>
                <w:sz w:val="19"/>
                <w:szCs w:val="19"/>
              </w:rPr>
              <w:t xml:space="preserve">Transient failures retried per policy before exception/skip.</w:t>
            </w:r>
          </w:p>
        </w:tc>
        <w:tc>
          <w:tcPr>
            <w:tcW w:type="dxa" w:w="3300"/>
            <w:tcMar>
              <w:top w:type="dxa" w:w="80"/>
              <w:left w:type="dxa" w:w="100"/>
              <w:bottom w:type="dxa" w:w="80"/>
              <w:right w:type="dxa" w:w="100"/>
            </w:tcMar>
            <w:vAlign w:val="center"/>
          </w:tcPr>
          <w:p>
            <w:r>
              <w:rPr>
                <w:sz w:val="19"/>
                <w:szCs w:val="19"/>
              </w:rPr>
              <w:t xml:space="preserve">Simulate a transient failure and confirm 3 internal retries (Node-orchestrated) and 4 Retry Queue attempts occur before the record moves to Skip Queue.</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NFR-R3</w:t>
            </w:r>
          </w:p>
        </w:tc>
        <w:tc>
          <w:tcPr>
            <w:tcW w:type="dxa" w:w="2500"/>
            <w:shd w:fill="F2F2F2" w:val="clear"/>
            <w:tcMar>
              <w:top w:type="dxa" w:w="80"/>
              <w:left w:type="dxa" w:w="100"/>
              <w:bottom w:type="dxa" w:w="80"/>
              <w:right w:type="dxa" w:w="100"/>
            </w:tcMar>
            <w:vAlign w:val="center"/>
          </w:tcPr>
          <w:p>
            <w:r>
              <w:rPr>
                <w:sz w:val="19"/>
                <w:szCs w:val="19"/>
              </w:rPr>
              <w:t xml:space="preserve">Interruption does not silently lose data.</w:t>
            </w:r>
          </w:p>
        </w:tc>
        <w:tc>
          <w:tcPr>
            <w:tcW w:type="dxa" w:w="3300"/>
            <w:shd w:fill="F2F2F2" w:val="clear"/>
            <w:tcMar>
              <w:top w:type="dxa" w:w="80"/>
              <w:left w:type="dxa" w:w="100"/>
              <w:bottom w:type="dxa" w:w="80"/>
              <w:right w:type="dxa" w:w="100"/>
            </w:tcMar>
            <w:vAlign w:val="center"/>
          </w:tcPr>
          <w:p>
            <w:r>
              <w:rPr>
                <w:sz w:val="19"/>
                <w:szCs w:val="19"/>
              </w:rPr>
              <w:t xml:space="preserve">Kill the consumer mid-batch without deleting messages; confirm un-deleted messages reappear after the visibility timeout and are reprocessed automatically.</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NFR-R4</w:t>
            </w:r>
          </w:p>
        </w:tc>
        <w:tc>
          <w:tcPr>
            <w:tcW w:type="dxa" w:w="2500"/>
            <w:tcMar>
              <w:top w:type="dxa" w:w="80"/>
              <w:left w:type="dxa" w:w="100"/>
              <w:bottom w:type="dxa" w:w="80"/>
              <w:right w:type="dxa" w:w="100"/>
            </w:tcMar>
            <w:vAlign w:val="center"/>
          </w:tcPr>
          <w:p>
            <w:r>
              <w:rPr>
                <w:sz w:val="19"/>
                <w:szCs w:val="19"/>
              </w:rPr>
              <w:t xml:space="preserve">Rate-limit responses trigger protective back-off.</w:t>
            </w:r>
          </w:p>
        </w:tc>
        <w:tc>
          <w:tcPr>
            <w:tcW w:type="dxa" w:w="3300"/>
            <w:tcMar>
              <w:top w:type="dxa" w:w="80"/>
              <w:left w:type="dxa" w:w="100"/>
              <w:bottom w:type="dxa" w:w="80"/>
              <w:right w:type="dxa" w:w="100"/>
            </w:tcMar>
            <w:vAlign w:val="center"/>
          </w:tcPr>
          <w:p>
            <w:r>
              <w:rPr>
                <w:sz w:val="19"/>
                <w:szCs w:val="19"/>
              </w:rPr>
              <w:t xml:space="preserve">Force a 429 response and confirm a global halt is raised for the current tick, the triggering record goes straight to Retry Queue, and the consumer pauses ~2 minutes before resuming.</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NFR-R5</w:t>
            </w:r>
          </w:p>
        </w:tc>
        <w:tc>
          <w:tcPr>
            <w:tcW w:type="dxa" w:w="2500"/>
            <w:shd w:fill="F2F2F2" w:val="clear"/>
            <w:tcMar>
              <w:top w:type="dxa" w:w="80"/>
              <w:left w:type="dxa" w:w="100"/>
              <w:bottom w:type="dxa" w:w="80"/>
              <w:right w:type="dxa" w:w="100"/>
            </w:tcMar>
            <w:vAlign w:val="center"/>
          </w:tcPr>
          <w:p>
            <w:r>
              <w:rPr>
                <w:sz w:val="19"/>
                <w:szCs w:val="19"/>
              </w:rPr>
              <w:t xml:space="preserve">Repeatedly failing records remain available for investigation.</w:t>
            </w:r>
          </w:p>
        </w:tc>
        <w:tc>
          <w:tcPr>
            <w:tcW w:type="dxa" w:w="3300"/>
            <w:shd w:fill="F2F2F2" w:val="clear"/>
            <w:tcMar>
              <w:top w:type="dxa" w:w="80"/>
              <w:left w:type="dxa" w:w="100"/>
              <w:bottom w:type="dxa" w:w="80"/>
              <w:right w:type="dxa" w:w="100"/>
            </w:tcMar>
            <w:vAlign w:val="center"/>
          </w:tcPr>
          <w:p>
            <w:r>
              <w:rPr>
                <w:sz w:val="19"/>
                <w:szCs w:val="19"/>
              </w:rPr>
              <w:t xml:space="preserve">Force max-receive-count to be exceeded and confirm the message routes automatically to the Dead Letter Queue with source record, last error, retry count and disposition intact.</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NFR-R6</w:t>
            </w:r>
          </w:p>
        </w:tc>
        <w:tc>
          <w:tcPr>
            <w:tcW w:type="dxa" w:w="2500"/>
            <w:tcMar>
              <w:top w:type="dxa" w:w="80"/>
              <w:left w:type="dxa" w:w="100"/>
              <w:bottom w:type="dxa" w:w="80"/>
              <w:right w:type="dxa" w:w="100"/>
            </w:tcMar>
            <w:vAlign w:val="center"/>
          </w:tcPr>
          <w:p>
            <w:r>
              <w:rPr>
                <w:sz w:val="19"/>
                <w:szCs w:val="19"/>
              </w:rPr>
              <w:t xml:space="preserve">Unexpected exceptions are contained, logged and recovered.</w:t>
            </w:r>
          </w:p>
        </w:tc>
        <w:tc>
          <w:tcPr>
            <w:tcW w:type="dxa" w:w="3300"/>
            <w:tcMar>
              <w:top w:type="dxa" w:w="80"/>
              <w:left w:type="dxa" w:w="100"/>
              <w:bottom w:type="dxa" w:w="80"/>
              <w:right w:type="dxa" w:w="100"/>
            </w:tcMar>
            <w:vAlign w:val="center"/>
          </w:tcPr>
          <w:p>
            <w:r>
              <w:rPr>
                <w:sz w:val="19"/>
                <w:szCs w:val="19"/>
              </w:rPr>
              <w:t xml:space="preserve">Force an unhandled exception inside a worker thread and confirm it is caught, logged with record_id, and the record is routed to Retry Queue rather than crashing the pool.</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bl>
    <w:p>
      <w:pPr>
        <w:pStyle w:val="Heading2"/>
        <w:spacing w:after="160" w:before="280"/>
      </w:pPr>
      <w:r>
        <w:rPr>
          <w:b/>
          <w:bCs/>
          <w:color w:val="2E5395"/>
        </w:rPr>
        <w:t xml:space="preserve">4.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1660"/>
        <w:gridCol w:w="12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3300"/>
            <w:shd w:fill="1F3864" w:val="clear"/>
            <w:tcMar>
              <w:top w:type="dxa" w:w="80"/>
              <w:left w:type="dxa" w:w="100"/>
              <w:bottom w:type="dxa" w:w="80"/>
              <w:right w:type="dxa" w:w="100"/>
            </w:tcMar>
            <w:vAlign w:val="center"/>
          </w:tcPr>
          <w:p>
            <w:r>
              <w:rPr>
                <w:b/>
                <w:bCs/>
                <w:color w:val="FFFFFF"/>
                <w:sz w:val="20"/>
                <w:szCs w:val="20"/>
              </w:rPr>
              <w:t xml:space="preserve">Validation Check</w:t>
            </w:r>
          </w:p>
        </w:tc>
        <w:tc>
          <w:tcPr>
            <w:tcW w:type="dxa" w:w="166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700"/>
            <w:shd w:fill="F2F2F2" w:val="clear"/>
            <w:tcMar>
              <w:top w:type="dxa" w:w="80"/>
              <w:left w:type="dxa" w:w="100"/>
              <w:bottom w:type="dxa" w:w="80"/>
              <w:right w:type="dxa" w:w="100"/>
            </w:tcMar>
            <w:vAlign w:val="center"/>
          </w:tcPr>
          <w:p>
            <w:r>
              <w:rPr>
                <w:sz w:val="19"/>
                <w:szCs w:val="19"/>
              </w:rPr>
              <w:t xml:space="preserve">NFR-A1</w:t>
            </w:r>
          </w:p>
        </w:tc>
        <w:tc>
          <w:tcPr>
            <w:tcW w:type="dxa" w:w="2500"/>
            <w:shd w:fill="F2F2F2" w:val="clear"/>
            <w:tcMar>
              <w:top w:type="dxa" w:w="80"/>
              <w:left w:type="dxa" w:w="100"/>
              <w:bottom w:type="dxa" w:w="80"/>
              <w:right w:type="dxa" w:w="100"/>
            </w:tcMar>
            <w:vAlign w:val="center"/>
          </w:tcPr>
          <w:p>
            <w:r>
              <w:rPr>
                <w:sz w:val="19"/>
                <w:szCs w:val="19"/>
              </w:rPr>
              <w:t xml:space="preserve">Transport-layer disruption does not silently lose work.</w:t>
            </w:r>
          </w:p>
        </w:tc>
        <w:tc>
          <w:tcPr>
            <w:tcW w:type="dxa" w:w="3300"/>
            <w:shd w:fill="F2F2F2" w:val="clear"/>
            <w:tcMar>
              <w:top w:type="dxa" w:w="80"/>
              <w:left w:type="dxa" w:w="100"/>
              <w:bottom w:type="dxa" w:w="80"/>
              <w:right w:type="dxa" w:w="100"/>
            </w:tcMar>
            <w:vAlign w:val="center"/>
          </w:tcPr>
          <w:p>
            <w:r>
              <w:rPr>
                <w:sz w:val="19"/>
                <w:szCs w:val="19"/>
              </w:rPr>
              <w:t xml:space="preserve">Simulate an SQS-side disruption and confirm no application-side queue failover logic is required; confirm outstanding work remains identifiable and reintroducible.</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NFR-A2</w:t>
            </w:r>
          </w:p>
        </w:tc>
        <w:tc>
          <w:tcPr>
            <w:tcW w:type="dxa" w:w="2500"/>
            <w:tcMar>
              <w:top w:type="dxa" w:w="80"/>
              <w:left w:type="dxa" w:w="100"/>
              <w:bottom w:type="dxa" w:w="80"/>
              <w:right w:type="dxa" w:w="100"/>
            </w:tcMar>
            <w:vAlign w:val="center"/>
          </w:tcPr>
          <w:p>
            <w:r>
              <w:rPr>
                <w:sz w:val="19"/>
                <w:szCs w:val="19"/>
              </w:rPr>
              <w:t xml:space="preserve">Temporary degradation does not corrupt completed outcomes.</w:t>
            </w:r>
          </w:p>
        </w:tc>
        <w:tc>
          <w:tcPr>
            <w:tcW w:type="dxa" w:w="3300"/>
            <w:tcMar>
              <w:top w:type="dxa" w:w="80"/>
              <w:left w:type="dxa" w:w="100"/>
              <w:bottom w:type="dxa" w:w="80"/>
              <w:right w:type="dxa" w:w="100"/>
            </w:tcMar>
            <w:vAlign w:val="center"/>
          </w:tcPr>
          <w:p>
            <w:r>
              <w:rPr>
                <w:sz w:val="19"/>
                <w:szCs w:val="19"/>
              </w:rPr>
              <w:t xml:space="preserve">Simulate a temporary third-party/infrastructure outage mid-run and confirm already-completed/failed/skipped/exception outcomes remain intact afterward.</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bl>
    <w:p>
      <w:pPr>
        <w:pStyle w:val="Heading2"/>
        <w:spacing w:after="160" w:before="280"/>
      </w:pPr>
      <w:r>
        <w:rPr>
          <w:b/>
          <w:bCs/>
          <w:color w:val="2E5395"/>
        </w:rPr>
        <w:t xml:space="preserve">5. Data Integrity &amp;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1660"/>
        <w:gridCol w:w="12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3300"/>
            <w:shd w:fill="1F3864" w:val="clear"/>
            <w:tcMar>
              <w:top w:type="dxa" w:w="80"/>
              <w:left w:type="dxa" w:w="100"/>
              <w:bottom w:type="dxa" w:w="80"/>
              <w:right w:type="dxa" w:w="100"/>
            </w:tcMar>
            <w:vAlign w:val="center"/>
          </w:tcPr>
          <w:p>
            <w:r>
              <w:rPr>
                <w:b/>
                <w:bCs/>
                <w:color w:val="FFFFFF"/>
                <w:sz w:val="20"/>
                <w:szCs w:val="20"/>
              </w:rPr>
              <w:t xml:space="preserve">Validation Check</w:t>
            </w:r>
          </w:p>
        </w:tc>
        <w:tc>
          <w:tcPr>
            <w:tcW w:type="dxa" w:w="166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700"/>
            <w:shd w:fill="F2F2F2" w:val="clear"/>
            <w:tcMar>
              <w:top w:type="dxa" w:w="80"/>
              <w:left w:type="dxa" w:w="100"/>
              <w:bottom w:type="dxa" w:w="80"/>
              <w:right w:type="dxa" w:w="100"/>
            </w:tcMar>
            <w:vAlign w:val="center"/>
          </w:tcPr>
          <w:p>
            <w:r>
              <w:rPr>
                <w:sz w:val="19"/>
                <w:szCs w:val="19"/>
              </w:rPr>
              <w:t xml:space="preserve">NFR-D1</w:t>
            </w:r>
          </w:p>
        </w:tc>
        <w:tc>
          <w:tcPr>
            <w:tcW w:type="dxa" w:w="2500"/>
            <w:shd w:fill="F2F2F2" w:val="clear"/>
            <w:tcMar>
              <w:top w:type="dxa" w:w="80"/>
              <w:left w:type="dxa" w:w="100"/>
              <w:bottom w:type="dxa" w:w="80"/>
              <w:right w:type="dxa" w:w="100"/>
            </w:tcMar>
            <w:vAlign w:val="center"/>
          </w:tcPr>
          <w:p>
            <w:r>
              <w:rPr>
                <w:sz w:val="19"/>
                <w:szCs w:val="19"/>
              </w:rPr>
              <w:t xml:space="preserve">Single authoritative source of processing state.</w:t>
            </w:r>
          </w:p>
        </w:tc>
        <w:tc>
          <w:tcPr>
            <w:tcW w:type="dxa" w:w="3300"/>
            <w:shd w:fill="F2F2F2" w:val="clear"/>
            <w:tcMar>
              <w:top w:type="dxa" w:w="80"/>
              <w:left w:type="dxa" w:w="100"/>
              <w:bottom w:type="dxa" w:w="80"/>
              <w:right w:type="dxa" w:w="100"/>
            </w:tcMar>
            <w:vAlign w:val="center"/>
          </w:tcPr>
          <w:p>
            <w:r>
              <w:rPr>
                <w:sz w:val="19"/>
                <w:szCs w:val="19"/>
              </w:rPr>
              <w:t xml:space="preserve">Confirm every terminal state (completed, failed, skipped, review) is persisted to PostgreSQL and that each record has exactly one current, reconcilable state.</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NFR-D2</w:t>
            </w:r>
          </w:p>
        </w:tc>
        <w:tc>
          <w:tcPr>
            <w:tcW w:type="dxa" w:w="2500"/>
            <w:tcMar>
              <w:top w:type="dxa" w:w="80"/>
              <w:left w:type="dxa" w:w="100"/>
              <w:bottom w:type="dxa" w:w="80"/>
              <w:right w:type="dxa" w:w="100"/>
            </w:tcMar>
            <w:vAlign w:val="center"/>
          </w:tcPr>
          <w:p>
            <w:r>
              <w:rPr>
                <w:sz w:val="19"/>
                <w:szCs w:val="19"/>
              </w:rPr>
              <w:t xml:space="preserve">Repeated delivery does not create duplicate final results.</w:t>
            </w:r>
          </w:p>
        </w:tc>
        <w:tc>
          <w:tcPr>
            <w:tcW w:type="dxa" w:w="3300"/>
            <w:tcMar>
              <w:top w:type="dxa" w:w="80"/>
              <w:left w:type="dxa" w:w="100"/>
              <w:bottom w:type="dxa" w:w="80"/>
              <w:right w:type="dxa" w:w="100"/>
            </w:tcMar>
            <w:vAlign w:val="center"/>
          </w:tcPr>
          <w:p>
            <w:r>
              <w:rPr>
                <w:sz w:val="19"/>
                <w:szCs w:val="19"/>
              </w:rPr>
              <w:t xml:space="preserve">Redeliver the same message twice and confirm the DB write uses INSERT … ON CONFLICT (record_id) DO UPDATE rather than creating a duplicate row.</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NFR-D3</w:t>
            </w:r>
          </w:p>
        </w:tc>
        <w:tc>
          <w:tcPr>
            <w:tcW w:type="dxa" w:w="2500"/>
            <w:shd w:fill="F2F2F2" w:val="clear"/>
            <w:tcMar>
              <w:top w:type="dxa" w:w="80"/>
              <w:left w:type="dxa" w:w="100"/>
              <w:bottom w:type="dxa" w:w="80"/>
              <w:right w:type="dxa" w:w="100"/>
            </w:tcMar>
            <w:vAlign w:val="center"/>
          </w:tcPr>
          <w:p>
            <w:r>
              <w:rPr>
                <w:sz w:val="19"/>
                <w:szCs w:val="19"/>
              </w:rPr>
              <w:t xml:space="preserve">Every record has a stable identity across the pipeline.</w:t>
            </w:r>
          </w:p>
        </w:tc>
        <w:tc>
          <w:tcPr>
            <w:tcW w:type="dxa" w:w="3300"/>
            <w:shd w:fill="F2F2F2" w:val="clear"/>
            <w:tcMar>
              <w:top w:type="dxa" w:w="80"/>
              <w:left w:type="dxa" w:w="100"/>
              <w:bottom w:type="dxa" w:w="80"/>
              <w:right w:type="dxa" w:w="100"/>
            </w:tcMar>
            <w:vAlign w:val="center"/>
          </w:tcPr>
          <w:p>
            <w:r>
              <w:rPr>
                <w:sz w:val="19"/>
                <w:szCs w:val="19"/>
              </w:rPr>
              <w:t xml:space="preserve">Trace a single record end to end (doc_id + record_id) through validation, lookup, verification, retry and reprocessing and confirm identity never changes.</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NFR-D4</w:t>
            </w:r>
          </w:p>
        </w:tc>
        <w:tc>
          <w:tcPr>
            <w:tcW w:type="dxa" w:w="2500"/>
            <w:tcMar>
              <w:top w:type="dxa" w:w="80"/>
              <w:left w:type="dxa" w:w="100"/>
              <w:bottom w:type="dxa" w:w="80"/>
              <w:right w:type="dxa" w:w="100"/>
            </w:tcMar>
            <w:vAlign w:val="center"/>
          </w:tcPr>
          <w:p>
            <w:r>
              <w:rPr>
                <w:sz w:val="19"/>
                <w:szCs w:val="19"/>
              </w:rPr>
              <w:t xml:space="preserve">Routing between stages is bounded (no infinite loop).</w:t>
            </w:r>
          </w:p>
        </w:tc>
        <w:tc>
          <w:tcPr>
            <w:tcW w:type="dxa" w:w="3300"/>
            <w:tcMar>
              <w:top w:type="dxa" w:w="80"/>
              <w:left w:type="dxa" w:w="100"/>
              <w:bottom w:type="dxa" w:w="80"/>
              <w:right w:type="dxa" w:w="100"/>
            </w:tcMar>
            <w:vAlign w:val="center"/>
          </w:tcPr>
          <w:p>
            <w:r>
              <w:rPr>
                <w:sz w:val="19"/>
                <w:szCs w:val="19"/>
              </w:rPr>
              <w:t xml:space="preserve">Force repeated Address ↔ Credit re-routing and confirm hop_count is capped (e.g. max 3) and the record is force-routed to Skip Queue on reaching the cap.</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NFR-D5</w:t>
            </w:r>
          </w:p>
        </w:tc>
        <w:tc>
          <w:tcPr>
            <w:tcW w:type="dxa" w:w="2500"/>
            <w:shd w:fill="F2F2F2" w:val="clear"/>
            <w:tcMar>
              <w:top w:type="dxa" w:w="80"/>
              <w:left w:type="dxa" w:w="100"/>
              <w:bottom w:type="dxa" w:w="80"/>
              <w:right w:type="dxa" w:w="100"/>
            </w:tcMar>
            <w:vAlign w:val="center"/>
          </w:tcPr>
          <w:p>
            <w:r>
              <w:rPr>
                <w:sz w:val="19"/>
                <w:szCs w:val="19"/>
              </w:rPr>
              <w:t xml:space="preserve">No record is silently dropped.</w:t>
            </w:r>
          </w:p>
        </w:tc>
        <w:tc>
          <w:tcPr>
            <w:tcW w:type="dxa" w:w="3300"/>
            <w:shd w:fill="F2F2F2" w:val="clear"/>
            <w:tcMar>
              <w:top w:type="dxa" w:w="80"/>
              <w:left w:type="dxa" w:w="100"/>
              <w:bottom w:type="dxa" w:w="80"/>
              <w:right w:type="dxa" w:w="100"/>
            </w:tcMar>
            <w:vAlign w:val="center"/>
          </w:tcPr>
          <w:p>
            <w:r>
              <w:rPr>
                <w:sz w:val="19"/>
                <w:szCs w:val="19"/>
              </w:rPr>
              <w:t xml:space="preserve">At batch completion, reconcile total ingested records against completed + failed + skipped + exception + pending; confirm the count of “silently dropped” records is exactly zero.</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bl>
    <w:p>
      <w:r>
        <w:br w:type="page"/>
      </w:r>
    </w:p>
    <w:p>
      <w:pPr>
        <w:pStyle w:val="Heading2"/>
        <w:spacing w:after="160" w:before="280"/>
      </w:pPr>
      <w:r>
        <w:rPr>
          <w:b/>
          <w:bCs/>
          <w:color w:val="2E5395"/>
        </w:rPr>
        <w:t xml:space="preserve">6.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1660"/>
        <w:gridCol w:w="12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3300"/>
            <w:shd w:fill="1F3864" w:val="clear"/>
            <w:tcMar>
              <w:top w:type="dxa" w:w="80"/>
              <w:left w:type="dxa" w:w="100"/>
              <w:bottom w:type="dxa" w:w="80"/>
              <w:right w:type="dxa" w:w="100"/>
            </w:tcMar>
            <w:vAlign w:val="center"/>
          </w:tcPr>
          <w:p>
            <w:r>
              <w:rPr>
                <w:b/>
                <w:bCs/>
                <w:color w:val="FFFFFF"/>
                <w:sz w:val="20"/>
                <w:szCs w:val="20"/>
              </w:rPr>
              <w:t xml:space="preserve">Validation Check</w:t>
            </w:r>
          </w:p>
        </w:tc>
        <w:tc>
          <w:tcPr>
            <w:tcW w:type="dxa" w:w="166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700"/>
            <w:tcMar>
              <w:top w:type="dxa" w:w="80"/>
              <w:left w:type="dxa" w:w="100"/>
              <w:bottom w:type="dxa" w:w="80"/>
              <w:right w:type="dxa" w:w="100"/>
            </w:tcMar>
            <w:vAlign w:val="center"/>
          </w:tcPr>
          <w:p>
            <w:r>
              <w:rPr>
                <w:sz w:val="19"/>
                <w:szCs w:val="19"/>
              </w:rPr>
              <w:t xml:space="preserve">NFR-SEC1</w:t>
            </w:r>
          </w:p>
        </w:tc>
        <w:tc>
          <w:tcPr>
            <w:tcW w:type="dxa" w:w="2500"/>
            <w:tcMar>
              <w:top w:type="dxa" w:w="80"/>
              <w:left w:type="dxa" w:w="100"/>
              <w:bottom w:type="dxa" w:w="80"/>
              <w:right w:type="dxa" w:w="100"/>
            </w:tcMar>
            <w:vAlign w:val="center"/>
          </w:tcPr>
          <w:p>
            <w:r>
              <w:rPr>
                <w:sz w:val="19"/>
                <w:szCs w:val="19"/>
              </w:rPr>
              <w:t xml:space="preserve">Sensitive payloads protected at rest and in transit.</w:t>
            </w:r>
          </w:p>
        </w:tc>
        <w:tc>
          <w:tcPr>
            <w:tcW w:type="dxa" w:w="3300"/>
            <w:tcMar>
              <w:top w:type="dxa" w:w="80"/>
              <w:left w:type="dxa" w:w="100"/>
              <w:bottom w:type="dxa" w:w="80"/>
              <w:right w:type="dxa" w:w="100"/>
            </w:tcMar>
            <w:vAlign w:val="center"/>
          </w:tcPr>
          <w:p>
            <w:r>
              <w:rPr>
                <w:sz w:val="19"/>
                <w:szCs w:val="19"/>
              </w:rPr>
              <w:t xml:space="preserve">Confirm encryption at rest is enabled for lc_address_standardisation_results and related payload storage, and evidence is available for security review.</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NFR-SEC2</w:t>
            </w:r>
          </w:p>
        </w:tc>
        <w:tc>
          <w:tcPr>
            <w:tcW w:type="dxa" w:w="2500"/>
            <w:shd w:fill="F2F2F2" w:val="clear"/>
            <w:tcMar>
              <w:top w:type="dxa" w:w="80"/>
              <w:left w:type="dxa" w:w="100"/>
              <w:bottom w:type="dxa" w:w="80"/>
              <w:right w:type="dxa" w:w="100"/>
            </w:tcMar>
            <w:vAlign w:val="center"/>
          </w:tcPr>
          <w:p>
            <w:r>
              <w:rPr>
                <w:sz w:val="19"/>
                <w:szCs w:val="19"/>
              </w:rPr>
              <w:t xml:space="preserve">Credentials/authorization kept valid during processing.</w:t>
            </w:r>
          </w:p>
        </w:tc>
        <w:tc>
          <w:tcPr>
            <w:tcW w:type="dxa" w:w="3300"/>
            <w:shd w:fill="F2F2F2" w:val="clear"/>
            <w:tcMar>
              <w:top w:type="dxa" w:w="80"/>
              <w:left w:type="dxa" w:w="100"/>
              <w:bottom w:type="dxa" w:w="80"/>
              <w:right w:type="dxa" w:w="100"/>
            </w:tcMar>
            <w:vAlign w:val="center"/>
          </w:tcPr>
          <w:p>
            <w:r>
              <w:rPr>
                <w:sz w:val="19"/>
                <w:szCs w:val="19"/>
              </w:rPr>
              <w:t xml:space="preserve">Confirm the 25-minute refresh cron runs and that a single-flight on-demand refresh is triggered correctly upon a 401.</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NFR-SEC3</w:t>
            </w:r>
          </w:p>
        </w:tc>
        <w:tc>
          <w:tcPr>
            <w:tcW w:type="dxa" w:w="2500"/>
            <w:tcMar>
              <w:top w:type="dxa" w:w="80"/>
              <w:left w:type="dxa" w:w="100"/>
              <w:bottom w:type="dxa" w:w="80"/>
              <w:right w:type="dxa" w:w="100"/>
            </w:tcMar>
            <w:vAlign w:val="center"/>
          </w:tcPr>
          <w:p>
            <w:r>
              <w:rPr>
                <w:sz w:val="19"/>
                <w:szCs w:val="19"/>
              </w:rPr>
              <w:t xml:space="preserve">Repeated auth failures stop processing safely.</w:t>
            </w:r>
          </w:p>
        </w:tc>
        <w:tc>
          <w:tcPr>
            <w:tcW w:type="dxa" w:w="3300"/>
            <w:tcMar>
              <w:top w:type="dxa" w:w="80"/>
              <w:left w:type="dxa" w:w="100"/>
              <w:bottom w:type="dxa" w:w="80"/>
              <w:right w:type="dxa" w:w="100"/>
            </w:tcMar>
            <w:vAlign w:val="center"/>
          </w:tcPr>
          <w:p>
            <w:r>
              <w:rPr>
                <w:sz w:val="19"/>
                <w:szCs w:val="19"/>
              </w:rPr>
              <w:t xml:space="preserve">Force repeated/failed 401 responses and confirm affected processing halts, the message is left un-deleted for natural retry, and an operational alert fires.</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NFR-SEC4</w:t>
            </w:r>
          </w:p>
        </w:tc>
        <w:tc>
          <w:tcPr>
            <w:tcW w:type="dxa" w:w="2500"/>
            <w:shd w:fill="F2F2F2" w:val="clear"/>
            <w:tcMar>
              <w:top w:type="dxa" w:w="80"/>
              <w:left w:type="dxa" w:w="100"/>
              <w:bottom w:type="dxa" w:w="80"/>
              <w:right w:type="dxa" w:w="100"/>
            </w:tcMar>
            <w:vAlign w:val="center"/>
          </w:tcPr>
          <w:p>
            <w:r>
              <w:rPr>
                <w:sz w:val="19"/>
                <w:szCs w:val="19"/>
              </w:rPr>
              <w:t xml:space="preserve">Progress/processing/internal endpoints require authorisation.</w:t>
            </w:r>
          </w:p>
        </w:tc>
        <w:tc>
          <w:tcPr>
            <w:tcW w:type="dxa" w:w="3300"/>
            <w:shd w:fill="F2F2F2" w:val="clear"/>
            <w:tcMar>
              <w:top w:type="dxa" w:w="80"/>
              <w:left w:type="dxa" w:w="100"/>
              <w:bottom w:type="dxa" w:w="80"/>
              <w:right w:type="dxa" w:w="100"/>
            </w:tcMar>
            <w:vAlign w:val="center"/>
          </w:tcPr>
          <w:p>
            <w:r>
              <w:rPr>
                <w:sz w:val="19"/>
                <w:szCs w:val="19"/>
              </w:rPr>
              <w:t xml:space="preserve">Attempt unauthorised access to the Progress API, producer service, and internal Python endpoints and confirm requests are rejected and access attempts are auditable.</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bl>
    <w:p>
      <w:pPr>
        <w:pStyle w:val="Heading2"/>
        <w:spacing w:after="160" w:before="280"/>
      </w:pPr>
      <w:r>
        <w:rPr>
          <w:b/>
          <w:bCs/>
          <w:color w:val="2E5395"/>
        </w:rPr>
        <w:t xml:space="preserve">7. Observability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1660"/>
        <w:gridCol w:w="12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3300"/>
            <w:shd w:fill="1F3864" w:val="clear"/>
            <w:tcMar>
              <w:top w:type="dxa" w:w="80"/>
              <w:left w:type="dxa" w:w="100"/>
              <w:bottom w:type="dxa" w:w="80"/>
              <w:right w:type="dxa" w:w="100"/>
            </w:tcMar>
            <w:vAlign w:val="center"/>
          </w:tcPr>
          <w:p>
            <w:r>
              <w:rPr>
                <w:b/>
                <w:bCs/>
                <w:color w:val="FFFFFF"/>
                <w:sz w:val="20"/>
                <w:szCs w:val="20"/>
              </w:rPr>
              <w:t xml:space="preserve">Validation Check</w:t>
            </w:r>
          </w:p>
        </w:tc>
        <w:tc>
          <w:tcPr>
            <w:tcW w:type="dxa" w:w="166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700"/>
            <w:tcMar>
              <w:top w:type="dxa" w:w="80"/>
              <w:left w:type="dxa" w:w="100"/>
              <w:bottom w:type="dxa" w:w="80"/>
              <w:right w:type="dxa" w:w="100"/>
            </w:tcMar>
            <w:vAlign w:val="center"/>
          </w:tcPr>
          <w:p>
            <w:r>
              <w:rPr>
                <w:sz w:val="19"/>
                <w:szCs w:val="19"/>
              </w:rPr>
              <w:t xml:space="preserve">NFR-O1</w:t>
            </w:r>
          </w:p>
        </w:tc>
        <w:tc>
          <w:tcPr>
            <w:tcW w:type="dxa" w:w="2500"/>
            <w:tcMar>
              <w:top w:type="dxa" w:w="80"/>
              <w:left w:type="dxa" w:w="100"/>
              <w:bottom w:type="dxa" w:w="80"/>
              <w:right w:type="dxa" w:w="100"/>
            </w:tcMar>
            <w:vAlign w:val="center"/>
          </w:tcPr>
          <w:p>
            <w:r>
              <w:rPr>
                <w:sz w:val="19"/>
                <w:szCs w:val="19"/>
              </w:rPr>
              <w:t xml:space="preserve">Sufficient metrics to detect backlog/throughput/retry/rate-limit pressure and latency.</w:t>
            </w:r>
          </w:p>
        </w:tc>
        <w:tc>
          <w:tcPr>
            <w:tcW w:type="dxa" w:w="3300"/>
            <w:tcMar>
              <w:top w:type="dxa" w:w="80"/>
              <w:left w:type="dxa" w:w="100"/>
              <w:bottom w:type="dxa" w:w="80"/>
              <w:right w:type="dxa" w:w="100"/>
            </w:tcMar>
            <w:vAlign w:val="center"/>
          </w:tcPr>
          <w:p>
            <w:r>
              <w:rPr>
                <w:sz w:val="19"/>
                <w:szCs w:val="19"/>
              </w:rPr>
              <w:t xml:space="preserve">Confirm dashboards show queue depth per queue, 429 rate + cooldowns, retry-exhaustion rate, thread-exception rate, hop-cap hits, and batch latency p50/p99.</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NFR-O2</w:t>
            </w:r>
          </w:p>
        </w:tc>
        <w:tc>
          <w:tcPr>
            <w:tcW w:type="dxa" w:w="2500"/>
            <w:shd w:fill="F2F2F2" w:val="clear"/>
            <w:tcMar>
              <w:top w:type="dxa" w:w="80"/>
              <w:left w:type="dxa" w:w="100"/>
              <w:bottom w:type="dxa" w:w="80"/>
              <w:right w:type="dxa" w:w="100"/>
            </w:tcMar>
            <w:vAlign w:val="center"/>
          </w:tcPr>
          <w:p>
            <w:r>
              <w:rPr>
                <w:sz w:val="19"/>
                <w:szCs w:val="19"/>
              </w:rPr>
              <w:t xml:space="preserve">Security/authorization failures generate immediate alerts.</w:t>
            </w:r>
          </w:p>
        </w:tc>
        <w:tc>
          <w:tcPr>
            <w:tcW w:type="dxa" w:w="3300"/>
            <w:shd w:fill="F2F2F2" w:val="clear"/>
            <w:tcMar>
              <w:top w:type="dxa" w:w="80"/>
              <w:left w:type="dxa" w:w="100"/>
              <w:bottom w:type="dxa" w:w="80"/>
              <w:right w:type="dxa" w:w="100"/>
            </w:tcMar>
            <w:vAlign w:val="center"/>
          </w:tcPr>
          <w:p>
            <w:r>
              <w:rPr>
                <w:sz w:val="19"/>
                <w:szCs w:val="19"/>
              </w:rPr>
              <w:t xml:space="preserve">Force a 401 or token-refresh failure and confirm a high-priority alert reaches the support team within the agreed SLA.</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NFR-O3</w:t>
            </w:r>
          </w:p>
        </w:tc>
        <w:tc>
          <w:tcPr>
            <w:tcW w:type="dxa" w:w="2500"/>
            <w:tcMar>
              <w:top w:type="dxa" w:w="80"/>
              <w:left w:type="dxa" w:w="100"/>
              <w:bottom w:type="dxa" w:w="80"/>
              <w:right w:type="dxa" w:w="100"/>
            </w:tcMar>
            <w:vAlign w:val="center"/>
          </w:tcPr>
          <w:p>
            <w:r>
              <w:rPr>
                <w:sz w:val="19"/>
                <w:szCs w:val="19"/>
              </w:rPr>
              <w:t xml:space="preserve">Every request/response/decision/error traceable to source record and batch.</w:t>
            </w:r>
          </w:p>
        </w:tc>
        <w:tc>
          <w:tcPr>
            <w:tcW w:type="dxa" w:w="3300"/>
            <w:tcMar>
              <w:top w:type="dxa" w:w="80"/>
              <w:left w:type="dxa" w:w="100"/>
              <w:bottom w:type="dxa" w:w="80"/>
              <w:right w:type="dxa" w:w="100"/>
            </w:tcMar>
            <w:vAlign w:val="center"/>
          </w:tcPr>
          <w:p>
            <w:r>
              <w:rPr>
                <w:sz w:val="19"/>
                <w:szCs w:val="19"/>
              </w:rPr>
              <w:t xml:space="preserve">Sample a completed run and confirm structured JSON logs keyed by record_id exist for its requests, responses and errors, including correlation IDs and timestamps.</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bl>
    <w:p>
      <w:pPr>
        <w:pStyle w:val="Heading2"/>
        <w:spacing w:after="160" w:before="280"/>
      </w:pPr>
      <w:r>
        <w:rPr>
          <w:b/>
          <w:bCs/>
          <w:color w:val="2E5395"/>
        </w:rPr>
        <w:t xml:space="preserve">8. Recoverability &amp;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1660"/>
        <w:gridCol w:w="12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3300"/>
            <w:shd w:fill="1F3864" w:val="clear"/>
            <w:tcMar>
              <w:top w:type="dxa" w:w="80"/>
              <w:left w:type="dxa" w:w="100"/>
              <w:bottom w:type="dxa" w:w="80"/>
              <w:right w:type="dxa" w:w="100"/>
            </w:tcMar>
            <w:vAlign w:val="center"/>
          </w:tcPr>
          <w:p>
            <w:r>
              <w:rPr>
                <w:b/>
                <w:bCs/>
                <w:color w:val="FFFFFF"/>
                <w:sz w:val="20"/>
                <w:szCs w:val="20"/>
              </w:rPr>
              <w:t xml:space="preserve">Validation Check</w:t>
            </w:r>
          </w:p>
        </w:tc>
        <w:tc>
          <w:tcPr>
            <w:tcW w:type="dxa" w:w="166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700"/>
            <w:shd w:fill="F2F2F2" w:val="clear"/>
            <w:tcMar>
              <w:top w:type="dxa" w:w="80"/>
              <w:left w:type="dxa" w:w="100"/>
              <w:bottom w:type="dxa" w:w="80"/>
              <w:right w:type="dxa" w:w="100"/>
            </w:tcMar>
            <w:vAlign w:val="center"/>
          </w:tcPr>
          <w:p>
            <w:r>
              <w:rPr>
                <w:sz w:val="19"/>
                <w:szCs w:val="19"/>
              </w:rPr>
              <w:t xml:space="preserve">NFR-DR1</w:t>
            </w:r>
          </w:p>
        </w:tc>
        <w:tc>
          <w:tcPr>
            <w:tcW w:type="dxa" w:w="2500"/>
            <w:shd w:fill="F2F2F2" w:val="clear"/>
            <w:tcMar>
              <w:top w:type="dxa" w:w="80"/>
              <w:left w:type="dxa" w:w="100"/>
              <w:bottom w:type="dxa" w:w="80"/>
              <w:right w:type="dxa" w:w="100"/>
            </w:tcMar>
            <w:vAlign w:val="center"/>
          </w:tcPr>
          <w:p>
            <w:r>
              <w:rPr>
                <w:sz w:val="19"/>
                <w:szCs w:val="19"/>
              </w:rPr>
              <w:t xml:space="preserve">Final results retained durably after run completion.</w:t>
            </w:r>
          </w:p>
        </w:tc>
        <w:tc>
          <w:tcPr>
            <w:tcW w:type="dxa" w:w="3300"/>
            <w:shd w:fill="F2F2F2" w:val="clear"/>
            <w:tcMar>
              <w:top w:type="dxa" w:w="80"/>
              <w:left w:type="dxa" w:w="100"/>
              <w:bottom w:type="dxa" w:w="80"/>
              <w:right w:type="dxa" w:w="100"/>
            </w:tcMar>
            <w:vAlign w:val="center"/>
          </w:tcPr>
          <w:p>
            <w:r>
              <w:rPr>
                <w:sz w:val="19"/>
                <w:szCs w:val="19"/>
              </w:rPr>
              <w:t xml:space="preserve">Confirm final pipeline results are persisted to S3 after all batches complete, separate from the operational DB, and are retrievable independently.</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NFR-DR2</w:t>
            </w:r>
          </w:p>
        </w:tc>
        <w:tc>
          <w:tcPr>
            <w:tcW w:type="dxa" w:w="2500"/>
            <w:tcMar>
              <w:top w:type="dxa" w:w="80"/>
              <w:left w:type="dxa" w:w="100"/>
              <w:bottom w:type="dxa" w:w="80"/>
              <w:right w:type="dxa" w:w="100"/>
            </w:tcMar>
            <w:vAlign w:val="center"/>
          </w:tcPr>
          <w:p>
            <w:r>
              <w:rPr>
                <w:sz w:val="19"/>
                <w:szCs w:val="19"/>
              </w:rPr>
              <w:t xml:space="preserve">Non-terminal batches/records automatically identified and reconciled.</w:t>
            </w:r>
          </w:p>
        </w:tc>
        <w:tc>
          <w:tcPr>
            <w:tcW w:type="dxa" w:w="3300"/>
            <w:tcMar>
              <w:top w:type="dxa" w:w="80"/>
              <w:left w:type="dxa" w:w="100"/>
              <w:bottom w:type="dxa" w:w="80"/>
              <w:right w:type="dxa" w:w="100"/>
            </w:tcMar>
            <w:vAlign w:val="center"/>
          </w:tcPr>
          <w:p>
            <w:r>
              <w:rPr>
                <w:sz w:val="19"/>
                <w:szCs w:val="19"/>
              </w:rPr>
              <w:t xml:space="preserve">Force a failure leaving batches in PROCESSING; confirm automatic reconciliation to PENDING (or re-queue) occurs on retrigger/recovery, and recovery reports identify the non-terminal work.</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bl>
    <w:p>
      <w:pPr>
        <w:pStyle w:val="Heading2"/>
        <w:spacing w:after="160" w:before="280"/>
      </w:pPr>
      <w:r>
        <w:rPr>
          <w:b/>
          <w:bCs/>
          <w:color w:val="2E5395"/>
        </w:rPr>
        <w:t xml:space="preserve">9. Maintainability &amp; Configurability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1660"/>
        <w:gridCol w:w="12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3300"/>
            <w:shd w:fill="1F3864" w:val="clear"/>
            <w:tcMar>
              <w:top w:type="dxa" w:w="80"/>
              <w:left w:type="dxa" w:w="100"/>
              <w:bottom w:type="dxa" w:w="80"/>
              <w:right w:type="dxa" w:w="100"/>
            </w:tcMar>
            <w:vAlign w:val="center"/>
          </w:tcPr>
          <w:p>
            <w:r>
              <w:rPr>
                <w:b/>
                <w:bCs/>
                <w:color w:val="FFFFFF"/>
                <w:sz w:val="20"/>
                <w:szCs w:val="20"/>
              </w:rPr>
              <w:t xml:space="preserve">Validation Check</w:t>
            </w:r>
          </w:p>
        </w:tc>
        <w:tc>
          <w:tcPr>
            <w:tcW w:type="dxa" w:w="166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700"/>
            <w:tcMar>
              <w:top w:type="dxa" w:w="80"/>
              <w:left w:type="dxa" w:w="100"/>
              <w:bottom w:type="dxa" w:w="80"/>
              <w:right w:type="dxa" w:w="100"/>
            </w:tcMar>
            <w:vAlign w:val="center"/>
          </w:tcPr>
          <w:p>
            <w:r>
              <w:rPr>
                <w:sz w:val="19"/>
                <w:szCs w:val="19"/>
              </w:rPr>
              <w:t xml:space="preserve">NFR-M1</w:t>
            </w:r>
          </w:p>
        </w:tc>
        <w:tc>
          <w:tcPr>
            <w:tcW w:type="dxa" w:w="2500"/>
            <w:tcMar>
              <w:top w:type="dxa" w:w="80"/>
              <w:left w:type="dxa" w:w="100"/>
              <w:bottom w:type="dxa" w:w="80"/>
              <w:right w:type="dxa" w:w="100"/>
            </w:tcMar>
            <w:vAlign w:val="center"/>
          </w:tcPr>
          <w:p>
            <w:r>
              <w:rPr>
                <w:sz w:val="19"/>
                <w:szCs w:val="19"/>
              </w:rPr>
              <w:t xml:space="preserve">Operational tuning parameters externally configurable.</w:t>
            </w:r>
          </w:p>
        </w:tc>
        <w:tc>
          <w:tcPr>
            <w:tcW w:type="dxa" w:w="3300"/>
            <w:tcMar>
              <w:top w:type="dxa" w:w="80"/>
              <w:left w:type="dxa" w:w="100"/>
              <w:bottom w:type="dxa" w:w="80"/>
              <w:right w:type="dxa" w:w="100"/>
            </w:tcMar>
            <w:vAlign w:val="center"/>
          </w:tcPr>
          <w:p>
            <w:r>
              <w:rPr>
                <w:sz w:val="19"/>
                <w:szCs w:val="19"/>
              </w:rPr>
              <w:t xml:space="preserve">Confirm rate split, retry counts, visibility timeout, max receive count, DLQ retention, hop cap and batch sizes can all be changed via configuration without a code change.</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NFR-M2</w:t>
            </w:r>
          </w:p>
        </w:tc>
        <w:tc>
          <w:tcPr>
            <w:tcW w:type="dxa" w:w="2500"/>
            <w:shd w:fill="F2F2F2" w:val="clear"/>
            <w:tcMar>
              <w:top w:type="dxa" w:w="80"/>
              <w:left w:type="dxa" w:w="100"/>
              <w:bottom w:type="dxa" w:w="80"/>
              <w:right w:type="dxa" w:w="100"/>
            </w:tcMar>
            <w:vAlign w:val="center"/>
          </w:tcPr>
          <w:p>
            <w:r>
              <w:rPr>
                <w:sz w:val="19"/>
                <w:szCs w:val="19"/>
              </w:rPr>
              <w:t xml:space="preserve">Processing responsibilities clearly separated.</w:t>
            </w:r>
          </w:p>
        </w:tc>
        <w:tc>
          <w:tcPr>
            <w:tcW w:type="dxa" w:w="3300"/>
            <w:shd w:fill="F2F2F2" w:val="clear"/>
            <w:tcMar>
              <w:top w:type="dxa" w:w="80"/>
              <w:left w:type="dxa" w:w="100"/>
              <w:bottom w:type="dxa" w:w="80"/>
              <w:right w:type="dxa" w:w="100"/>
            </w:tcMar>
            <w:vAlign w:val="center"/>
          </w:tcPr>
          <w:p>
            <w:r>
              <w:rPr>
                <w:sz w:val="19"/>
                <w:szCs w:val="19"/>
              </w:rPr>
              <w:t xml:space="preserve">Confirm QueueConsumer, TokenRefreshService, DecisionEngine, RateLimiter, etc. can each be tested and changed independently (Part II §5, Proposed Class Design).</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NFR-M3</w:t>
            </w:r>
          </w:p>
        </w:tc>
        <w:tc>
          <w:tcPr>
            <w:tcW w:type="dxa" w:w="2500"/>
            <w:tcMar>
              <w:top w:type="dxa" w:w="80"/>
              <w:left w:type="dxa" w:w="100"/>
              <w:bottom w:type="dxa" w:w="80"/>
              <w:right w:type="dxa" w:w="100"/>
            </w:tcMar>
            <w:vAlign w:val="center"/>
          </w:tcPr>
          <w:p>
            <w:r>
              <w:rPr>
                <w:sz w:val="19"/>
                <w:szCs w:val="19"/>
              </w:rPr>
              <w:t xml:space="preserve">OPEN ITEM — design supports future component substitution.</w:t>
            </w:r>
          </w:p>
        </w:tc>
        <w:tc>
          <w:tcPr>
            <w:tcW w:type="dxa" w:w="3300"/>
            <w:tcMar>
              <w:top w:type="dxa" w:w="80"/>
              <w:left w:type="dxa" w:w="100"/>
              <w:bottom w:type="dxa" w:w="80"/>
              <w:right w:type="dxa" w:w="100"/>
            </w:tcMar>
            <w:vAlign w:val="center"/>
          </w:tcPr>
          <w:p>
            <w:r>
              <w:rPr>
                <w:sz w:val="19"/>
                <w:szCs w:val="19"/>
              </w:rPr>
              <w:t xml:space="preserve">No confirmed design response yet. Engineering to confirm whether the class separation in NFR-M2 satisfies this, or provide an explicit design response, before this item can be marked Met.</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bl>
    <w:p>
      <w:pPr>
        <w:pStyle w:val="Heading2"/>
        <w:spacing w:after="160" w:before="280"/>
      </w:pPr>
      <w:r>
        <w:rPr>
          <w:b/>
          <w:bCs/>
          <w:color w:val="2E5395"/>
        </w:rPr>
        <w:t xml:space="preserve">10. Third-Party Constraint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1660"/>
        <w:gridCol w:w="12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3300"/>
            <w:shd w:fill="1F3864" w:val="clear"/>
            <w:tcMar>
              <w:top w:type="dxa" w:w="80"/>
              <w:left w:type="dxa" w:w="100"/>
              <w:bottom w:type="dxa" w:w="80"/>
              <w:right w:type="dxa" w:w="100"/>
            </w:tcMar>
            <w:vAlign w:val="center"/>
          </w:tcPr>
          <w:p>
            <w:r>
              <w:rPr>
                <w:b/>
                <w:bCs/>
                <w:color w:val="FFFFFF"/>
                <w:sz w:val="20"/>
                <w:szCs w:val="20"/>
              </w:rPr>
              <w:t xml:space="preserve">Validation Check</w:t>
            </w:r>
          </w:p>
        </w:tc>
        <w:tc>
          <w:tcPr>
            <w:tcW w:type="dxa" w:w="166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700"/>
            <w:tcMar>
              <w:top w:type="dxa" w:w="80"/>
              <w:left w:type="dxa" w:w="100"/>
              <w:bottom w:type="dxa" w:w="80"/>
              <w:right w:type="dxa" w:w="100"/>
            </w:tcMar>
            <w:vAlign w:val="center"/>
          </w:tcPr>
          <w:p>
            <w:r>
              <w:rPr>
                <w:sz w:val="19"/>
                <w:szCs w:val="19"/>
              </w:rPr>
              <w:t xml:space="preserve">NFR-C1</w:t>
            </w:r>
          </w:p>
        </w:tc>
        <w:tc>
          <w:tcPr>
            <w:tcW w:type="dxa" w:w="2500"/>
            <w:tcMar>
              <w:top w:type="dxa" w:w="80"/>
              <w:left w:type="dxa" w:w="100"/>
              <w:bottom w:type="dxa" w:w="80"/>
              <w:right w:type="dxa" w:w="100"/>
            </w:tcMar>
            <w:vAlign w:val="center"/>
          </w:tcPr>
          <w:p>
            <w:r>
              <w:rPr>
                <w:sz w:val="19"/>
                <w:szCs w:val="19"/>
              </w:rPr>
              <w:t xml:space="preserve">No duplicate/excessive calls to LN.</w:t>
            </w:r>
          </w:p>
        </w:tc>
        <w:tc>
          <w:tcPr>
            <w:tcW w:type="dxa" w:w="3300"/>
            <w:tcMar>
              <w:top w:type="dxa" w:w="80"/>
              <w:left w:type="dxa" w:w="100"/>
              <w:bottom w:type="dxa" w:w="80"/>
              <w:right w:type="dxa" w:w="100"/>
            </w:tcMar>
            <w:vAlign w:val="center"/>
          </w:tcPr>
          <w:p>
            <w:r>
              <w:rPr>
                <w:sz w:val="19"/>
                <w:szCs w:val="19"/>
              </w:rPr>
              <w:t xml:space="preserve">Confirm zero duplicate LexisNexis calls for terminal records across test evidence and operational logs, via the combined dedup + idempotent-write + circuit-breaker + delete-after-completion controls.</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NFR-C2</w:t>
            </w:r>
          </w:p>
        </w:tc>
        <w:tc>
          <w:tcPr>
            <w:tcW w:type="dxa" w:w="2500"/>
            <w:shd w:fill="F2F2F2" w:val="clear"/>
            <w:tcMar>
              <w:top w:type="dxa" w:w="80"/>
              <w:left w:type="dxa" w:w="100"/>
              <w:bottom w:type="dxa" w:w="80"/>
              <w:right w:type="dxa" w:w="100"/>
            </w:tcMar>
            <w:vAlign w:val="center"/>
          </w:tcPr>
          <w:p>
            <w:r>
              <w:rPr>
                <w:sz w:val="19"/>
                <w:szCs w:val="19"/>
              </w:rPr>
              <w:t xml:space="preserve">LN rate-limit/authentication assumptions confirmed before production.</w:t>
            </w:r>
          </w:p>
        </w:tc>
        <w:tc>
          <w:tcPr>
            <w:tcW w:type="dxa" w:w="3300"/>
            <w:shd w:fill="F2F2F2" w:val="clear"/>
            <w:tcMar>
              <w:top w:type="dxa" w:w="80"/>
              <w:left w:type="dxa" w:w="100"/>
              <w:bottom w:type="dxa" w:w="80"/>
              <w:right w:type="dxa" w:w="100"/>
            </w:tcMar>
            <w:vAlign w:val="center"/>
          </w:tcPr>
          <w:p>
            <w:r>
              <w:rPr>
                <w:sz w:val="19"/>
                <w:szCs w:val="19"/>
              </w:rPr>
              <w:t xml:space="preserve">Confirm the go-live checklist includes verified provider limits, authentication behaviour, retry expectations and failure-response handling, cross-checked against official LN documentation.</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bl>
    <w:p>
      <w:r>
        <w:br w:type="page"/>
      </w:r>
    </w:p>
    <w:p>
      <w:pPr>
        <w:pStyle w:val="Heading1"/>
        <w:spacing w:after="200" w:before="360"/>
      </w:pPr>
      <w:r>
        <w:rPr>
          <w:b/>
          <w:bCs/>
          <w:color w:val="1F3864"/>
        </w:rPr>
        <w:t xml:space="preserve">Section B — Functional / Feature Checklist</w:t>
      </w:r>
    </w:p>
    <w:p>
      <w:pPr>
        <w:spacing w:after="160"/>
      </w:pPr>
      <w:r>
        <w:t xml:space="preserve">Covers the key implementation behaviours described in Part II (LLD) and Part III (Node.js SQS Queue Management).</w:t>
      </w:r>
    </w:p>
    <w:p>
      <w:pPr>
        <w:pStyle w:val="Heading2"/>
        <w:spacing w:after="160" w:before="280"/>
      </w:pPr>
      <w:r>
        <w:rPr>
          <w:b/>
          <w:bCs/>
          <w:color w:val="2E5395"/>
        </w:rPr>
        <w:t xml:space="preserve">B1. Orchestration &amp; Initial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1660"/>
        <w:gridCol w:w="12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Feature / Behaviour</w:t>
            </w:r>
          </w:p>
        </w:tc>
        <w:tc>
          <w:tcPr>
            <w:tcW w:type="dxa" w:w="3300"/>
            <w:shd w:fill="1F3864" w:val="clear"/>
            <w:tcMar>
              <w:top w:type="dxa" w:w="80"/>
              <w:left w:type="dxa" w:w="100"/>
              <w:bottom w:type="dxa" w:w="80"/>
              <w:right w:type="dxa" w:w="100"/>
            </w:tcMar>
            <w:vAlign w:val="center"/>
          </w:tcPr>
          <w:p>
            <w:r>
              <w:rPr>
                <w:b/>
                <w:bCs/>
                <w:color w:val="FFFFFF"/>
                <w:sz w:val="20"/>
                <w:szCs w:val="20"/>
              </w:rPr>
              <w:t xml:space="preserve">Validation Check</w:t>
            </w:r>
          </w:p>
        </w:tc>
        <w:tc>
          <w:tcPr>
            <w:tcW w:type="dxa" w:w="166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700"/>
            <w:tcMar>
              <w:top w:type="dxa" w:w="80"/>
              <w:left w:type="dxa" w:w="100"/>
              <w:bottom w:type="dxa" w:w="80"/>
              <w:right w:type="dxa" w:w="100"/>
            </w:tcMar>
            <w:vAlign w:val="center"/>
          </w:tcPr>
          <w:p>
            <w:r>
              <w:rPr>
                <w:sz w:val="19"/>
                <w:szCs w:val="19"/>
              </w:rPr>
              <w:t xml:space="preserve">F1</w:t>
            </w:r>
          </w:p>
        </w:tc>
        <w:tc>
          <w:tcPr>
            <w:tcW w:type="dxa" w:w="2500"/>
            <w:tcMar>
              <w:top w:type="dxa" w:w="80"/>
              <w:left w:type="dxa" w:w="100"/>
              <w:bottom w:type="dxa" w:w="80"/>
              <w:right w:type="dxa" w:w="100"/>
            </w:tcMar>
            <w:vAlign w:val="center"/>
          </w:tcPr>
          <w:p>
            <w:r>
              <w:rPr>
                <w:sz w:val="19"/>
                <w:szCs w:val="19"/>
              </w:rPr>
              <w:t xml:space="preserve">Three-step pipeline runs in order: Validation → Address Standardisation (conditional) → Verification.</w:t>
            </w:r>
          </w:p>
        </w:tc>
        <w:tc>
          <w:tcPr>
            <w:tcW w:type="dxa" w:w="3300"/>
            <w:tcMar>
              <w:top w:type="dxa" w:w="80"/>
              <w:left w:type="dxa" w:w="100"/>
              <w:bottom w:type="dxa" w:w="80"/>
              <w:right w:type="dxa" w:w="100"/>
            </w:tcMar>
            <w:vAlign w:val="center"/>
          </w:tcPr>
          <w:p>
            <w:r>
              <w:rPr>
                <w:sz w:val="19"/>
                <w:szCs w:val="19"/>
              </w:rPr>
              <w:t xml:space="preserve">Submit a doc_id and confirm the sequence executes in order, and that Address Standardisation is skipped entirely when address_lookup = false.</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F2</w:t>
            </w:r>
          </w:p>
        </w:tc>
        <w:tc>
          <w:tcPr>
            <w:tcW w:type="dxa" w:w="2500"/>
            <w:shd w:fill="F2F2F2" w:val="clear"/>
            <w:tcMar>
              <w:top w:type="dxa" w:w="80"/>
              <w:left w:type="dxa" w:w="100"/>
              <w:bottom w:type="dxa" w:w="80"/>
              <w:right w:type="dxa" w:w="100"/>
            </w:tcMar>
            <w:vAlign w:val="center"/>
          </w:tcPr>
          <w:p>
            <w:r>
              <w:rPr>
                <w:sz w:val="19"/>
                <w:szCs w:val="19"/>
              </w:rPr>
              <w:t xml:space="preserve">Node retries /internal_validation and /ln_address_standardisation up to 3 times on failure.</w:t>
            </w:r>
          </w:p>
        </w:tc>
        <w:tc>
          <w:tcPr>
            <w:tcW w:type="dxa" w:w="3300"/>
            <w:shd w:fill="F2F2F2" w:val="clear"/>
            <w:tcMar>
              <w:top w:type="dxa" w:w="80"/>
              <w:left w:type="dxa" w:w="100"/>
              <w:bottom w:type="dxa" w:w="80"/>
              <w:right w:type="dxa" w:w="100"/>
            </w:tcMar>
            <w:vAlign w:val="center"/>
          </w:tcPr>
          <w:p>
            <w:r>
              <w:rPr>
                <w:sz w:val="19"/>
                <w:szCs w:val="19"/>
              </w:rPr>
              <w:t xml:space="preserve">Force a failure on each call and confirm exactly 3 retry attempts occur before the step is marked failed.</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F3</w:t>
            </w:r>
          </w:p>
        </w:tc>
        <w:tc>
          <w:tcPr>
            <w:tcW w:type="dxa" w:w="2500"/>
            <w:tcMar>
              <w:top w:type="dxa" w:w="80"/>
              <w:left w:type="dxa" w:w="100"/>
              <w:bottom w:type="dxa" w:w="80"/>
              <w:right w:type="dxa" w:w="100"/>
            </w:tcMar>
            <w:vAlign w:val="center"/>
          </w:tcPr>
          <w:p>
            <w:r>
              <w:rPr>
                <w:sz w:val="19"/>
                <w:szCs w:val="19"/>
              </w:rPr>
              <w:t xml:space="preserve">Records are published to SQS individually, one record per message.</w:t>
            </w:r>
          </w:p>
        </w:tc>
        <w:tc>
          <w:tcPr>
            <w:tcW w:type="dxa" w:w="3300"/>
            <w:tcMar>
              <w:top w:type="dxa" w:w="80"/>
              <w:left w:type="dxa" w:w="100"/>
              <w:bottom w:type="dxa" w:w="80"/>
              <w:right w:type="dxa" w:w="100"/>
            </w:tcMar>
            <w:vAlign w:val="center"/>
          </w:tcPr>
          <w:p>
            <w:r>
              <w:rPr>
                <w:sz w:val="19"/>
                <w:szCs w:val="19"/>
              </w:rPr>
              <w:t xml:space="preserve">Inspect SQS message contents after batch push and confirm each message contains exactly one record, not a batch payload.</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F4</w:t>
            </w:r>
          </w:p>
        </w:tc>
        <w:tc>
          <w:tcPr>
            <w:tcW w:type="dxa" w:w="2500"/>
            <w:shd w:fill="F2F2F2" w:val="clear"/>
            <w:tcMar>
              <w:top w:type="dxa" w:w="80"/>
              <w:left w:type="dxa" w:w="100"/>
              <w:bottom w:type="dxa" w:w="80"/>
              <w:right w:type="dxa" w:w="100"/>
            </w:tcMar>
            <w:vAlign w:val="center"/>
          </w:tcPr>
          <w:p>
            <w:r>
              <w:rPr>
                <w:sz w:val="19"/>
                <w:szCs w:val="19"/>
              </w:rPr>
              <w:t xml:space="preserve">Node only triggers /api/cra/address_verification after all batches are fully queued.</w:t>
            </w:r>
          </w:p>
        </w:tc>
        <w:tc>
          <w:tcPr>
            <w:tcW w:type="dxa" w:w="3300"/>
            <w:shd w:fill="F2F2F2" w:val="clear"/>
            <w:tcMar>
              <w:top w:type="dxa" w:w="80"/>
              <w:left w:type="dxa" w:w="100"/>
              <w:bottom w:type="dxa" w:w="80"/>
              <w:right w:type="dxa" w:w="100"/>
            </w:tcMar>
            <w:vAlign w:val="center"/>
          </w:tcPr>
          <w:p>
            <w:r>
              <w:rPr>
                <w:sz w:val="19"/>
                <w:szCs w:val="19"/>
              </w:rPr>
              <w:t xml:space="preserve">Confirm the Verification API call is not issued until every validated batch has been published to SQS.</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bl>
    <w:p>
      <w:pPr>
        <w:pStyle w:val="Heading2"/>
        <w:spacing w:after="160" w:before="280"/>
      </w:pPr>
      <w:r>
        <w:rPr>
          <w:b/>
          <w:bCs/>
          <w:color w:val="2E5395"/>
        </w:rPr>
        <w:t xml:space="preserve">B2. Validation Layer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1660"/>
        <w:gridCol w:w="12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Feature / Behaviour</w:t>
            </w:r>
          </w:p>
        </w:tc>
        <w:tc>
          <w:tcPr>
            <w:tcW w:type="dxa" w:w="3300"/>
            <w:shd w:fill="1F3864" w:val="clear"/>
            <w:tcMar>
              <w:top w:type="dxa" w:w="80"/>
              <w:left w:type="dxa" w:w="100"/>
              <w:bottom w:type="dxa" w:w="80"/>
              <w:right w:type="dxa" w:w="100"/>
            </w:tcMar>
            <w:vAlign w:val="center"/>
          </w:tcPr>
          <w:p>
            <w:r>
              <w:rPr>
                <w:b/>
                <w:bCs/>
                <w:color w:val="FFFFFF"/>
                <w:sz w:val="20"/>
                <w:szCs w:val="20"/>
              </w:rPr>
              <w:t xml:space="preserve">Validation Check</w:t>
            </w:r>
          </w:p>
        </w:tc>
        <w:tc>
          <w:tcPr>
            <w:tcW w:type="dxa" w:w="166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700"/>
            <w:tcMar>
              <w:top w:type="dxa" w:w="80"/>
              <w:left w:type="dxa" w:w="100"/>
              <w:bottom w:type="dxa" w:w="80"/>
              <w:right w:type="dxa" w:w="100"/>
            </w:tcMar>
            <w:vAlign w:val="center"/>
          </w:tcPr>
          <w:p>
            <w:r>
              <w:rPr>
                <w:sz w:val="19"/>
                <w:szCs w:val="19"/>
              </w:rPr>
              <w:t xml:space="preserve">F5</w:t>
            </w:r>
          </w:p>
        </w:tc>
        <w:tc>
          <w:tcPr>
            <w:tcW w:type="dxa" w:w="2500"/>
            <w:tcMar>
              <w:top w:type="dxa" w:w="80"/>
              <w:left w:type="dxa" w:w="100"/>
              <w:bottom w:type="dxa" w:w="80"/>
              <w:right w:type="dxa" w:w="100"/>
            </w:tcMar>
            <w:vAlign w:val="center"/>
          </w:tcPr>
          <w:p>
            <w:r>
              <w:rPr>
                <w:sz w:val="19"/>
                <w:szCs w:val="19"/>
              </w:rPr>
              <w:t xml:space="preserve">All configured rules are applied and a rule-wise scan report is produced.</w:t>
            </w:r>
          </w:p>
        </w:tc>
        <w:tc>
          <w:tcPr>
            <w:tcW w:type="dxa" w:w="3300"/>
            <w:tcMar>
              <w:top w:type="dxa" w:w="80"/>
              <w:left w:type="dxa" w:w="100"/>
              <w:bottom w:type="dxa" w:w="80"/>
              <w:right w:type="dxa" w:w="100"/>
            </w:tcMar>
            <w:vAlign w:val="center"/>
          </w:tcPr>
          <w:p>
            <w:r>
              <w:rPr>
                <w:sz w:val="19"/>
                <w:szCs w:val="19"/>
              </w:rPr>
              <w:t xml:space="preserve">Run a batch with known rule violations and confirm the scan report in cleaning_delta_table shows results broken down rule by rule.</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F6</w:t>
            </w:r>
          </w:p>
        </w:tc>
        <w:tc>
          <w:tcPr>
            <w:tcW w:type="dxa" w:w="2500"/>
            <w:shd w:fill="F2F2F2" w:val="clear"/>
            <w:tcMar>
              <w:top w:type="dxa" w:w="80"/>
              <w:left w:type="dxa" w:w="100"/>
              <w:bottom w:type="dxa" w:w="80"/>
              <w:right w:type="dxa" w:w="100"/>
            </w:tcMar>
            <w:vAlign w:val="center"/>
          </w:tcPr>
          <w:p>
            <w:r>
              <w:rPr>
                <w:sz w:val="19"/>
                <w:szCs w:val="19"/>
              </w:rPr>
              <w:t xml:space="preserve">Invalid records are surfaced to the user with combined reason codes; validated records proceed.</w:t>
            </w:r>
          </w:p>
        </w:tc>
        <w:tc>
          <w:tcPr>
            <w:tcW w:type="dxa" w:w="3300"/>
            <w:shd w:fill="F2F2F2" w:val="clear"/>
            <w:tcMar>
              <w:top w:type="dxa" w:w="80"/>
              <w:left w:type="dxa" w:w="100"/>
              <w:bottom w:type="dxa" w:w="80"/>
              <w:right w:type="dxa" w:w="100"/>
            </w:tcMar>
            <w:vAlign w:val="center"/>
          </w:tcPr>
          <w:p>
            <w:r>
              <w:rPr>
                <w:sz w:val="19"/>
                <w:szCs w:val="19"/>
              </w:rPr>
              <w:t xml:space="preserve">Submit a batch with mixed valid/invalid records and confirm invalid records appear in review_records with reason codes, and valid records proceed to the next stage.</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bl>
    <w:p>
      <w:pPr>
        <w:pStyle w:val="Heading2"/>
        <w:spacing w:after="160" w:before="280"/>
      </w:pPr>
      <w:r>
        <w:rPr>
          <w:b/>
          <w:bCs/>
          <w:color w:val="2E5395"/>
        </w:rPr>
        <w:t xml:space="preserve">B3. Address Standardisation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1660"/>
        <w:gridCol w:w="12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Feature / Behaviour</w:t>
            </w:r>
          </w:p>
        </w:tc>
        <w:tc>
          <w:tcPr>
            <w:tcW w:type="dxa" w:w="3300"/>
            <w:shd w:fill="1F3864" w:val="clear"/>
            <w:tcMar>
              <w:top w:type="dxa" w:w="80"/>
              <w:left w:type="dxa" w:w="100"/>
              <w:bottom w:type="dxa" w:w="80"/>
              <w:right w:type="dxa" w:w="100"/>
            </w:tcMar>
            <w:vAlign w:val="center"/>
          </w:tcPr>
          <w:p>
            <w:r>
              <w:rPr>
                <w:b/>
                <w:bCs/>
                <w:color w:val="FFFFFF"/>
                <w:sz w:val="20"/>
                <w:szCs w:val="20"/>
              </w:rPr>
              <w:t xml:space="preserve">Validation Check</w:t>
            </w:r>
          </w:p>
        </w:tc>
        <w:tc>
          <w:tcPr>
            <w:tcW w:type="dxa" w:w="166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700"/>
            <w:tcMar>
              <w:top w:type="dxa" w:w="80"/>
              <w:left w:type="dxa" w:w="100"/>
              <w:bottom w:type="dxa" w:w="80"/>
              <w:right w:type="dxa" w:w="100"/>
            </w:tcMar>
            <w:vAlign w:val="center"/>
          </w:tcPr>
          <w:p>
            <w:r>
              <w:rPr>
                <w:sz w:val="19"/>
                <w:szCs w:val="19"/>
              </w:rPr>
              <w:t xml:space="preserve">F7</w:t>
            </w:r>
          </w:p>
        </w:tc>
        <w:tc>
          <w:tcPr>
            <w:tcW w:type="dxa" w:w="2500"/>
            <w:tcMar>
              <w:top w:type="dxa" w:w="80"/>
              <w:left w:type="dxa" w:w="100"/>
              <w:bottom w:type="dxa" w:w="80"/>
              <w:right w:type="dxa" w:w="100"/>
            </w:tcMar>
            <w:vAlign w:val="center"/>
          </w:tcPr>
          <w:p>
            <w:r>
              <w:rPr>
                <w:sz w:val="19"/>
                <w:szCs w:val="19"/>
              </w:rPr>
              <w:t xml:space="preserve">CronTokenRefresher refreshes the shared LN token every 25 minutes.</w:t>
            </w:r>
          </w:p>
        </w:tc>
        <w:tc>
          <w:tcPr>
            <w:tcW w:type="dxa" w:w="3300"/>
            <w:tcMar>
              <w:top w:type="dxa" w:w="80"/>
              <w:left w:type="dxa" w:w="100"/>
              <w:bottom w:type="dxa" w:w="80"/>
              <w:right w:type="dxa" w:w="100"/>
            </w:tcMar>
            <w:vAlign w:val="center"/>
          </w:tcPr>
          <w:p>
            <w:r>
              <w:rPr>
                <w:sz w:val="19"/>
                <w:szCs w:val="19"/>
              </w:rPr>
              <w:t xml:space="preserve">Monitor the token refresh job over a multi-hour run and confirm refreshes occur on a ~25-minute cadence, plus on-demand on a 401.</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F8</w:t>
            </w:r>
          </w:p>
        </w:tc>
        <w:tc>
          <w:tcPr>
            <w:tcW w:type="dxa" w:w="2500"/>
            <w:shd w:fill="F2F2F2" w:val="clear"/>
            <w:tcMar>
              <w:top w:type="dxa" w:w="80"/>
              <w:left w:type="dxa" w:w="100"/>
              <w:bottom w:type="dxa" w:w="80"/>
              <w:right w:type="dxa" w:w="100"/>
            </w:tcMar>
            <w:vAlign w:val="center"/>
          </w:tcPr>
          <w:p>
            <w:r>
              <w:rPr>
                <w:sz w:val="19"/>
                <w:szCs w:val="19"/>
              </w:rPr>
              <w:t xml:space="preserve">422 responses route directly to Skip Queue; other errors route to Retry Queue (max 4) then Skip Queue.</w:t>
            </w:r>
          </w:p>
        </w:tc>
        <w:tc>
          <w:tcPr>
            <w:tcW w:type="dxa" w:w="3300"/>
            <w:shd w:fill="F2F2F2" w:val="clear"/>
            <w:tcMar>
              <w:top w:type="dxa" w:w="80"/>
              <w:left w:type="dxa" w:w="100"/>
              <w:bottom w:type="dxa" w:w="80"/>
              <w:right w:type="dxa" w:w="100"/>
            </w:tcMar>
            <w:vAlign w:val="center"/>
          </w:tcPr>
          <w:p>
            <w:r>
              <w:rPr>
                <w:sz w:val="19"/>
                <w:szCs w:val="19"/>
              </w:rPr>
              <w:t xml:space="preserve">Force a 422 and confirm immediate Skip Queue routing; force a 500/502/timeout and confirm 4 retry attempts before Skip Queue.</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F9</w:t>
            </w:r>
          </w:p>
        </w:tc>
        <w:tc>
          <w:tcPr>
            <w:tcW w:type="dxa" w:w="2500"/>
            <w:tcMar>
              <w:top w:type="dxa" w:w="80"/>
              <w:left w:type="dxa" w:w="100"/>
              <w:bottom w:type="dxa" w:w="80"/>
              <w:right w:type="dxa" w:w="100"/>
            </w:tcMar>
            <w:vAlign w:val="center"/>
          </w:tcPr>
          <w:p>
            <w:r>
              <w:rPr>
                <w:sz w:val="19"/>
                <w:szCs w:val="19"/>
              </w:rPr>
              <w:t xml:space="preserve">429 triggers a batch-level halt and 2-minute cooldown, not a per-record retry.</w:t>
            </w:r>
          </w:p>
        </w:tc>
        <w:tc>
          <w:tcPr>
            <w:tcW w:type="dxa" w:w="3300"/>
            <w:tcMar>
              <w:top w:type="dxa" w:w="80"/>
              <w:left w:type="dxa" w:w="100"/>
              <w:bottom w:type="dxa" w:w="80"/>
              <w:right w:type="dxa" w:w="100"/>
            </w:tcMar>
            <w:vAlign w:val="center"/>
          </w:tcPr>
          <w:p>
            <w:r>
              <w:rPr>
                <w:sz w:val="19"/>
                <w:szCs w:val="19"/>
              </w:rPr>
              <w:t xml:space="preserve">Force a 429 mid-batch and confirm all other in-flight threads finish their current call only (no new dispatch), and the consumer pauses ~2 minutes before resuming.</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F10</w:t>
            </w:r>
          </w:p>
        </w:tc>
        <w:tc>
          <w:tcPr>
            <w:tcW w:type="dxa" w:w="2500"/>
            <w:shd w:fill="F2F2F2" w:val="clear"/>
            <w:tcMar>
              <w:top w:type="dxa" w:w="80"/>
              <w:left w:type="dxa" w:w="100"/>
              <w:bottom w:type="dxa" w:w="80"/>
              <w:right w:type="dxa" w:w="100"/>
            </w:tcMar>
            <w:vAlign w:val="center"/>
          </w:tcPr>
          <w:p>
            <w:r>
              <w:rPr>
                <w:sz w:val="19"/>
                <w:szCs w:val="19"/>
              </w:rPr>
              <w:t xml:space="preserve">Messages are deleted only after the DB write is durably persisted.</w:t>
            </w:r>
          </w:p>
        </w:tc>
        <w:tc>
          <w:tcPr>
            <w:tcW w:type="dxa" w:w="3300"/>
            <w:shd w:fill="F2F2F2" w:val="clear"/>
            <w:tcMar>
              <w:top w:type="dxa" w:w="80"/>
              <w:left w:type="dxa" w:w="100"/>
              <w:bottom w:type="dxa" w:w="80"/>
              <w:right w:type="dxa" w:w="100"/>
            </w:tcMar>
            <w:vAlign w:val="center"/>
          </w:tcPr>
          <w:p>
            <w:r>
              <w:rPr>
                <w:sz w:val="19"/>
                <w:szCs w:val="19"/>
              </w:rPr>
              <w:t xml:space="preserve">Kill the process after a thread completes its HTTP call but before the DB write commits; confirm the SQS message is NOT deleted and is reprocessed on restart.</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bl>
    <w:p>
      <w:pPr>
        <w:pStyle w:val="Heading2"/>
        <w:spacing w:after="160" w:before="280"/>
      </w:pPr>
      <w:r>
        <w:rPr>
          <w:b/>
          <w:bCs/>
          <w:color w:val="2E5395"/>
        </w:rPr>
        <w:t xml:space="preserve">B4. Verification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1660"/>
        <w:gridCol w:w="12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Feature / Behaviour</w:t>
            </w:r>
          </w:p>
        </w:tc>
        <w:tc>
          <w:tcPr>
            <w:tcW w:type="dxa" w:w="3300"/>
            <w:shd w:fill="1F3864" w:val="clear"/>
            <w:tcMar>
              <w:top w:type="dxa" w:w="80"/>
              <w:left w:type="dxa" w:w="100"/>
              <w:bottom w:type="dxa" w:w="80"/>
              <w:right w:type="dxa" w:w="100"/>
            </w:tcMar>
            <w:vAlign w:val="center"/>
          </w:tcPr>
          <w:p>
            <w:r>
              <w:rPr>
                <w:b/>
                <w:bCs/>
                <w:color w:val="FFFFFF"/>
                <w:sz w:val="20"/>
                <w:szCs w:val="20"/>
              </w:rPr>
              <w:t xml:space="preserve">Validation Check</w:t>
            </w:r>
          </w:p>
        </w:tc>
        <w:tc>
          <w:tcPr>
            <w:tcW w:type="dxa" w:w="166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700"/>
            <w:tcMar>
              <w:top w:type="dxa" w:w="80"/>
              <w:left w:type="dxa" w:w="100"/>
              <w:bottom w:type="dxa" w:w="80"/>
              <w:right w:type="dxa" w:w="100"/>
            </w:tcMar>
            <w:vAlign w:val="center"/>
          </w:tcPr>
          <w:p>
            <w:r>
              <w:rPr>
                <w:sz w:val="19"/>
                <w:szCs w:val="19"/>
              </w:rPr>
              <w:t xml:space="preserve">F11</w:t>
            </w:r>
          </w:p>
        </w:tc>
        <w:tc>
          <w:tcPr>
            <w:tcW w:type="dxa" w:w="2500"/>
            <w:tcMar>
              <w:top w:type="dxa" w:w="80"/>
              <w:left w:type="dxa" w:w="100"/>
              <w:bottom w:type="dxa" w:w="80"/>
              <w:right w:type="dxa" w:w="100"/>
            </w:tcMar>
            <w:vAlign w:val="center"/>
          </w:tcPr>
          <w:p>
            <w:r>
              <w:rPr>
                <w:sz w:val="19"/>
                <w:szCs w:val="19"/>
              </w:rPr>
              <w:t xml:space="preserve">POST /api/cra/address_verification returns 202 immediately; processing is asynchronous.</w:t>
            </w:r>
          </w:p>
        </w:tc>
        <w:tc>
          <w:tcPr>
            <w:tcW w:type="dxa" w:w="3300"/>
            <w:tcMar>
              <w:top w:type="dxa" w:w="80"/>
              <w:left w:type="dxa" w:w="100"/>
              <w:bottom w:type="dxa" w:w="80"/>
              <w:right w:type="dxa" w:w="100"/>
            </w:tcMar>
            <w:vAlign w:val="center"/>
          </w:tcPr>
          <w:p>
            <w:r>
              <w:rPr>
                <w:sz w:val="19"/>
                <w:szCs w:val="19"/>
              </w:rPr>
              <w:t xml:space="preserve">Call the endpoint and confirm an immediate 202 response, with verification work continuing in the background.</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F12</w:t>
            </w:r>
          </w:p>
        </w:tc>
        <w:tc>
          <w:tcPr>
            <w:tcW w:type="dxa" w:w="2500"/>
            <w:shd w:fill="F2F2F2" w:val="clear"/>
            <w:tcMar>
              <w:top w:type="dxa" w:w="80"/>
              <w:left w:type="dxa" w:w="100"/>
              <w:bottom w:type="dxa" w:w="80"/>
              <w:right w:type="dxa" w:w="100"/>
            </w:tcMar>
            <w:vAlign w:val="center"/>
          </w:tcPr>
          <w:p>
            <w:r>
              <w:rPr>
                <w:sz w:val="19"/>
                <w:szCs w:val="19"/>
              </w:rPr>
              <w:t xml:space="preserve">Decision Engine allocates 100% to Address Verification at batch start, then defaults to 70/30 once Credit Check Queue is active, reweighting dynamically by backlog.</w:t>
            </w:r>
          </w:p>
        </w:tc>
        <w:tc>
          <w:tcPr>
            <w:tcW w:type="dxa" w:w="3300"/>
            <w:shd w:fill="F2F2F2" w:val="clear"/>
            <w:tcMar>
              <w:top w:type="dxa" w:w="80"/>
              <w:left w:type="dxa" w:w="100"/>
              <w:bottom w:type="dxa" w:w="80"/>
              <w:right w:type="dxa" w:w="100"/>
            </w:tcMar>
            <w:vAlign w:val="center"/>
          </w:tcPr>
          <w:p>
            <w:r>
              <w:rPr>
                <w:sz w:val="19"/>
                <w:szCs w:val="19"/>
              </w:rPr>
              <w:t xml:space="preserve">Trace capacity allocation across a run: confirm 100/0 at start, a shift toward Credit as soon as the first FAIL routes there, and dynamic reweighting toward whichever queue has a larger backlog.</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F13</w:t>
            </w:r>
          </w:p>
        </w:tc>
        <w:tc>
          <w:tcPr>
            <w:tcW w:type="dxa" w:w="2500"/>
            <w:tcMar>
              <w:top w:type="dxa" w:w="80"/>
              <w:left w:type="dxa" w:w="100"/>
              <w:bottom w:type="dxa" w:w="80"/>
              <w:right w:type="dxa" w:w="100"/>
            </w:tcMar>
            <w:vAlign w:val="center"/>
          </w:tcPr>
          <w:p>
            <w:r>
              <w:rPr>
                <w:sz w:val="19"/>
                <w:szCs w:val="19"/>
              </w:rPr>
              <w:t xml:space="preserve">hop_count is capped (e.g. max 3) to prevent infinite Address ↔ Credit re-routing.</w:t>
            </w:r>
          </w:p>
        </w:tc>
        <w:tc>
          <w:tcPr>
            <w:tcW w:type="dxa" w:w="3300"/>
            <w:tcMar>
              <w:top w:type="dxa" w:w="80"/>
              <w:left w:type="dxa" w:w="100"/>
              <w:bottom w:type="dxa" w:w="80"/>
              <w:right w:type="dxa" w:w="100"/>
            </w:tcMar>
            <w:vAlign w:val="center"/>
          </w:tcPr>
          <w:p>
            <w:r>
              <w:rPr>
                <w:sz w:val="19"/>
                <w:szCs w:val="19"/>
              </w:rPr>
              <w:t xml:space="preserve">Force repeated re-routing between Address and Credit and confirm the record is force-routed to Skip Queue once the cap is reached.</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F14</w:t>
            </w:r>
          </w:p>
        </w:tc>
        <w:tc>
          <w:tcPr>
            <w:tcW w:type="dxa" w:w="2500"/>
            <w:shd w:fill="F2F2F2" w:val="clear"/>
            <w:tcMar>
              <w:top w:type="dxa" w:w="80"/>
              <w:left w:type="dxa" w:w="100"/>
              <w:bottom w:type="dxa" w:w="80"/>
              <w:right w:type="dxa" w:w="100"/>
            </w:tcMar>
            <w:vAlign w:val="center"/>
          </w:tcPr>
          <w:p>
            <w:r>
              <w:rPr>
                <w:sz w:val="19"/>
                <w:szCs w:val="19"/>
              </w:rPr>
              <w:t xml:space="preserve">Dedup check runs before every LN call to prevent duplicate calls for already-terminal records.</w:t>
            </w:r>
          </w:p>
        </w:tc>
        <w:tc>
          <w:tcPr>
            <w:tcW w:type="dxa" w:w="3300"/>
            <w:shd w:fill="F2F2F2" w:val="clear"/>
            <w:tcMar>
              <w:top w:type="dxa" w:w="80"/>
              <w:left w:type="dxa" w:w="100"/>
              <w:bottom w:type="dxa" w:w="80"/>
              <w:right w:type="dxa" w:w="100"/>
            </w:tcMar>
            <w:vAlign w:val="center"/>
          </w:tcPr>
          <w:p>
            <w:r>
              <w:rPr>
                <w:sz w:val="19"/>
                <w:szCs w:val="19"/>
              </w:rPr>
              <w:t xml:space="preserve">Attempt to reprocess a record already in a terminal state and confirm the LN call is skipped/discarded rather than re-fired.</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F15</w:t>
            </w:r>
          </w:p>
        </w:tc>
        <w:tc>
          <w:tcPr>
            <w:tcW w:type="dxa" w:w="2500"/>
            <w:tcMar>
              <w:top w:type="dxa" w:w="80"/>
              <w:left w:type="dxa" w:w="100"/>
              <w:bottom w:type="dxa" w:w="80"/>
              <w:right w:type="dxa" w:w="100"/>
            </w:tcMar>
            <w:vAlign w:val="center"/>
          </w:tcPr>
          <w:p>
            <w:r>
              <w:rPr>
                <w:sz w:val="19"/>
                <w:szCs w:val="19"/>
              </w:rPr>
              <w:t xml:space="preserve">Result Manager merges Address + Credit responses for records that went through both.</w:t>
            </w:r>
          </w:p>
        </w:tc>
        <w:tc>
          <w:tcPr>
            <w:tcW w:type="dxa" w:w="3300"/>
            <w:tcMar>
              <w:top w:type="dxa" w:w="80"/>
              <w:left w:type="dxa" w:w="100"/>
              <w:bottom w:type="dxa" w:w="80"/>
              <w:right w:type="dxa" w:w="100"/>
            </w:tcMar>
            <w:vAlign w:val="center"/>
          </w:tcPr>
          <w:p>
            <w:r>
              <w:rPr>
                <w:sz w:val="19"/>
                <w:szCs w:val="19"/>
              </w:rPr>
              <w:t xml:space="preserve">Trace a record that required both an address and a credit check and confirm a single merged outcome is written to the Response Queue.</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F16</w:t>
            </w:r>
          </w:p>
        </w:tc>
        <w:tc>
          <w:tcPr>
            <w:tcW w:type="dxa" w:w="2500"/>
            <w:shd w:fill="F2F2F2" w:val="clear"/>
            <w:tcMar>
              <w:top w:type="dxa" w:w="80"/>
              <w:left w:type="dxa" w:w="100"/>
              <w:bottom w:type="dxa" w:w="80"/>
              <w:right w:type="dxa" w:w="100"/>
            </w:tcMar>
            <w:vAlign w:val="center"/>
          </w:tcPr>
          <w:p>
            <w:r>
              <w:rPr>
                <w:sz w:val="19"/>
                <w:szCs w:val="19"/>
              </w:rPr>
              <w:t xml:space="preserve">Graceful shutdown on SIGTERM stops new ReceiveMessage calls and lets in-flight threads finish within a bounded timeout.</w:t>
            </w:r>
          </w:p>
        </w:tc>
        <w:tc>
          <w:tcPr>
            <w:tcW w:type="dxa" w:w="3300"/>
            <w:shd w:fill="F2F2F2" w:val="clear"/>
            <w:tcMar>
              <w:top w:type="dxa" w:w="80"/>
              <w:left w:type="dxa" w:w="100"/>
              <w:bottom w:type="dxa" w:w="80"/>
              <w:right w:type="dxa" w:w="100"/>
            </w:tcMar>
            <w:vAlign w:val="center"/>
          </w:tcPr>
          <w:p>
            <w:r>
              <w:rPr>
                <w:sz w:val="19"/>
                <w:szCs w:val="19"/>
              </w:rPr>
              <w:t xml:space="preserve">Send SIGTERM during active processing and confirm no new batches are picked up, in-flight threads complete or are bounded (e.g. 30s), and completed deletes are flushed before exit.</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bl>
    <w:p>
      <w:r>
        <w:br w:type="page"/>
      </w:r>
    </w:p>
    <w:p>
      <w:pPr>
        <w:pStyle w:val="Heading2"/>
        <w:spacing w:after="160" w:before="280"/>
      </w:pPr>
      <w:r>
        <w:rPr>
          <w:b/>
          <w:bCs/>
          <w:color w:val="2E5395"/>
        </w:rPr>
        <w:t xml:space="preserve">B5. Recovery &amp; Negative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1660"/>
        <w:gridCol w:w="12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Feature / Behaviour</w:t>
            </w:r>
          </w:p>
        </w:tc>
        <w:tc>
          <w:tcPr>
            <w:tcW w:type="dxa" w:w="3300"/>
            <w:shd w:fill="1F3864" w:val="clear"/>
            <w:tcMar>
              <w:top w:type="dxa" w:w="80"/>
              <w:left w:type="dxa" w:w="100"/>
              <w:bottom w:type="dxa" w:w="80"/>
              <w:right w:type="dxa" w:w="100"/>
            </w:tcMar>
            <w:vAlign w:val="center"/>
          </w:tcPr>
          <w:p>
            <w:r>
              <w:rPr>
                <w:b/>
                <w:bCs/>
                <w:color w:val="FFFFFF"/>
                <w:sz w:val="20"/>
                <w:szCs w:val="20"/>
              </w:rPr>
              <w:t xml:space="preserve">Validation Check</w:t>
            </w:r>
          </w:p>
        </w:tc>
        <w:tc>
          <w:tcPr>
            <w:tcW w:type="dxa" w:w="166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700"/>
            <w:tcMar>
              <w:top w:type="dxa" w:w="80"/>
              <w:left w:type="dxa" w:w="100"/>
              <w:bottom w:type="dxa" w:w="80"/>
              <w:right w:type="dxa" w:w="100"/>
            </w:tcMar>
            <w:vAlign w:val="center"/>
          </w:tcPr>
          <w:p>
            <w:r>
              <w:rPr>
                <w:sz w:val="19"/>
                <w:szCs w:val="19"/>
              </w:rPr>
              <w:t xml:space="preserve">F17</w:t>
            </w:r>
          </w:p>
        </w:tc>
        <w:tc>
          <w:tcPr>
            <w:tcW w:type="dxa" w:w="2500"/>
            <w:tcMar>
              <w:top w:type="dxa" w:w="80"/>
              <w:left w:type="dxa" w:w="100"/>
              <w:bottom w:type="dxa" w:w="80"/>
              <w:right w:type="dxa" w:w="100"/>
            </w:tcMar>
            <w:vAlign w:val="center"/>
          </w:tcPr>
          <w:p>
            <w:r>
              <w:rPr>
                <w:sz w:val="19"/>
                <w:szCs w:val="19"/>
              </w:rPr>
              <w:t xml:space="preserve">A single Node.js pod failure is isolated; other pods continue serving unaffected.</w:t>
            </w:r>
          </w:p>
        </w:tc>
        <w:tc>
          <w:tcPr>
            <w:tcW w:type="dxa" w:w="3300"/>
            <w:tcMar>
              <w:top w:type="dxa" w:w="80"/>
              <w:left w:type="dxa" w:w="100"/>
              <w:bottom w:type="dxa" w:w="80"/>
              <w:right w:type="dxa" w:w="100"/>
            </w:tcMar>
            <w:vAlign w:val="center"/>
          </w:tcPr>
          <w:p>
            <w:r>
              <w:rPr>
                <w:sz w:val="19"/>
                <w:szCs w:val="19"/>
              </w:rPr>
              <w:t xml:space="preserve">Kill one pod mid-request under load and confirm other pods continue processing without interruption; confirm only the failed pod's in-flight request is lost.</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F18</w:t>
            </w:r>
          </w:p>
        </w:tc>
        <w:tc>
          <w:tcPr>
            <w:tcW w:type="dxa" w:w="2500"/>
            <w:shd w:fill="F2F2F2" w:val="clear"/>
            <w:tcMar>
              <w:top w:type="dxa" w:w="80"/>
              <w:left w:type="dxa" w:w="100"/>
              <w:bottom w:type="dxa" w:w="80"/>
              <w:right w:type="dxa" w:w="100"/>
            </w:tcMar>
            <w:vAlign w:val="center"/>
          </w:tcPr>
          <w:p>
            <w:r>
              <w:rPr>
                <w:sz w:val="19"/>
                <w:szCs w:val="19"/>
              </w:rPr>
              <w:t xml:space="preserve">Already-completed batches survive a pod or SQS-layer failure.</w:t>
            </w:r>
          </w:p>
        </w:tc>
        <w:tc>
          <w:tcPr>
            <w:tcW w:type="dxa" w:w="3300"/>
            <w:shd w:fill="F2F2F2" w:val="clear"/>
            <w:tcMar>
              <w:top w:type="dxa" w:w="80"/>
              <w:left w:type="dxa" w:w="100"/>
              <w:bottom w:type="dxa" w:w="80"/>
              <w:right w:type="dxa" w:w="100"/>
            </w:tcMar>
            <w:vAlign w:val="center"/>
          </w:tcPr>
          <w:p>
            <w:r>
              <w:rPr>
                <w:sz w:val="19"/>
                <w:szCs w:val="19"/>
              </w:rPr>
              <w:t xml:space="preserve">Kill a pod or simulate an SQS disruption after some batches have completed, and confirm those completed batches remain intact and are not reprocessed.</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F19</w:t>
            </w:r>
          </w:p>
        </w:tc>
        <w:tc>
          <w:tcPr>
            <w:tcW w:type="dxa" w:w="2500"/>
            <w:tcMar>
              <w:top w:type="dxa" w:w="80"/>
              <w:left w:type="dxa" w:w="100"/>
              <w:bottom w:type="dxa" w:w="80"/>
              <w:right w:type="dxa" w:w="100"/>
            </w:tcMar>
            <w:vAlign w:val="center"/>
          </w:tcPr>
          <w:p>
            <w:r>
              <w:rPr>
                <w:sz w:val="19"/>
                <w:szCs w:val="19"/>
              </w:rPr>
              <w:t xml:space="preserve">Outstanding (non-terminal) work is reconstructable from the database and republishable to SQS.</w:t>
            </w:r>
          </w:p>
        </w:tc>
        <w:tc>
          <w:tcPr>
            <w:tcW w:type="dxa" w:w="3300"/>
            <w:tcMar>
              <w:top w:type="dxa" w:w="80"/>
              <w:left w:type="dxa" w:w="100"/>
              <w:bottom w:type="dxa" w:w="80"/>
              <w:right w:type="dxa" w:w="100"/>
            </w:tcMar>
            <w:vAlign w:val="center"/>
          </w:tcPr>
          <w:p>
            <w:r>
              <w:rPr>
                <w:sz w:val="19"/>
                <w:szCs w:val="19"/>
              </w:rPr>
              <w:t xml:space="preserve">Simulate an SQS-layer disruption, then confirm non-terminal batches can be identified from the DB and successfully republished to SQS for reprocessing.</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F20</w:t>
            </w:r>
          </w:p>
        </w:tc>
        <w:tc>
          <w:tcPr>
            <w:tcW w:type="dxa" w:w="2500"/>
            <w:shd w:fill="F2F2F2" w:val="clear"/>
            <w:tcMar>
              <w:top w:type="dxa" w:w="80"/>
              <w:left w:type="dxa" w:w="100"/>
              <w:bottom w:type="dxa" w:w="80"/>
              <w:right w:type="dxa" w:w="100"/>
            </w:tcMar>
            <w:vAlign w:val="center"/>
          </w:tcPr>
          <w:p>
            <w:r>
              <w:rPr>
                <w:sz w:val="19"/>
                <w:szCs w:val="19"/>
              </w:rPr>
              <w:t xml:space="preserve">Skip Queue contents are persisted alongside successful results at batch completion — nothing silently dropped.</w:t>
            </w:r>
          </w:p>
        </w:tc>
        <w:tc>
          <w:tcPr>
            <w:tcW w:type="dxa" w:w="3300"/>
            <w:shd w:fill="F2F2F2" w:val="clear"/>
            <w:tcMar>
              <w:top w:type="dxa" w:w="80"/>
              <w:left w:type="dxa" w:w="100"/>
              <w:bottom w:type="dxa" w:w="80"/>
              <w:right w:type="dxa" w:w="100"/>
            </w:tcMar>
            <w:vAlign w:val="center"/>
          </w:tcPr>
          <w:p>
            <w:r>
              <w:rPr>
                <w:sz w:val="19"/>
                <w:szCs w:val="19"/>
              </w:rPr>
              <w:t xml:space="preserve">At the end of a run, reconcile total ingested records against completed + skipped + failed + exception + pending and confirm the total accounts for every record.</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bl>
    <w:p>
      <w:pPr>
        <w:pStyle w:val="Heading2"/>
        <w:spacing w:after="160" w:before="280"/>
      </w:pPr>
      <w:r>
        <w:rPr>
          <w:b/>
          <w:bCs/>
          <w:color w:val="2E5395"/>
        </w:rPr>
        <w:t xml:space="preserve">B6. Data Storage &amp; Progress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1660"/>
        <w:gridCol w:w="12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Feature / Behaviour</w:t>
            </w:r>
          </w:p>
        </w:tc>
        <w:tc>
          <w:tcPr>
            <w:tcW w:type="dxa" w:w="3300"/>
            <w:shd w:fill="1F3864" w:val="clear"/>
            <w:tcMar>
              <w:top w:type="dxa" w:w="80"/>
              <w:left w:type="dxa" w:w="100"/>
              <w:bottom w:type="dxa" w:w="80"/>
              <w:right w:type="dxa" w:w="100"/>
            </w:tcMar>
            <w:vAlign w:val="center"/>
          </w:tcPr>
          <w:p>
            <w:r>
              <w:rPr>
                <w:b/>
                <w:bCs/>
                <w:color w:val="FFFFFF"/>
                <w:sz w:val="20"/>
                <w:szCs w:val="20"/>
              </w:rPr>
              <w:t xml:space="preserve">Validation Check</w:t>
            </w:r>
          </w:p>
        </w:tc>
        <w:tc>
          <w:tcPr>
            <w:tcW w:type="dxa" w:w="166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700"/>
            <w:tcMar>
              <w:top w:type="dxa" w:w="80"/>
              <w:left w:type="dxa" w:w="100"/>
              <w:bottom w:type="dxa" w:w="80"/>
              <w:right w:type="dxa" w:w="100"/>
            </w:tcMar>
            <w:vAlign w:val="center"/>
          </w:tcPr>
          <w:p>
            <w:r>
              <w:rPr>
                <w:sz w:val="19"/>
                <w:szCs w:val="19"/>
              </w:rPr>
              <w:t xml:space="preserve">F21</w:t>
            </w:r>
          </w:p>
        </w:tc>
        <w:tc>
          <w:tcPr>
            <w:tcW w:type="dxa" w:w="2500"/>
            <w:tcMar>
              <w:top w:type="dxa" w:w="80"/>
              <w:left w:type="dxa" w:w="100"/>
              <w:bottom w:type="dxa" w:w="80"/>
              <w:right w:type="dxa" w:w="100"/>
            </w:tcMar>
            <w:vAlign w:val="center"/>
          </w:tcPr>
          <w:p>
            <w:r>
              <w:rPr>
                <w:sz w:val="19"/>
                <w:szCs w:val="19"/>
              </w:rPr>
              <w:t xml:space="preserve">PostgreSQL is the single source of truth; correct table used for pending-batch lookup depending on address_lookup flag.</w:t>
            </w:r>
          </w:p>
        </w:tc>
        <w:tc>
          <w:tcPr>
            <w:tcW w:type="dxa" w:w="3300"/>
            <w:tcMar>
              <w:top w:type="dxa" w:w="80"/>
              <w:left w:type="dxa" w:w="100"/>
              <w:bottom w:type="dxa" w:w="80"/>
              <w:right w:type="dxa" w:w="100"/>
            </w:tcMar>
            <w:vAlign w:val="center"/>
          </w:tcPr>
          <w:p>
            <w:r>
              <w:rPr>
                <w:sz w:val="19"/>
                <w:szCs w:val="19"/>
              </w:rPr>
              <w:t xml:space="preserve">Confirm Node reads from lc_address_standardisation_results when address_lookup = true, and from validation_result when false.</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F22</w:t>
            </w:r>
          </w:p>
        </w:tc>
        <w:tc>
          <w:tcPr>
            <w:tcW w:type="dxa" w:w="2500"/>
            <w:shd w:fill="F2F2F2" w:val="clear"/>
            <w:tcMar>
              <w:top w:type="dxa" w:w="80"/>
              <w:left w:type="dxa" w:w="100"/>
              <w:bottom w:type="dxa" w:w="80"/>
              <w:right w:type="dxa" w:w="100"/>
            </w:tcMar>
            <w:vAlign w:val="center"/>
          </w:tcPr>
          <w:p>
            <w:r>
              <w:rPr>
                <w:sz w:val="19"/>
                <w:szCs w:val="19"/>
              </w:rPr>
              <w:t xml:space="preserve">Final results persisted to S3 after all batches complete, separate from the operational DB.</w:t>
            </w:r>
          </w:p>
        </w:tc>
        <w:tc>
          <w:tcPr>
            <w:tcW w:type="dxa" w:w="3300"/>
            <w:shd w:fill="F2F2F2" w:val="clear"/>
            <w:tcMar>
              <w:top w:type="dxa" w:w="80"/>
              <w:left w:type="dxa" w:w="100"/>
              <w:bottom w:type="dxa" w:w="80"/>
              <w:right w:type="dxa" w:w="100"/>
            </w:tcMar>
            <w:vAlign w:val="center"/>
          </w:tcPr>
          <w:p>
            <w:r>
              <w:rPr>
                <w:sz w:val="19"/>
                <w:szCs w:val="19"/>
              </w:rPr>
              <w:t xml:space="preserve">Confirm an S3 archive write occurs only after all batches in the run are complete, and that it is retrievable independently of the live DB.</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r>
        <w:tc>
          <w:tcPr>
            <w:tcW w:type="dxa" w:w="700"/>
            <w:tcMar>
              <w:top w:type="dxa" w:w="80"/>
              <w:left w:type="dxa" w:w="100"/>
              <w:bottom w:type="dxa" w:w="80"/>
              <w:right w:type="dxa" w:w="100"/>
            </w:tcMar>
            <w:vAlign w:val="center"/>
          </w:tcPr>
          <w:p>
            <w:r>
              <w:rPr>
                <w:sz w:val="19"/>
                <w:szCs w:val="19"/>
              </w:rPr>
              <w:t xml:space="preserve">F23</w:t>
            </w:r>
          </w:p>
        </w:tc>
        <w:tc>
          <w:tcPr>
            <w:tcW w:type="dxa" w:w="2500"/>
            <w:tcMar>
              <w:top w:type="dxa" w:w="80"/>
              <w:left w:type="dxa" w:w="100"/>
              <w:bottom w:type="dxa" w:w="80"/>
              <w:right w:type="dxa" w:w="100"/>
            </w:tcMar>
            <w:vAlign w:val="center"/>
          </w:tcPr>
          <w:p>
            <w:r>
              <w:rPr>
                <w:sz w:val="19"/>
                <w:szCs w:val="19"/>
              </w:rPr>
              <w:t xml:space="preserve">Progress API exposes live counts throughout the run.</w:t>
            </w:r>
          </w:p>
        </w:tc>
        <w:tc>
          <w:tcPr>
            <w:tcW w:type="dxa" w:w="3300"/>
            <w:tcMar>
              <w:top w:type="dxa" w:w="80"/>
              <w:left w:type="dxa" w:w="100"/>
              <w:bottom w:type="dxa" w:w="80"/>
              <w:right w:type="dxa" w:w="100"/>
            </w:tcMar>
            <w:vAlign w:val="center"/>
          </w:tcPr>
          <w:p>
            <w:r>
              <w:rPr>
                <w:sz w:val="19"/>
                <w:szCs w:val="19"/>
              </w:rPr>
              <w:t xml:space="preserve">Poll GET /jobs/{jobId}/progress mid-run and confirm progress percentage, total/completed/pending/failed batches, and record-level counts update correctly.</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bl>
    <w:p>
      <w:pPr>
        <w:pStyle w:val="Heading2"/>
        <w:spacing w:after="160" w:before="280"/>
      </w:pPr>
      <w:r>
        <w:rPr>
          <w:b/>
          <w:bCs/>
          <w:color w:val="2E5395"/>
        </w:rPr>
        <w:t xml:space="preserve">B7. Observability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1660"/>
        <w:gridCol w:w="12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500"/>
            <w:shd w:fill="1F3864" w:val="clear"/>
            <w:tcMar>
              <w:top w:type="dxa" w:w="80"/>
              <w:left w:type="dxa" w:w="100"/>
              <w:bottom w:type="dxa" w:w="80"/>
              <w:right w:type="dxa" w:w="100"/>
            </w:tcMar>
            <w:vAlign w:val="center"/>
          </w:tcPr>
          <w:p>
            <w:r>
              <w:rPr>
                <w:b/>
                <w:bCs/>
                <w:color w:val="FFFFFF"/>
                <w:sz w:val="20"/>
                <w:szCs w:val="20"/>
              </w:rPr>
              <w:t xml:space="preserve">Feature / Behaviour</w:t>
            </w:r>
          </w:p>
        </w:tc>
        <w:tc>
          <w:tcPr>
            <w:tcW w:type="dxa" w:w="3300"/>
            <w:shd w:fill="1F3864" w:val="clear"/>
            <w:tcMar>
              <w:top w:type="dxa" w:w="80"/>
              <w:left w:type="dxa" w:w="100"/>
              <w:bottom w:type="dxa" w:w="80"/>
              <w:right w:type="dxa" w:w="100"/>
            </w:tcMar>
            <w:vAlign w:val="center"/>
          </w:tcPr>
          <w:p>
            <w:r>
              <w:rPr>
                <w:b/>
                <w:bCs/>
                <w:color w:val="FFFFFF"/>
                <w:sz w:val="20"/>
                <w:szCs w:val="20"/>
              </w:rPr>
              <w:t xml:space="preserve">Validation Check</w:t>
            </w:r>
          </w:p>
        </w:tc>
        <w:tc>
          <w:tcPr>
            <w:tcW w:type="dxa" w:w="1660"/>
            <w:shd w:fill="1F3864" w:val="clear"/>
            <w:tcMar>
              <w:top w:type="dxa" w:w="80"/>
              <w:left w:type="dxa" w:w="100"/>
              <w:bottom w:type="dxa" w:w="80"/>
              <w:right w:type="dxa" w:w="100"/>
            </w:tcMar>
            <w:vAlign w:val="center"/>
          </w:tcPr>
          <w:p>
            <w:r>
              <w:rPr>
                <w:b/>
                <w:bCs/>
                <w:color w:val="FFFFFF"/>
                <w:sz w:val="20"/>
                <w:szCs w:val="20"/>
              </w:rPr>
              <w:t xml:space="preserve">Status</w:t>
            </w:r>
          </w:p>
        </w:tc>
        <w:tc>
          <w:tcPr>
            <w:tcW w:type="dxa" w:w="1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700"/>
            <w:tcMar>
              <w:top w:type="dxa" w:w="80"/>
              <w:left w:type="dxa" w:w="100"/>
              <w:bottom w:type="dxa" w:w="80"/>
              <w:right w:type="dxa" w:w="100"/>
            </w:tcMar>
            <w:vAlign w:val="center"/>
          </w:tcPr>
          <w:p>
            <w:r>
              <w:rPr>
                <w:sz w:val="19"/>
                <w:szCs w:val="19"/>
              </w:rPr>
              <w:t xml:space="preserve">F24</w:t>
            </w:r>
          </w:p>
        </w:tc>
        <w:tc>
          <w:tcPr>
            <w:tcW w:type="dxa" w:w="2500"/>
            <w:tcMar>
              <w:top w:type="dxa" w:w="80"/>
              <w:left w:type="dxa" w:w="100"/>
              <w:bottom w:type="dxa" w:w="80"/>
              <w:right w:type="dxa" w:w="100"/>
            </w:tcMar>
            <w:vAlign w:val="center"/>
          </w:tcPr>
          <w:p>
            <w:r>
              <w:rPr>
                <w:sz w:val="19"/>
                <w:szCs w:val="19"/>
              </w:rPr>
              <w:t xml:space="preserve">Metrics dashboards cover queue depth, 429 rate, 401/token failures, retry-exhaustion, thread exceptions, hop-cap hits, and batch latency (p50/p99).</w:t>
            </w:r>
          </w:p>
        </w:tc>
        <w:tc>
          <w:tcPr>
            <w:tcW w:type="dxa" w:w="3300"/>
            <w:tcMar>
              <w:top w:type="dxa" w:w="80"/>
              <w:left w:type="dxa" w:w="100"/>
              <w:bottom w:type="dxa" w:w="80"/>
              <w:right w:type="dxa" w:w="100"/>
            </w:tcMar>
            <w:vAlign w:val="center"/>
          </w:tcPr>
          <w:p>
            <w:r>
              <w:rPr>
                <w:sz w:val="19"/>
                <w:szCs w:val="19"/>
              </w:rPr>
              <w:t xml:space="preserve">Review the live monitoring dashboard and confirm each of these metrics is present and populated with real data.</w:t>
            </w:r>
          </w:p>
        </w:tc>
        <w:tc>
          <w:tcPr>
            <w:tcW w:type="dxa" w:w="1660"/>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tcMar>
              <w:top w:type="dxa" w:w="80"/>
              <w:left w:type="dxa" w:w="100"/>
              <w:bottom w:type="dxa" w:w="80"/>
              <w:right w:type="dxa" w:w="100"/>
            </w:tcMar>
            <w:vAlign w:val="center"/>
          </w:tcPr>
          <w:p>
            <w:r>
              <w:rPr>
                <w:sz w:val="19"/>
                <w:szCs w:val="19"/>
              </w:rPr>
              <w:t xml:space="preserve"/>
            </w:r>
          </w:p>
        </w:tc>
      </w:tr>
      <w:tr>
        <w:tc>
          <w:tcPr>
            <w:tcW w:type="dxa" w:w="700"/>
            <w:shd w:fill="F2F2F2" w:val="clear"/>
            <w:tcMar>
              <w:top w:type="dxa" w:w="80"/>
              <w:left w:type="dxa" w:w="100"/>
              <w:bottom w:type="dxa" w:w="80"/>
              <w:right w:type="dxa" w:w="100"/>
            </w:tcMar>
            <w:vAlign w:val="center"/>
          </w:tcPr>
          <w:p>
            <w:r>
              <w:rPr>
                <w:sz w:val="19"/>
                <w:szCs w:val="19"/>
              </w:rPr>
              <w:t xml:space="preserve">F25</w:t>
            </w:r>
          </w:p>
        </w:tc>
        <w:tc>
          <w:tcPr>
            <w:tcW w:type="dxa" w:w="2500"/>
            <w:shd w:fill="F2F2F2" w:val="clear"/>
            <w:tcMar>
              <w:top w:type="dxa" w:w="80"/>
              <w:left w:type="dxa" w:w="100"/>
              <w:bottom w:type="dxa" w:w="80"/>
              <w:right w:type="dxa" w:w="100"/>
            </w:tcMar>
            <w:vAlign w:val="center"/>
          </w:tcPr>
          <w:p>
            <w:r>
              <w:rPr>
                <w:sz w:val="19"/>
                <w:szCs w:val="19"/>
              </w:rPr>
              <w:t xml:space="preserve">Structured JSON logs exist for every request/response/error, keyed by record_id.</w:t>
            </w:r>
          </w:p>
        </w:tc>
        <w:tc>
          <w:tcPr>
            <w:tcW w:type="dxa" w:w="3300"/>
            <w:shd w:fill="F2F2F2" w:val="clear"/>
            <w:tcMar>
              <w:top w:type="dxa" w:w="80"/>
              <w:left w:type="dxa" w:w="100"/>
              <w:bottom w:type="dxa" w:w="80"/>
              <w:right w:type="dxa" w:w="100"/>
            </w:tcMar>
            <w:vAlign w:val="center"/>
          </w:tcPr>
          <w:p>
            <w:r>
              <w:rPr>
                <w:sz w:val="19"/>
                <w:szCs w:val="19"/>
              </w:rPr>
              <w:t xml:space="preserve">Sample several records from a completed run and confirm a full structured log trail exists for each, including correlation identifiers and timestamps.</w:t>
            </w:r>
          </w:p>
        </w:tc>
        <w:tc>
          <w:tcPr>
            <w:tcW w:type="dxa" w:w="1660"/>
            <w:shd w:fill="F2F2F2" w:val="clear"/>
            <w:tcMar>
              <w:top w:type="dxa" w:w="80"/>
              <w:left w:type="dxa" w:w="100"/>
              <w:bottom w:type="dxa" w:w="80"/>
              <w:right w:type="dxa" w:w="100"/>
            </w:tcMar>
            <w:vAlign w:val="center"/>
          </w:tcPr>
          <w:p>
            <w:pPr>
              <w:spacing w:after="40"/>
            </w:pPr>
            <w:r>
              <w:rPr>
                <w:sz w:val="19"/>
                <w:szCs w:val="19"/>
              </w:rPr>
              <w:t xml:space="preserve">☐ Met</w:t>
            </w:r>
          </w:p>
          <w:p>
            <w:pPr>
              <w:spacing w:after="40"/>
            </w:pPr>
            <w:r>
              <w:rPr>
                <w:sz w:val="19"/>
                <w:szCs w:val="19"/>
              </w:rPr>
              <w:t xml:space="preserve">☐ Partial</w:t>
            </w:r>
          </w:p>
          <w:p>
            <w:pPr>
              <w:spacing w:after="40"/>
            </w:pPr>
            <w:r>
              <w:rPr>
                <w:sz w:val="19"/>
                <w:szCs w:val="19"/>
              </w:rPr>
              <w:t xml:space="preserve">☐ Not Met</w:t>
            </w:r>
          </w:p>
        </w:tc>
        <w:tc>
          <w:tcPr>
            <w:tcW w:type="dxa" w:w="1200"/>
            <w:shd w:fill="F2F2F2" w:val="clear"/>
            <w:tcMar>
              <w:top w:type="dxa" w:w="80"/>
              <w:left w:type="dxa" w:w="100"/>
              <w:bottom w:type="dxa" w:w="80"/>
              <w:right w:type="dxa" w:w="100"/>
            </w:tcMar>
            <w:vAlign w:val="center"/>
          </w:tcPr>
          <w:p>
            <w:r>
              <w:rPr>
                <w:sz w:val="19"/>
                <w:szCs w:val="19"/>
              </w:rPr>
              <w:t xml:space="preserve"/>
            </w:r>
          </w:p>
        </w:tc>
      </w:tr>
    </w:tbl>
    <w:p>
      <w:pPr>
        <w:pStyle w:val="Heading1"/>
        <w:spacing w:after="200" w:before="360"/>
      </w:pPr>
      <w:r>
        <w:rPr>
          <w:b/>
          <w:bCs/>
          <w:color w:val="1F3864"/>
        </w:rPr>
        <w:t xml:space="preserve">Summary &amp; Sign-Off</w:t>
      </w:r>
    </w:p>
    <w:p>
      <w:pPr>
        <w:spacing w:after="160"/>
      </w:pPr>
      <w:r>
        <w:t xml:space="preserve">Once every row in Sections A and B has been marked, use this summary to record overall counts and confirm readiness for architecture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1F3864" w:val="clear"/>
            <w:tcMar>
              <w:top w:type="dxa" w:w="80"/>
              <w:left w:type="dxa" w:w="100"/>
              <w:bottom w:type="dxa" w:w="80"/>
              <w:right w:type="dxa" w:w="100"/>
            </w:tcMar>
            <w:vAlign w:val="center"/>
          </w:tcPr>
          <w:p>
            <w:r>
              <w:rPr>
                <w:b/>
                <w:bCs/>
                <w:color w:val="FFFFFF"/>
                <w:sz w:val="20"/>
                <w:szCs w:val="20"/>
              </w:rPr>
              <w:t xml:space="preserve">Category</w:t>
            </w:r>
          </w:p>
        </w:tc>
        <w:tc>
          <w:tcPr>
            <w:tcW w:type="dxa" w:w="2340"/>
            <w:shd w:fill="1F3864" w:val="clear"/>
            <w:tcMar>
              <w:top w:type="dxa" w:w="80"/>
              <w:left w:type="dxa" w:w="100"/>
              <w:bottom w:type="dxa" w:w="80"/>
              <w:right w:type="dxa" w:w="100"/>
            </w:tcMar>
            <w:vAlign w:val="center"/>
          </w:tcPr>
          <w:p>
            <w:r>
              <w:rPr>
                <w:b/>
                <w:bCs/>
                <w:color w:val="FFFFFF"/>
                <w:sz w:val="20"/>
                <w:szCs w:val="20"/>
              </w:rPr>
              <w:t xml:space="preserve">Count</w:t>
            </w:r>
          </w:p>
        </w:tc>
        <w:tc>
          <w:tcPr>
            <w:tcW w:type="dxa" w:w="234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4680"/>
            <w:tcMar>
              <w:top w:type="dxa" w:w="80"/>
              <w:left w:type="dxa" w:w="100"/>
              <w:bottom w:type="dxa" w:w="80"/>
              <w:right w:type="dxa" w:w="100"/>
            </w:tcMar>
            <w:vAlign w:val="center"/>
          </w:tcPr>
          <w:p>
            <w:r>
              <w:rPr>
                <w:sz w:val="19"/>
                <w:szCs w:val="19"/>
              </w:rPr>
              <w:t xml:space="preserve">Section A — NFRs (total)</w:t>
            </w:r>
          </w:p>
        </w:tc>
        <w:tc>
          <w:tcPr>
            <w:tcW w:type="dxa" w:w="2340"/>
            <w:tcMar>
              <w:top w:type="dxa" w:w="80"/>
              <w:left w:type="dxa" w:w="100"/>
              <w:bottom w:type="dxa" w:w="80"/>
              <w:right w:type="dxa" w:w="100"/>
            </w:tcMar>
            <w:vAlign w:val="center"/>
          </w:tcPr>
          <w:p>
            <w:r>
              <w:rPr>
                <w:sz w:val="19"/>
                <w:szCs w:val="19"/>
              </w:rPr>
              <w:t xml:space="preserve">24</w:t>
            </w:r>
          </w:p>
        </w:tc>
        <w:tc>
          <w:tcPr>
            <w:tcW w:type="dxa" w:w="2340"/>
            <w:tcMar>
              <w:top w:type="dxa" w:w="80"/>
              <w:left w:type="dxa" w:w="100"/>
              <w:bottom w:type="dxa" w:w="80"/>
              <w:right w:type="dxa" w:w="100"/>
            </w:tcMar>
            <w:vAlign w:val="center"/>
          </w:tcPr>
          <w:p>
            <w:r>
              <w:rPr>
                <w:sz w:val="19"/>
                <w:szCs w:val="19"/>
              </w:rPr>
              <w:t xml:space="preserve"/>
            </w:r>
          </w:p>
        </w:tc>
      </w:tr>
      <w:tr>
        <w:tc>
          <w:tcPr>
            <w:tcW w:type="dxa" w:w="4680"/>
            <w:shd w:fill="F2F2F2" w:val="clear"/>
            <w:tcMar>
              <w:top w:type="dxa" w:w="80"/>
              <w:left w:type="dxa" w:w="100"/>
              <w:bottom w:type="dxa" w:w="80"/>
              <w:right w:type="dxa" w:w="100"/>
            </w:tcMar>
            <w:vAlign w:val="center"/>
          </w:tcPr>
          <w:p>
            <w:r>
              <w:rPr>
                <w:sz w:val="19"/>
                <w:szCs w:val="19"/>
              </w:rPr>
              <w:t xml:space="preserve">— Met</w:t>
            </w:r>
          </w:p>
        </w:tc>
        <w:tc>
          <w:tcPr>
            <w:tcW w:type="dxa" w:w="2340"/>
            <w:shd w:fill="F2F2F2" w:val="clear"/>
            <w:tcMar>
              <w:top w:type="dxa" w:w="80"/>
              <w:left w:type="dxa" w:w="100"/>
              <w:bottom w:type="dxa" w:w="80"/>
              <w:right w:type="dxa" w:w="100"/>
            </w:tcMar>
            <w:vAlign w:val="center"/>
          </w:tcPr>
          <w:p>
            <w:r>
              <w:rPr>
                <w:sz w:val="19"/>
                <w:szCs w:val="19"/>
              </w:rPr>
              <w:t xml:space="preserve"/>
            </w:r>
          </w:p>
        </w:tc>
        <w:tc>
          <w:tcPr>
            <w:tcW w:type="dxa" w:w="2340"/>
            <w:shd w:fill="F2F2F2" w:val="clear"/>
            <w:tcMar>
              <w:top w:type="dxa" w:w="80"/>
              <w:left w:type="dxa" w:w="100"/>
              <w:bottom w:type="dxa" w:w="80"/>
              <w:right w:type="dxa" w:w="100"/>
            </w:tcMar>
            <w:vAlign w:val="center"/>
          </w:tcPr>
          <w:p>
            <w:r>
              <w:rPr>
                <w:sz w:val="19"/>
                <w:szCs w:val="19"/>
              </w:rPr>
              <w:t xml:space="preserve"/>
            </w:r>
          </w:p>
        </w:tc>
      </w:tr>
      <w:tr>
        <w:tc>
          <w:tcPr>
            <w:tcW w:type="dxa" w:w="4680"/>
            <w:tcMar>
              <w:top w:type="dxa" w:w="80"/>
              <w:left w:type="dxa" w:w="100"/>
              <w:bottom w:type="dxa" w:w="80"/>
              <w:right w:type="dxa" w:w="100"/>
            </w:tcMar>
            <w:vAlign w:val="center"/>
          </w:tcPr>
          <w:p>
            <w:r>
              <w:rPr>
                <w:sz w:val="19"/>
                <w:szCs w:val="19"/>
              </w:rPr>
              <w:t xml:space="preserve">— Partial</w:t>
            </w:r>
          </w:p>
        </w:tc>
        <w:tc>
          <w:tcPr>
            <w:tcW w:type="dxa" w:w="2340"/>
            <w:tcMar>
              <w:top w:type="dxa" w:w="80"/>
              <w:left w:type="dxa" w:w="100"/>
              <w:bottom w:type="dxa" w:w="80"/>
              <w:right w:type="dxa" w:w="100"/>
            </w:tcMar>
            <w:vAlign w:val="center"/>
          </w:tcPr>
          <w:p>
            <w:r>
              <w:rPr>
                <w:sz w:val="19"/>
                <w:szCs w:val="19"/>
              </w:rPr>
              <w:t xml:space="preserve"/>
            </w:r>
          </w:p>
        </w:tc>
        <w:tc>
          <w:tcPr>
            <w:tcW w:type="dxa" w:w="2340"/>
            <w:tcMar>
              <w:top w:type="dxa" w:w="80"/>
              <w:left w:type="dxa" w:w="100"/>
              <w:bottom w:type="dxa" w:w="80"/>
              <w:right w:type="dxa" w:w="100"/>
            </w:tcMar>
            <w:vAlign w:val="center"/>
          </w:tcPr>
          <w:p>
            <w:r>
              <w:rPr>
                <w:sz w:val="19"/>
                <w:szCs w:val="19"/>
              </w:rPr>
              <w:t xml:space="preserve"/>
            </w:r>
          </w:p>
        </w:tc>
      </w:tr>
      <w:tr>
        <w:tc>
          <w:tcPr>
            <w:tcW w:type="dxa" w:w="4680"/>
            <w:shd w:fill="F2F2F2" w:val="clear"/>
            <w:tcMar>
              <w:top w:type="dxa" w:w="80"/>
              <w:left w:type="dxa" w:w="100"/>
              <w:bottom w:type="dxa" w:w="80"/>
              <w:right w:type="dxa" w:w="100"/>
            </w:tcMar>
            <w:vAlign w:val="center"/>
          </w:tcPr>
          <w:p>
            <w:r>
              <w:rPr>
                <w:sz w:val="19"/>
                <w:szCs w:val="19"/>
              </w:rPr>
              <w:t xml:space="preserve">— Not Met</w:t>
            </w:r>
          </w:p>
        </w:tc>
        <w:tc>
          <w:tcPr>
            <w:tcW w:type="dxa" w:w="2340"/>
            <w:shd w:fill="F2F2F2" w:val="clear"/>
            <w:tcMar>
              <w:top w:type="dxa" w:w="80"/>
              <w:left w:type="dxa" w:w="100"/>
              <w:bottom w:type="dxa" w:w="80"/>
              <w:right w:type="dxa" w:w="100"/>
            </w:tcMar>
            <w:vAlign w:val="center"/>
          </w:tcPr>
          <w:p>
            <w:r>
              <w:rPr>
                <w:sz w:val="19"/>
                <w:szCs w:val="19"/>
              </w:rPr>
              <w:t xml:space="preserve"/>
            </w:r>
          </w:p>
        </w:tc>
        <w:tc>
          <w:tcPr>
            <w:tcW w:type="dxa" w:w="2340"/>
            <w:shd w:fill="F2F2F2" w:val="clear"/>
            <w:tcMar>
              <w:top w:type="dxa" w:w="80"/>
              <w:left w:type="dxa" w:w="100"/>
              <w:bottom w:type="dxa" w:w="80"/>
              <w:right w:type="dxa" w:w="100"/>
            </w:tcMar>
            <w:vAlign w:val="center"/>
          </w:tcPr>
          <w:p>
            <w:r>
              <w:rPr>
                <w:sz w:val="19"/>
                <w:szCs w:val="19"/>
              </w:rPr>
              <w:t xml:space="preserve"/>
            </w:r>
          </w:p>
        </w:tc>
      </w:tr>
      <w:tr>
        <w:tc>
          <w:tcPr>
            <w:tcW w:type="dxa" w:w="4680"/>
            <w:tcMar>
              <w:top w:type="dxa" w:w="80"/>
              <w:left w:type="dxa" w:w="100"/>
              <w:bottom w:type="dxa" w:w="80"/>
              <w:right w:type="dxa" w:w="100"/>
            </w:tcMar>
            <w:vAlign w:val="center"/>
          </w:tcPr>
          <w:p>
            <w:r>
              <w:rPr>
                <w:sz w:val="19"/>
                <w:szCs w:val="19"/>
              </w:rPr>
              <w:t xml:space="preserve">Section B — Features (total)</w:t>
            </w:r>
          </w:p>
        </w:tc>
        <w:tc>
          <w:tcPr>
            <w:tcW w:type="dxa" w:w="2340"/>
            <w:tcMar>
              <w:top w:type="dxa" w:w="80"/>
              <w:left w:type="dxa" w:w="100"/>
              <w:bottom w:type="dxa" w:w="80"/>
              <w:right w:type="dxa" w:w="100"/>
            </w:tcMar>
            <w:vAlign w:val="center"/>
          </w:tcPr>
          <w:p>
            <w:r>
              <w:rPr>
                <w:sz w:val="19"/>
                <w:szCs w:val="19"/>
              </w:rPr>
              <w:t xml:space="preserve">25</w:t>
            </w:r>
          </w:p>
        </w:tc>
        <w:tc>
          <w:tcPr>
            <w:tcW w:type="dxa" w:w="2340"/>
            <w:tcMar>
              <w:top w:type="dxa" w:w="80"/>
              <w:left w:type="dxa" w:w="100"/>
              <w:bottom w:type="dxa" w:w="80"/>
              <w:right w:type="dxa" w:w="100"/>
            </w:tcMar>
            <w:vAlign w:val="center"/>
          </w:tcPr>
          <w:p>
            <w:r>
              <w:rPr>
                <w:sz w:val="19"/>
                <w:szCs w:val="19"/>
              </w:rPr>
              <w:t xml:space="preserve"/>
            </w:r>
          </w:p>
        </w:tc>
      </w:tr>
      <w:tr>
        <w:tc>
          <w:tcPr>
            <w:tcW w:type="dxa" w:w="4680"/>
            <w:shd w:fill="F2F2F2" w:val="clear"/>
            <w:tcMar>
              <w:top w:type="dxa" w:w="80"/>
              <w:left w:type="dxa" w:w="100"/>
              <w:bottom w:type="dxa" w:w="80"/>
              <w:right w:type="dxa" w:w="100"/>
            </w:tcMar>
            <w:vAlign w:val="center"/>
          </w:tcPr>
          <w:p>
            <w:r>
              <w:rPr>
                <w:sz w:val="19"/>
                <w:szCs w:val="19"/>
              </w:rPr>
              <w:t xml:space="preserve">— Met</w:t>
            </w:r>
          </w:p>
        </w:tc>
        <w:tc>
          <w:tcPr>
            <w:tcW w:type="dxa" w:w="2340"/>
            <w:shd w:fill="F2F2F2" w:val="clear"/>
            <w:tcMar>
              <w:top w:type="dxa" w:w="80"/>
              <w:left w:type="dxa" w:w="100"/>
              <w:bottom w:type="dxa" w:w="80"/>
              <w:right w:type="dxa" w:w="100"/>
            </w:tcMar>
            <w:vAlign w:val="center"/>
          </w:tcPr>
          <w:p>
            <w:r>
              <w:rPr>
                <w:sz w:val="19"/>
                <w:szCs w:val="19"/>
              </w:rPr>
              <w:t xml:space="preserve"/>
            </w:r>
          </w:p>
        </w:tc>
        <w:tc>
          <w:tcPr>
            <w:tcW w:type="dxa" w:w="2340"/>
            <w:shd w:fill="F2F2F2" w:val="clear"/>
            <w:tcMar>
              <w:top w:type="dxa" w:w="80"/>
              <w:left w:type="dxa" w:w="100"/>
              <w:bottom w:type="dxa" w:w="80"/>
              <w:right w:type="dxa" w:w="100"/>
            </w:tcMar>
            <w:vAlign w:val="center"/>
          </w:tcPr>
          <w:p>
            <w:r>
              <w:rPr>
                <w:sz w:val="19"/>
                <w:szCs w:val="19"/>
              </w:rPr>
              <w:t xml:space="preserve"/>
            </w:r>
          </w:p>
        </w:tc>
      </w:tr>
      <w:tr>
        <w:tc>
          <w:tcPr>
            <w:tcW w:type="dxa" w:w="4680"/>
            <w:tcMar>
              <w:top w:type="dxa" w:w="80"/>
              <w:left w:type="dxa" w:w="100"/>
              <w:bottom w:type="dxa" w:w="80"/>
              <w:right w:type="dxa" w:w="100"/>
            </w:tcMar>
            <w:vAlign w:val="center"/>
          </w:tcPr>
          <w:p>
            <w:r>
              <w:rPr>
                <w:sz w:val="19"/>
                <w:szCs w:val="19"/>
              </w:rPr>
              <w:t xml:space="preserve">— Partial</w:t>
            </w:r>
          </w:p>
        </w:tc>
        <w:tc>
          <w:tcPr>
            <w:tcW w:type="dxa" w:w="2340"/>
            <w:tcMar>
              <w:top w:type="dxa" w:w="80"/>
              <w:left w:type="dxa" w:w="100"/>
              <w:bottom w:type="dxa" w:w="80"/>
              <w:right w:type="dxa" w:w="100"/>
            </w:tcMar>
            <w:vAlign w:val="center"/>
          </w:tcPr>
          <w:p>
            <w:r>
              <w:rPr>
                <w:sz w:val="19"/>
                <w:szCs w:val="19"/>
              </w:rPr>
              <w:t xml:space="preserve"/>
            </w:r>
          </w:p>
        </w:tc>
        <w:tc>
          <w:tcPr>
            <w:tcW w:type="dxa" w:w="2340"/>
            <w:tcMar>
              <w:top w:type="dxa" w:w="80"/>
              <w:left w:type="dxa" w:w="100"/>
              <w:bottom w:type="dxa" w:w="80"/>
              <w:right w:type="dxa" w:w="100"/>
            </w:tcMar>
            <w:vAlign w:val="center"/>
          </w:tcPr>
          <w:p>
            <w:r>
              <w:rPr>
                <w:sz w:val="19"/>
                <w:szCs w:val="19"/>
              </w:rPr>
              <w:t xml:space="preserve"/>
            </w:r>
          </w:p>
        </w:tc>
      </w:tr>
      <w:tr>
        <w:tc>
          <w:tcPr>
            <w:tcW w:type="dxa" w:w="4680"/>
            <w:shd w:fill="F2F2F2" w:val="clear"/>
            <w:tcMar>
              <w:top w:type="dxa" w:w="80"/>
              <w:left w:type="dxa" w:w="100"/>
              <w:bottom w:type="dxa" w:w="80"/>
              <w:right w:type="dxa" w:w="100"/>
            </w:tcMar>
            <w:vAlign w:val="center"/>
          </w:tcPr>
          <w:p>
            <w:r>
              <w:rPr>
                <w:sz w:val="19"/>
                <w:szCs w:val="19"/>
              </w:rPr>
              <w:t xml:space="preserve">— Not Met</w:t>
            </w:r>
          </w:p>
        </w:tc>
        <w:tc>
          <w:tcPr>
            <w:tcW w:type="dxa" w:w="2340"/>
            <w:shd w:fill="F2F2F2" w:val="clear"/>
            <w:tcMar>
              <w:top w:type="dxa" w:w="80"/>
              <w:left w:type="dxa" w:w="100"/>
              <w:bottom w:type="dxa" w:w="80"/>
              <w:right w:type="dxa" w:w="100"/>
            </w:tcMar>
            <w:vAlign w:val="center"/>
          </w:tcPr>
          <w:p>
            <w:r>
              <w:rPr>
                <w:sz w:val="19"/>
                <w:szCs w:val="19"/>
              </w:rPr>
              <w:t xml:space="preserve"/>
            </w:r>
          </w:p>
        </w:tc>
        <w:tc>
          <w:tcPr>
            <w:tcW w:type="dxa" w:w="2340"/>
            <w:shd w:fill="F2F2F2" w:val="clear"/>
            <w:tcMar>
              <w:top w:type="dxa" w:w="80"/>
              <w:left w:type="dxa" w:w="100"/>
              <w:bottom w:type="dxa" w:w="80"/>
              <w:right w:type="dxa" w:w="100"/>
            </w:tcMar>
            <w:vAlign w:val="center"/>
          </w:tcPr>
          <w:p>
            <w:r>
              <w:rPr>
                <w:sz w:val="19"/>
                <w:szCs w:val="19"/>
              </w:rPr>
              <w:t xml:space="preserve"/>
            </w:r>
          </w:p>
        </w:tc>
      </w:tr>
    </w:tbl>
    <w:p>
      <w:pPr>
        <w:spacing w:after="160"/>
      </w:pPr>
      <w:r>
        <w:t xml:space="preserve"/>
      </w:r>
    </w:p>
    <w:p>
      <w:pPr>
        <w:pStyle w:val="Heading2"/>
        <w:spacing w:after="160" w:before="280"/>
      </w:pPr>
      <w:r>
        <w:rPr>
          <w:b/>
          <w:bCs/>
          <w:color w:val="2E5395"/>
        </w:rPr>
        <w:t xml:space="preserve">Known open item</w:t>
      </w:r>
    </w:p>
    <w:p>
      <w:pPr>
        <w:pStyle w:val="ListParagraph"/>
        <w:numPr>
          <w:ilvl w:val="0"/>
          <w:numId w:val="1"/>
        </w:numPr>
        <w:spacing w:after="80"/>
      </w:pPr>
      <w:r>
        <w:t xml:space="preserve">NFR-M3 (support for future substitution of implementation components) has no confirmed design response as of the merged document. This item should be tracked to closure separately and is expected to show Partial or Not Met until Engineering confirms or adds a design response.</w:t>
      </w:r>
    </w:p>
    <w:p>
      <w:pPr>
        <w:spacing w:after="160"/>
      </w:pPr>
      <w:r>
        <w:t xml:space="preserve"/>
      </w:r>
    </w:p>
    <w:p>
      <w:pPr>
        <w:pStyle w:val="Heading2"/>
        <w:spacing w:after="160" w:before="280"/>
      </w:pPr>
      <w:r>
        <w:rPr>
          <w:b/>
          <w:bCs/>
          <w:color w:val="2E5395"/>
        </w:rPr>
        <w:t xml:space="preserve">Reviewer Sign-Off</w:t>
      </w:r>
    </w:p>
    <w:p>
      <w:pPr>
        <w:spacing w:after="160"/>
      </w:pPr>
      <w:r>
        <w:t xml:space="preserve">The following reviewers confirm they have validated the items in this checklist against the build/test evidence and approve the result for architecture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1980"/>
        <w:gridCol w:w="1980"/>
      </w:tblGrid>
      <w:tr>
        <w:trPr>
          <w:tblHeader/>
        </w:trPr>
        <w:tc>
          <w:tcPr>
            <w:tcW w:type="dxa" w:w="2500"/>
            <w:shd w:fill="1F3864" w:val="clear"/>
            <w:tcMar>
              <w:top w:type="dxa" w:w="80"/>
              <w:left w:type="dxa" w:w="100"/>
              <w:bottom w:type="dxa" w:w="80"/>
              <w:right w:type="dxa" w:w="100"/>
            </w:tcMar>
            <w:vAlign w:val="center"/>
          </w:tcPr>
          <w:p>
            <w:r>
              <w:rPr>
                <w:b/>
                <w:bCs/>
                <w:color w:val="FFFFFF"/>
                <w:sz w:val="20"/>
                <w:szCs w:val="20"/>
              </w:rPr>
              <w:t xml:space="preserve">Reviewer</w:t>
            </w:r>
          </w:p>
        </w:tc>
        <w:tc>
          <w:tcPr>
            <w:tcW w:type="dxa" w:w="2900"/>
            <w:shd w:fill="1F3864" w:val="clear"/>
            <w:tcMar>
              <w:top w:type="dxa" w:w="80"/>
              <w:left w:type="dxa" w:w="100"/>
              <w:bottom w:type="dxa" w:w="80"/>
              <w:right w:type="dxa" w:w="100"/>
            </w:tcMar>
            <w:vAlign w:val="center"/>
          </w:tcPr>
          <w:p>
            <w:r>
              <w:rPr>
                <w:b/>
                <w:bCs/>
                <w:color w:val="FFFFFF"/>
                <w:sz w:val="20"/>
                <w:szCs w:val="20"/>
              </w:rPr>
              <w:t xml:space="preserve">Role</w:t>
            </w:r>
          </w:p>
        </w:tc>
        <w:tc>
          <w:tcPr>
            <w:tcW w:type="dxa" w:w="1980"/>
            <w:shd w:fill="1F3864" w:val="clear"/>
            <w:tcMar>
              <w:top w:type="dxa" w:w="80"/>
              <w:left w:type="dxa" w:w="100"/>
              <w:bottom w:type="dxa" w:w="80"/>
              <w:right w:type="dxa" w:w="100"/>
            </w:tcMar>
            <w:vAlign w:val="center"/>
          </w:tcPr>
          <w:p>
            <w:r>
              <w:rPr>
                <w:b/>
                <w:bCs/>
                <w:color w:val="FFFFFF"/>
                <w:sz w:val="20"/>
                <w:szCs w:val="20"/>
              </w:rPr>
              <w:t xml:space="preserve">Signature</w:t>
            </w:r>
          </w:p>
        </w:tc>
        <w:tc>
          <w:tcPr>
            <w:tcW w:type="dxa" w:w="1980"/>
            <w:shd w:fill="1F3864" w:val="clear"/>
            <w:tcMar>
              <w:top w:type="dxa" w:w="80"/>
              <w:left w:type="dxa" w:w="100"/>
              <w:bottom w:type="dxa" w:w="80"/>
              <w:right w:type="dxa" w:w="100"/>
            </w:tcMar>
            <w:vAlign w:val="center"/>
          </w:tcPr>
          <w:p>
            <w:r>
              <w:rPr>
                <w:b/>
                <w:bCs/>
                <w:color w:val="FFFFFF"/>
                <w:sz w:val="20"/>
                <w:szCs w:val="20"/>
              </w:rPr>
              <w:t xml:space="preserve">Date</w:t>
            </w:r>
          </w:p>
        </w:tc>
      </w:tr>
      <w:tr>
        <w:tc>
          <w:tcPr>
            <w:tcW w:type="dxa" w:w="2500"/>
            <w:tcMar>
              <w:top w:type="dxa" w:w="80"/>
              <w:left w:type="dxa" w:w="100"/>
              <w:bottom w:type="dxa" w:w="80"/>
              <w:right w:type="dxa" w:w="100"/>
            </w:tcMar>
            <w:vAlign w:val="center"/>
          </w:tcPr>
          <w:p>
            <w:r>
              <w:rPr>
                <w:sz w:val="19"/>
                <w:szCs w:val="19"/>
              </w:rPr>
              <w:t xml:space="preserve">Aniket Patil</w:t>
            </w:r>
          </w:p>
        </w:tc>
        <w:tc>
          <w:tcPr>
            <w:tcW w:type="dxa" w:w="2900"/>
            <w:tcMar>
              <w:top w:type="dxa" w:w="80"/>
              <w:left w:type="dxa" w:w="100"/>
              <w:bottom w:type="dxa" w:w="80"/>
              <w:right w:type="dxa" w:w="100"/>
            </w:tcMar>
            <w:vAlign w:val="center"/>
          </w:tcPr>
          <w:p>
            <w:r>
              <w:rPr>
                <w:sz w:val="19"/>
                <w:szCs w:val="19"/>
              </w:rPr>
              <w:t xml:space="preserve"/>
            </w:r>
          </w:p>
        </w:tc>
        <w:tc>
          <w:tcPr>
            <w:tcW w:type="dxa" w:w="1980"/>
            <w:tcMar>
              <w:top w:type="dxa" w:w="80"/>
              <w:left w:type="dxa" w:w="100"/>
              <w:bottom w:type="dxa" w:w="80"/>
              <w:right w:type="dxa" w:w="100"/>
            </w:tcMar>
            <w:vAlign w:val="center"/>
          </w:tcPr>
          <w:p>
            <w:r>
              <w:rPr>
                <w:sz w:val="19"/>
                <w:szCs w:val="19"/>
              </w:rPr>
              <w:t xml:space="preserve"/>
            </w:r>
          </w:p>
        </w:tc>
        <w:tc>
          <w:tcPr>
            <w:tcW w:type="dxa" w:w="1980"/>
            <w:tcMar>
              <w:top w:type="dxa" w:w="80"/>
              <w:left w:type="dxa" w:w="100"/>
              <w:bottom w:type="dxa" w:w="80"/>
              <w:right w:type="dxa" w:w="100"/>
            </w:tcMar>
            <w:vAlign w:val="center"/>
          </w:tcPr>
          <w:p>
            <w:r>
              <w:rPr>
                <w:sz w:val="19"/>
                <w:szCs w:val="19"/>
              </w:rPr>
              <w:t xml:space="preserve"/>
            </w:r>
          </w:p>
        </w:tc>
      </w:tr>
      <w:tr>
        <w:tc>
          <w:tcPr>
            <w:tcW w:type="dxa" w:w="2500"/>
            <w:shd w:fill="F2F2F2" w:val="clear"/>
            <w:tcMar>
              <w:top w:type="dxa" w:w="80"/>
              <w:left w:type="dxa" w:w="100"/>
              <w:bottom w:type="dxa" w:w="80"/>
              <w:right w:type="dxa" w:w="100"/>
            </w:tcMar>
            <w:vAlign w:val="center"/>
          </w:tcPr>
          <w:p>
            <w:r>
              <w:rPr>
                <w:sz w:val="19"/>
                <w:szCs w:val="19"/>
              </w:rPr>
              <w:t xml:space="preserve">Tushar Barate</w:t>
            </w:r>
          </w:p>
        </w:tc>
        <w:tc>
          <w:tcPr>
            <w:tcW w:type="dxa" w:w="2900"/>
            <w:shd w:fill="F2F2F2" w:val="clear"/>
            <w:tcMar>
              <w:top w:type="dxa" w:w="80"/>
              <w:left w:type="dxa" w:w="100"/>
              <w:bottom w:type="dxa" w:w="80"/>
              <w:right w:type="dxa" w:w="100"/>
            </w:tcMar>
            <w:vAlign w:val="center"/>
          </w:tcPr>
          <w:p>
            <w:r>
              <w:rPr>
                <w:sz w:val="19"/>
                <w:szCs w:val="19"/>
              </w:rPr>
              <w:t xml:space="preserve"/>
            </w:r>
          </w:p>
        </w:tc>
        <w:tc>
          <w:tcPr>
            <w:tcW w:type="dxa" w:w="1980"/>
            <w:shd w:fill="F2F2F2" w:val="clear"/>
            <w:tcMar>
              <w:top w:type="dxa" w:w="80"/>
              <w:left w:type="dxa" w:w="100"/>
              <w:bottom w:type="dxa" w:w="80"/>
              <w:right w:type="dxa" w:w="100"/>
            </w:tcMar>
            <w:vAlign w:val="center"/>
          </w:tcPr>
          <w:p>
            <w:r>
              <w:rPr>
                <w:sz w:val="19"/>
                <w:szCs w:val="19"/>
              </w:rPr>
              <w:t xml:space="preserve"/>
            </w:r>
          </w:p>
        </w:tc>
        <w:tc>
          <w:tcPr>
            <w:tcW w:type="dxa" w:w="1980"/>
            <w:shd w:fill="F2F2F2" w:val="clear"/>
            <w:tcMar>
              <w:top w:type="dxa" w:w="80"/>
              <w:left w:type="dxa" w:w="100"/>
              <w:bottom w:type="dxa" w:w="80"/>
              <w:right w:type="dxa" w:w="100"/>
            </w:tcMar>
            <w:vAlign w:val="center"/>
          </w:tcPr>
          <w:p>
            <w:r>
              <w:rPr>
                <w:sz w:val="19"/>
                <w:szCs w:val="19"/>
              </w:rPr>
              <w:t xml:space="preserve"/>
            </w:r>
          </w:p>
        </w:tc>
      </w:tr>
      <w:tr>
        <w:tc>
          <w:tcPr>
            <w:tcW w:type="dxa" w:w="2500"/>
            <w:tcMar>
              <w:top w:type="dxa" w:w="80"/>
              <w:left w:type="dxa" w:w="100"/>
              <w:bottom w:type="dxa" w:w="80"/>
              <w:right w:type="dxa" w:w="100"/>
            </w:tcMar>
            <w:vAlign w:val="center"/>
          </w:tcPr>
          <w:p>
            <w:r>
              <w:rPr>
                <w:sz w:val="19"/>
                <w:szCs w:val="19"/>
              </w:rPr>
              <w:t xml:space="preserve">Ketan Bhadekar</w:t>
            </w:r>
          </w:p>
        </w:tc>
        <w:tc>
          <w:tcPr>
            <w:tcW w:type="dxa" w:w="2900"/>
            <w:tcMar>
              <w:top w:type="dxa" w:w="80"/>
              <w:left w:type="dxa" w:w="100"/>
              <w:bottom w:type="dxa" w:w="80"/>
              <w:right w:type="dxa" w:w="100"/>
            </w:tcMar>
            <w:vAlign w:val="center"/>
          </w:tcPr>
          <w:p>
            <w:r>
              <w:rPr>
                <w:sz w:val="19"/>
                <w:szCs w:val="19"/>
              </w:rPr>
              <w:t xml:space="preserve"/>
            </w:r>
          </w:p>
        </w:tc>
        <w:tc>
          <w:tcPr>
            <w:tcW w:type="dxa" w:w="1980"/>
            <w:tcMar>
              <w:top w:type="dxa" w:w="80"/>
              <w:left w:type="dxa" w:w="100"/>
              <w:bottom w:type="dxa" w:w="80"/>
              <w:right w:type="dxa" w:w="100"/>
            </w:tcMar>
            <w:vAlign w:val="center"/>
          </w:tcPr>
          <w:p>
            <w:r>
              <w:rPr>
                <w:sz w:val="19"/>
                <w:szCs w:val="19"/>
              </w:rPr>
              <w:t xml:space="preserve"/>
            </w:r>
          </w:p>
        </w:tc>
        <w:tc>
          <w:tcPr>
            <w:tcW w:type="dxa" w:w="1980"/>
            <w:tcMar>
              <w:top w:type="dxa" w:w="80"/>
              <w:left w:type="dxa" w:w="100"/>
              <w:bottom w:type="dxa" w:w="80"/>
              <w:right w:type="dxa" w:w="100"/>
            </w:tcMar>
            <w:vAlign w:val="center"/>
          </w:tcPr>
          <w:p>
            <w:r>
              <w:rPr>
                <w:sz w:val="19"/>
                <w:szCs w:val="19"/>
              </w:rPr>
              <w:t xml:space="preserve"/>
            </w:r>
          </w:p>
        </w:tc>
      </w:tr>
      <w:tr>
        <w:tc>
          <w:tcPr>
            <w:tcW w:type="dxa" w:w="2500"/>
            <w:shd w:fill="F2F2F2" w:val="clear"/>
            <w:tcMar>
              <w:top w:type="dxa" w:w="80"/>
              <w:left w:type="dxa" w:w="100"/>
              <w:bottom w:type="dxa" w:w="80"/>
              <w:right w:type="dxa" w:w="100"/>
            </w:tcMar>
            <w:vAlign w:val="center"/>
          </w:tcPr>
          <w:p>
            <w:r>
              <w:rPr>
                <w:sz w:val="19"/>
                <w:szCs w:val="19"/>
              </w:rPr>
              <w:t xml:space="preserve">Manish Garg</w:t>
            </w:r>
          </w:p>
        </w:tc>
        <w:tc>
          <w:tcPr>
            <w:tcW w:type="dxa" w:w="2900"/>
            <w:shd w:fill="F2F2F2" w:val="clear"/>
            <w:tcMar>
              <w:top w:type="dxa" w:w="80"/>
              <w:left w:type="dxa" w:w="100"/>
              <w:bottom w:type="dxa" w:w="80"/>
              <w:right w:type="dxa" w:w="100"/>
            </w:tcMar>
            <w:vAlign w:val="center"/>
          </w:tcPr>
          <w:p>
            <w:r>
              <w:rPr>
                <w:sz w:val="19"/>
                <w:szCs w:val="19"/>
              </w:rPr>
              <w:t xml:space="preserve"/>
            </w:r>
          </w:p>
        </w:tc>
        <w:tc>
          <w:tcPr>
            <w:tcW w:type="dxa" w:w="1980"/>
            <w:shd w:fill="F2F2F2" w:val="clear"/>
            <w:tcMar>
              <w:top w:type="dxa" w:w="80"/>
              <w:left w:type="dxa" w:w="100"/>
              <w:bottom w:type="dxa" w:w="80"/>
              <w:right w:type="dxa" w:w="100"/>
            </w:tcMar>
            <w:vAlign w:val="center"/>
          </w:tcPr>
          <w:p>
            <w:r>
              <w:rPr>
                <w:sz w:val="19"/>
                <w:szCs w:val="19"/>
              </w:rPr>
              <w:t xml:space="preserve"/>
            </w:r>
          </w:p>
        </w:tc>
        <w:tc>
          <w:tcPr>
            <w:tcW w:type="dxa" w:w="1980"/>
            <w:shd w:fill="F2F2F2" w:val="clear"/>
            <w:tcMar>
              <w:top w:type="dxa" w:w="80"/>
              <w:left w:type="dxa" w:w="100"/>
              <w:bottom w:type="dxa" w:w="80"/>
              <w:right w:type="dxa" w:w="100"/>
            </w:tcMar>
            <w:vAlign w:val="center"/>
          </w:tcPr>
          <w:p>
            <w:r>
              <w:rPr>
                <w:sz w:val="19"/>
                <w:szCs w:val="19"/>
              </w:rPr>
              <w:t xml:space="preserve"/>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LexisNexis Batch Pipeline — NFR &amp; Feature Validation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2026-08-27T15:36:44.666Z</dcterms:created>
  <dcterms:modified xsi:type="dcterms:W3CDTF">2026-08-27T15:36:44.690Z</dcterms:modified>
</cp:coreProperties>
</file>

<file path=docProps/custom.xml><?xml version="1.0" encoding="utf-8"?>
<Properties xmlns="http://schemas.openxmlformats.org/officeDocument/2006/custom-properties" xmlns:vt="http://schemas.openxmlformats.org/officeDocument/2006/docPropsVTypes"/>
</file>