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B3A5C"/>
          <w:sz w:val="64"/>
          <w:szCs w:val="64"/>
        </w:rPr>
        <w:t xml:space="preserve">RV TOTAL CONTROL</w:t>
      </w:r>
    </w:p>
    <w:p>
      <w:pPr>
        <w:spacing w:after="80"/>
        <w:jc w:val="center"/>
      </w:pPr>
      <w:r>
        <w:rPr>
          <w:rFonts w:ascii="Arial" w:cs="Arial" w:eastAsia="Arial" w:hAnsi="Arial"/>
          <w:color w:val="2E75B6"/>
          <w:sz w:val="36"/>
          <w:szCs w:val="36"/>
        </w:rPr>
        <w:t xml:space="preserve">Ansible Role Structure Document</w:t>
      </w:r>
    </w:p>
    <w:p>
      <w:pPr>
        <w:spacing w:after="80"/>
        <w:jc w:val="center"/>
      </w:pPr>
      <w:r>
        <w:rPr>
          <w:rFonts w:ascii="Arial" w:cs="Arial" w:eastAsia="Arial" w:hAnsi="Arial"/>
          <w:color w:val="666666"/>
          <w:sz w:val="24"/>
          <w:szCs w:val="24"/>
        </w:rPr>
        <w:t xml:space="preserve">Version 0.1 — Draft</w:t>
      </w:r>
    </w:p>
    <w:p>
      <w:pPr>
        <w:spacing w:after="80"/>
        <w:jc w:val="center"/>
      </w:pPr>
      <w:r>
        <w:rPr>
          <w:rFonts w:ascii="Arial" w:cs="Arial" w:eastAsia="Arial" w:hAnsi="Arial"/>
          <w:color w:val="666666"/>
          <w:sz w:val="24"/>
          <w:szCs w:val="24"/>
        </w:rPr>
        <w:t xml:space="preserve">May 26, 2026</w:t>
      </w:r>
    </w:p>
    <w:p>
      <w:pPr>
        <w:jc w:val="center"/>
      </w:pPr>
      <w:r>
        <w:rPr>
          <w:rFonts w:ascii="Arial" w:cs="Arial" w:eastAsia="Arial" w:hAnsi="Arial"/>
          <w:color w:val="666666"/>
          <w:sz w:val="24"/>
          <w:szCs w:val="24"/>
        </w:rPr>
        <w:t xml:space="preserve">Steve Bradshaw</w:t>
      </w:r>
    </w:p>
    <w:p>
      <w:pPr>
        <w:spacing w:after="80"/>
      </w:pPr>
      <w:r>
        <w:t xml:space="preserve"/>
      </w:r>
    </w:p>
    <w:p>
      <w:pPr>
        <w:spacing w:after="80"/>
      </w:pPr>
      <w:r>
        <w:t xml:space="preserve"/>
      </w:r>
    </w:p>
    <w:p>
      <w:pPr>
        <w:pBdr>
          <w:top w:val="single" w:color="2E75B6" w:sz="6"/>
          <w:bottom w:val="single" w:color="2E75B6" w:sz="6"/>
        </w:pBdr>
        <w:spacing w:after="160" w:before="160"/>
        <w:jc w:val="center"/>
      </w:pPr>
      <w:r>
        <w:rPr>
          <w:rFonts w:ascii="Arial" w:cs="Arial" w:eastAsia="Arial" w:hAnsi="Arial"/>
          <w:b/>
          <w:bCs/>
          <w:color w:val="1B3A5C"/>
          <w:sz w:val="22"/>
          <w:szCs w:val="22"/>
        </w:rPr>
        <w:t xml:space="preserve">Status: Draft — Pre-Engineering</w:t>
      </w:r>
    </w:p>
    <w:p>
      <w:pPr>
        <w:spacing w:after="80"/>
      </w:pPr>
      <w:r>
        <w:t xml:space="preserve"/>
      </w:r>
    </w:p>
    <w:p>
      <w:pPr>
        <w:spacing w:after="80"/>
      </w:pPr>
      <w:r>
        <w:t xml:space="preserve"/>
      </w:r>
    </w:p>
    <w:p>
      <w:pPr>
        <w:pStyle w:val="Heading2"/>
        <w:spacing w:after="120" w:before="240"/>
      </w:pPr>
      <w:r>
        <w:rPr>
          <w:rFonts w:ascii="Arial" w:cs="Arial" w:eastAsia="Arial" w:hAnsi="Arial"/>
          <w:b/>
          <w:bCs/>
          <w:color w:val="1B3A5C"/>
          <w:sz w:val="26"/>
          <w:szCs w:val="26"/>
        </w:rPr>
        <w:t xml:space="preserve">Document Control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60"/>
        <w:gridCol w:w="4800"/>
      </w:tblGrid>
      <w:tr>
        <w:tc>
          <w:tcPr>
            <w:tcW w:type="dxa" w:w="1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6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5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4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 May 2026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Steve Bradshaw</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 issue</w:t>
            </w:r>
          </w:p>
        </w:tc>
      </w:tr>
    </w:tbl>
    <w:p>
      <w:pPr>
        <w:spacing w:after="80"/>
      </w:pPr>
      <w:r>
        <w:t xml:space="preserve"/>
      </w:r>
    </w:p>
    <w:p>
      <w:pPr>
        <w:spacing w:after="120"/>
      </w:pPr>
      <w:r>
        <w:rPr>
          <w:rFonts w:ascii="Arial" w:cs="Arial" w:eastAsia="Arial" w:hAnsi="Arial"/>
          <w:i/>
          <w:iCs/>
          <w:color w:val="666666"/>
          <w:sz w:val="20"/>
          <w:szCs w:val="20"/>
        </w:rPr>
        <w:t xml:space="preserve">Related document: RVTC System Architecture Document V0.1</w:t>
      </w:r>
    </w:p>
    <w:p>
      <w:pPr>
        <w:pStyle w:val="Heading1"/>
        <w:pBdr>
          <w:bottom w:val="single" w:color="2E75B6" w:sz="6" w:space="1"/>
        </w:pBdr>
        <w:spacing w:after="160" w:before="320"/>
      </w:pPr>
      <w:r>
        <w:rPr>
          <w:rFonts w:ascii="Arial" w:cs="Arial" w:eastAsia="Arial" w:hAnsi="Arial"/>
          <w:b/>
          <w:bCs/>
          <w:color w:val="1B3A5C"/>
          <w:sz w:val="32"/>
          <w:szCs w:val="32"/>
        </w:rPr>
        <w:t xml:space="preserve">1. Purpose</w:t>
      </w:r>
    </w:p>
    <w:p>
      <w:pPr>
        <w:spacing w:after="120"/>
      </w:pPr>
      <w:r>
        <w:rPr>
          <w:rFonts w:ascii="Arial" w:cs="Arial" w:eastAsia="Arial" w:hAnsi="Arial"/>
          <w:sz w:val="20"/>
          <w:szCs w:val="20"/>
        </w:rPr>
        <w:t xml:space="preserve">This document defines the Ansible role structure for the RV Total Control (RVTC) project. It maps every anticipated role to its purpose, deployment phase, key tasks, variables, and dependencies. No Ansible playbook or role code is written until this structure is approved — the document is the engineering blueprint that Phase 1 build work executes against.</w:t>
      </w:r>
    </w:p>
    <w:p>
      <w:pPr>
        <w:spacing w:after="80"/>
      </w:pPr>
      <w:r>
        <w:t xml:space="preserve"/>
      </w:r>
    </w:p>
    <w:p>
      <w:pPr>
        <w:spacing w:after="120"/>
      </w:pPr>
      <w:r>
        <w:rPr>
          <w:rFonts w:ascii="Arial" w:cs="Arial" w:eastAsia="Arial" w:hAnsi="Arial"/>
          <w:sz w:val="20"/>
          <w:szCs w:val="20"/>
        </w:rPr>
        <w:t xml:space="preserve">This document is a Phase 0 deliverable. It must be version-controlled in the RVTC GitHub repository at docs/ alongside the System Architecture Document.</w:t>
      </w:r>
    </w:p>
    <w:p>
      <w:pPr>
        <w:pStyle w:val="Heading1"/>
        <w:pBdr>
          <w:bottom w:val="single" w:color="2E75B6" w:sz="6" w:space="1"/>
        </w:pBdr>
        <w:spacing w:after="160" w:before="320"/>
      </w:pPr>
      <w:r>
        <w:rPr>
          <w:rFonts w:ascii="Arial" w:cs="Arial" w:eastAsia="Arial" w:hAnsi="Arial"/>
          <w:b/>
          <w:bCs/>
          <w:color w:val="1B3A5C"/>
          <w:sz w:val="32"/>
          <w:szCs w:val="32"/>
        </w:rPr>
        <w:t xml:space="preserve">2. Repository &amp; Directory Structure</w:t>
      </w:r>
    </w:p>
    <w:p>
      <w:pPr>
        <w:spacing w:after="120"/>
      </w:pPr>
      <w:r>
        <w:rPr>
          <w:rFonts w:ascii="Arial" w:cs="Arial" w:eastAsia="Arial" w:hAnsi="Arial"/>
          <w:sz w:val="20"/>
          <w:szCs w:val="20"/>
        </w:rPr>
        <w:t xml:space="preserve">The following directory layout is established in the RVTC repository. All Ansible roles are placed under roles/, one subdirectory per role. The master playbook site.yml lives in the repo root.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80"/>
              <w:left w:type="dxa" w:w="120"/>
              <w:bottom w:type="dxa" w:w="80"/>
              <w:right w:type="dxa" w:w="120"/>
            </w:tcMar>
          </w:tcPr>
          <w:p>
            <w:pPr>
              <w:spacing w:after="0"/>
            </w:pPr>
            <w:r>
              <w:rPr>
                <w:rFonts w:ascii="Courier New" w:cs="Courier New" w:eastAsia="Courier New" w:hAnsi="Courier New"/>
                <w:color w:val="D4D4D4"/>
                <w:sz w:val="18"/>
                <w:szCs w:val="18"/>
              </w:rPr>
              <w:t xml:space="preserve">RV-total-control/</w:t>
            </w:r>
          </w:p>
          <w:p>
            <w:pPr>
              <w:spacing w:after="0"/>
            </w:pPr>
            <w:r>
              <w:rPr>
                <w:rFonts w:ascii="Courier New" w:cs="Courier New" w:eastAsia="Courier New" w:hAnsi="Courier New"/>
                <w:color w:val="D4D4D4"/>
                <w:sz w:val="18"/>
                <w:szCs w:val="18"/>
              </w:rPr>
              <w:t xml:space="preserve">├── inventories/</w:t>
            </w:r>
          </w:p>
          <w:p>
            <w:pPr>
              <w:spacing w:after="0"/>
            </w:pPr>
            <w:r>
              <w:rPr>
                <w:rFonts w:ascii="Courier New" w:cs="Courier New" w:eastAsia="Courier New" w:hAnsi="Courier New"/>
                <w:color w:val="D4D4D4"/>
                <w:sz w:val="18"/>
                <w:szCs w:val="18"/>
              </w:rPr>
              <w:t xml:space="preserve">│   └── production/</w:t>
            </w:r>
          </w:p>
          <w:p>
            <w:pPr>
              <w:spacing w:after="0"/>
            </w:pPr>
            <w:r>
              <w:rPr>
                <w:rFonts w:ascii="Courier New" w:cs="Courier New" w:eastAsia="Courier New" w:hAnsi="Courier New"/>
                <w:color w:val="D4D4D4"/>
                <w:sz w:val="18"/>
                <w:szCs w:val="18"/>
              </w:rPr>
              <w:t xml:space="preserve">│       ├── hosts.yml          # Beelink J45 host definition</w:t>
            </w:r>
          </w:p>
          <w:p>
            <w:pPr>
              <w:spacing w:after="0"/>
            </w:pPr>
            <w:r>
              <w:rPr>
                <w:rFonts w:ascii="Courier New" w:cs="Courier New" w:eastAsia="Courier New" w:hAnsi="Courier New"/>
                <w:color w:val="D4D4D4"/>
                <w:sz w:val="18"/>
                <w:szCs w:val="18"/>
              </w:rPr>
              <w:t xml:space="preserve">│       └── group_vars/        # (symlink or copy of group_vars/)</w:t>
            </w:r>
          </w:p>
          <w:p>
            <w:pPr>
              <w:spacing w:after="0"/>
            </w:pPr>
            <w:r>
              <w:rPr>
                <w:rFonts w:ascii="Courier New" w:cs="Courier New" w:eastAsia="Courier New" w:hAnsi="Courier New"/>
                <w:color w:val="D4D4D4"/>
                <w:sz w:val="18"/>
                <w:szCs w:val="18"/>
              </w:rPr>
              <w:t xml:space="preserve">├── group_vars/</w:t>
            </w:r>
          </w:p>
          <w:p>
            <w:pPr>
              <w:spacing w:after="0"/>
            </w:pPr>
            <w:r>
              <w:rPr>
                <w:rFonts w:ascii="Courier New" w:cs="Courier New" w:eastAsia="Courier New" w:hAnsi="Courier New"/>
                <w:color w:val="D4D4D4"/>
                <w:sz w:val="18"/>
                <w:szCs w:val="18"/>
              </w:rPr>
              <w:t xml:space="preserve">│   └── all.yml                # Global variables (Docker network, paths)</w:t>
            </w:r>
          </w:p>
          <w:p>
            <w:pPr>
              <w:spacing w:after="0"/>
            </w:pPr>
            <w:r>
              <w:rPr>
                <w:rFonts w:ascii="Courier New" w:cs="Courier New" w:eastAsia="Courier New" w:hAnsi="Courier New"/>
                <w:color w:val="D4D4D4"/>
                <w:sz w:val="18"/>
                <w:szCs w:val="18"/>
              </w:rPr>
              <w:t xml:space="preserve">├── host_vars/</w:t>
            </w:r>
          </w:p>
          <w:p>
            <w:pPr>
              <w:spacing w:after="0"/>
            </w:pPr>
            <w:r>
              <w:rPr>
                <w:rFonts w:ascii="Courier New" w:cs="Courier New" w:eastAsia="Courier New" w:hAnsi="Courier New"/>
                <w:color w:val="D4D4D4"/>
                <w:sz w:val="18"/>
                <w:szCs w:val="18"/>
              </w:rPr>
              <w:t xml:space="preserve">│   └── rvtc.yml               # J45-specific overrides</w:t>
            </w:r>
          </w:p>
          <w:p>
            <w:pPr>
              <w:spacing w:after="0"/>
            </w:pPr>
            <w:r>
              <w:rPr>
                <w:rFonts w:ascii="Courier New" w:cs="Courier New" w:eastAsia="Courier New" w:hAnsi="Courier New"/>
                <w:color w:val="D4D4D4"/>
                <w:sz w:val="18"/>
                <w:szCs w:val="18"/>
              </w:rPr>
              <w:t xml:space="preserve">├── roles/</w:t>
            </w:r>
          </w:p>
          <w:p>
            <w:pPr>
              <w:spacing w:after="0"/>
            </w:pPr>
            <w:r>
              <w:rPr>
                <w:rFonts w:ascii="Courier New" w:cs="Courier New" w:eastAsia="Courier New" w:hAnsi="Courier New"/>
                <w:color w:val="D4D4D4"/>
                <w:sz w:val="18"/>
                <w:szCs w:val="18"/>
              </w:rPr>
              <w:t xml:space="preserve">│   ├── common/</w:t>
            </w:r>
          </w:p>
          <w:p>
            <w:pPr>
              <w:spacing w:after="0"/>
            </w:pPr>
            <w:r>
              <w:rPr>
                <w:rFonts w:ascii="Courier New" w:cs="Courier New" w:eastAsia="Courier New" w:hAnsi="Courier New"/>
                <w:color w:val="D4D4D4"/>
                <w:sz w:val="18"/>
                <w:szCs w:val="18"/>
              </w:rPr>
              <w:t xml:space="preserve">│   ├── pihole/</w:t>
            </w:r>
          </w:p>
          <w:p>
            <w:pPr>
              <w:spacing w:after="0"/>
            </w:pPr>
            <w:r>
              <w:rPr>
                <w:rFonts w:ascii="Courier New" w:cs="Courier New" w:eastAsia="Courier New" w:hAnsi="Courier New"/>
                <w:color w:val="D4D4D4"/>
                <w:sz w:val="18"/>
                <w:szCs w:val="18"/>
              </w:rPr>
              <w:t xml:space="preserve">│   ├── weewx/</w:t>
            </w:r>
          </w:p>
          <w:p>
            <w:pPr>
              <w:spacing w:after="0"/>
            </w:pPr>
            <w:r>
              <w:rPr>
                <w:rFonts w:ascii="Courier New" w:cs="Courier New" w:eastAsia="Courier New" w:hAnsi="Courier New"/>
                <w:color w:val="D4D4D4"/>
                <w:sz w:val="18"/>
                <w:szCs w:val="18"/>
              </w:rPr>
              <w:t xml:space="preserve">│   ├── homeassistant/</w:t>
            </w:r>
          </w:p>
          <w:p>
            <w:pPr>
              <w:spacing w:after="0"/>
            </w:pPr>
            <w:r>
              <w:rPr>
                <w:rFonts w:ascii="Courier New" w:cs="Courier New" w:eastAsia="Courier New" w:hAnsi="Courier New"/>
                <w:color w:val="D4D4D4"/>
                <w:sz w:val="18"/>
                <w:szCs w:val="18"/>
              </w:rPr>
              <w:t xml:space="preserve">│   ├── influxdb/              # OR timescaledb — not both</w:t>
            </w:r>
          </w:p>
          <w:p>
            <w:pPr>
              <w:spacing w:after="0"/>
            </w:pPr>
            <w:r>
              <w:rPr>
                <w:rFonts w:ascii="Courier New" w:cs="Courier New" w:eastAsia="Courier New" w:hAnsi="Courier New"/>
                <w:color w:val="D4D4D4"/>
                <w:sz w:val="18"/>
                <w:szCs w:val="18"/>
              </w:rPr>
              <w:t xml:space="preserve">│   ├── grafana/</w:t>
            </w:r>
          </w:p>
          <w:p>
            <w:pPr>
              <w:spacing w:after="0"/>
            </w:pPr>
            <w:r>
              <w:rPr>
                <w:rFonts w:ascii="Courier New" w:cs="Courier New" w:eastAsia="Courier New" w:hAnsi="Courier New"/>
                <w:color w:val="D4D4D4"/>
                <w:sz w:val="18"/>
                <w:szCs w:val="18"/>
              </w:rPr>
              <w:t xml:space="preserve">│   ├── mqtt/</w:t>
            </w:r>
          </w:p>
          <w:p>
            <w:pPr>
              <w:spacing w:after="0"/>
            </w:pPr>
            <w:r>
              <w:rPr>
                <w:rFonts w:ascii="Courier New" w:cs="Courier New" w:eastAsia="Courier New" w:hAnsi="Courier New"/>
                <w:color w:val="D4D4D4"/>
                <w:sz w:val="18"/>
                <w:szCs w:val="18"/>
              </w:rPr>
              <w:t xml:space="preserve">│   ├── epever/</w:t>
            </w:r>
          </w:p>
          <w:p>
            <w:pPr>
              <w:spacing w:after="0"/>
            </w:pPr>
            <w:r>
              <w:rPr>
                <w:rFonts w:ascii="Courier New" w:cs="Courier New" w:eastAsia="Courier New" w:hAnsi="Courier New"/>
                <w:color w:val="D4D4D4"/>
                <w:sz w:val="18"/>
                <w:szCs w:val="18"/>
              </w:rPr>
              <w:t xml:space="preserve">│   ├── samlux/</w:t>
            </w:r>
          </w:p>
          <w:p>
            <w:pPr>
              <w:spacing w:after="0"/>
            </w:pPr>
            <w:r>
              <w:rPr>
                <w:rFonts w:ascii="Courier New" w:cs="Courier New" w:eastAsia="Courier New" w:hAnsi="Courier New"/>
                <w:color w:val="D4D4D4"/>
                <w:sz w:val="18"/>
                <w:szCs w:val="18"/>
              </w:rPr>
              <w:t xml:space="preserve">│   ├── esphome-water/</w:t>
            </w:r>
          </w:p>
          <w:p>
            <w:pPr>
              <w:spacing w:after="0"/>
            </w:pPr>
            <w:r>
              <w:rPr>
                <w:rFonts w:ascii="Courier New" w:cs="Courier New" w:eastAsia="Courier New" w:hAnsi="Courier New"/>
                <w:color w:val="D4D4D4"/>
                <w:sz w:val="18"/>
                <w:szCs w:val="18"/>
              </w:rPr>
              <w:t xml:space="preserve">│   └── esphome-tanks/</w:t>
            </w:r>
          </w:p>
          <w:p>
            <w:pPr>
              <w:spacing w:after="0"/>
            </w:pPr>
            <w:r>
              <w:rPr>
                <w:rFonts w:ascii="Courier New" w:cs="Courier New" w:eastAsia="Courier New" w:hAnsi="Courier New"/>
                <w:color w:val="D4D4D4"/>
                <w:sz w:val="18"/>
                <w:szCs w:val="18"/>
              </w:rPr>
              <w:t xml:space="preserve">├── config/                    # Device configs (MikroTik .rsc etc.)</w:t>
            </w:r>
          </w:p>
          <w:p>
            <w:pPr>
              <w:spacing w:after="0"/>
            </w:pPr>
            <w:r>
              <w:rPr>
                <w:rFonts w:ascii="Courier New" w:cs="Courier New" w:eastAsia="Courier New" w:hAnsi="Courier New"/>
                <w:color w:val="D4D4D4"/>
                <w:sz w:val="18"/>
                <w:szCs w:val="18"/>
              </w:rPr>
              <w:t xml:space="preserve">├── docs/                      # Project documentation</w:t>
            </w:r>
          </w:p>
          <w:p>
            <w:pPr>
              <w:spacing w:after="0"/>
            </w:pPr>
            <w:r>
              <w:rPr>
                <w:rFonts w:ascii="Courier New" w:cs="Courier New" w:eastAsia="Courier New" w:hAnsi="Courier New"/>
                <w:color w:val="D4D4D4"/>
                <w:sz w:val="18"/>
                <w:szCs w:val="18"/>
              </w:rPr>
              <w:t xml:space="preserve">├── site.yml                   # Master playbook</w:t>
            </w:r>
          </w:p>
          <w:p>
            <w:pPr>
              <w:spacing w:after="0"/>
            </w:pPr>
            <w:r>
              <w:rPr>
                <w:rFonts w:ascii="Courier New" w:cs="Courier New" w:eastAsia="Courier New" w:hAnsi="Courier New"/>
                <w:color w:val="D4D4D4"/>
                <w:sz w:val="18"/>
                <w:szCs w:val="18"/>
              </w:rPr>
              <w:t xml:space="preserve">└── README.md</w:t>
            </w:r>
          </w:p>
        </w:tc>
      </w:tr>
    </w:tbl>
    <w:p>
      <w:pPr>
        <w:spacing w:after="80"/>
      </w:pPr>
      <w:r>
        <w:t xml:space="preserve"/>
      </w:r>
    </w:p>
    <w:p>
      <w:pPr>
        <w:spacing w:after="120"/>
      </w:pPr>
      <w:r>
        <w:rPr>
          <w:rFonts w:ascii="Arial" w:cs="Arial" w:eastAsia="Arial" w:hAnsi="Arial"/>
          <w:sz w:val="20"/>
          <w:szCs w:val="20"/>
        </w:rPr>
        <w:t xml:space="preserve">Note: group_vars/ and host_vars/ in the repo root are the authoritative variable locations. The inventories/production/ directory may symlink or reference these as required by the Ansible inventory layout.</w:t>
      </w:r>
    </w:p>
    <w:p>
      <w:pPr>
        <w:pStyle w:val="Heading1"/>
        <w:pBdr>
          <w:bottom w:val="single" w:color="2E75B6" w:sz="6" w:space="1"/>
        </w:pBdr>
        <w:spacing w:after="160" w:before="320"/>
      </w:pPr>
      <w:r>
        <w:rPr>
          <w:rFonts w:ascii="Arial" w:cs="Arial" w:eastAsia="Arial" w:hAnsi="Arial"/>
          <w:b/>
          <w:bCs/>
          <w:color w:val="1B3A5C"/>
          <w:sz w:val="32"/>
          <w:szCs w:val="32"/>
        </w:rPr>
        <w:t xml:space="preserve">3. Standard Role Directory Structure</w:t>
      </w:r>
    </w:p>
    <w:p>
      <w:pPr>
        <w:spacing w:after="120"/>
      </w:pPr>
      <w:r>
        <w:rPr>
          <w:rFonts w:ascii="Arial" w:cs="Arial" w:eastAsia="Arial" w:hAnsi="Arial"/>
          <w:sz w:val="20"/>
          <w:szCs w:val="20"/>
        </w:rPr>
        <w:t xml:space="preserve">Every role follows the standard Ansible role layout. All roles in the RVTC project use this structure consistently — no ad-hoc task files outside the standard layout are permitted.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Directory</w:t>
            </w:r>
          </w:p>
        </w:tc>
        <w:tc>
          <w:tcPr>
            <w:tcW w:type="dxa" w:w="624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tasks/main.yml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Entry point — imports sub-task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tasks/install.yml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Package installation, Docker image pull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tasks/configure.yml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file templating, volume setup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tasks/service.yml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Compose service start / enable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templates/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Jinja2 templates (.j2) for config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vars/main.yml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Role-local variables (not overridable)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defaults/main.yml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Default variables (overridable by group_vars)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handlers/main.yml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Restart handlers triggered by config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files copied verbatim to target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meta/main.yml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Role metadata and inter-role dependencies</w:t>
            </w:r>
          </w:p>
        </w:tc>
      </w:tr>
    </w:tbl>
    <w:p>
      <w:pPr>
        <w:spacing w:after="80"/>
      </w:pPr>
      <w:r>
        <w:t xml:space="preserve"/>
      </w:r>
    </w:p>
    <w:p>
      <w:pPr>
        <w:spacing w:after="120"/>
      </w:pPr>
      <w:r>
        <w:rPr>
          <w:rFonts w:ascii="Arial" w:cs="Arial" w:eastAsia="Arial" w:hAnsi="Arial"/>
          <w:sz w:val="20"/>
          <w:szCs w:val="20"/>
        </w:rPr>
        <w:t xml:space="preserve">Roles that do not require certain components (e.g. a role with no handlers) may omit those directories. The tasks/main.yml entry point is mandatory in all roles.</w:t>
      </w:r>
    </w:p>
    <w:p>
      <w:pPr>
        <w:pStyle w:val="Heading1"/>
        <w:pBdr>
          <w:bottom w:val="single" w:color="2E75B6" w:sz="6" w:space="1"/>
        </w:pBdr>
        <w:spacing w:after="160" w:before="320"/>
      </w:pPr>
      <w:r>
        <w:rPr>
          <w:rFonts w:ascii="Arial" w:cs="Arial" w:eastAsia="Arial" w:hAnsi="Arial"/>
          <w:b/>
          <w:bCs/>
          <w:color w:val="1B3A5C"/>
          <w:sz w:val="32"/>
          <w:szCs w:val="32"/>
        </w:rPr>
        <w:t xml:space="preserve">4. Role Summary</w:t>
      </w:r>
    </w:p>
    <w:p>
      <w:pPr>
        <w:spacing w:after="120"/>
      </w:pPr>
      <w:r>
        <w:rPr>
          <w:rFonts w:ascii="Arial" w:cs="Arial" w:eastAsia="Arial" w:hAnsi="Arial"/>
          <w:sz w:val="20"/>
          <w:szCs w:val="20"/>
        </w:rPr>
        <w:t xml:space="preserve">The following table lists all anticipated roles, their purpose, target deployment phase, and current definition status. Amber rows indicate an open decision that must be resolved before the role can be fully designed.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6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1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common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 baseline, Docker engine, UFW firewall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pihole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 DNS / ad-blocking container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weewx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 433 MHz weather sensor container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homeassistant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 container + ESPHome integration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influxdb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time-series database container (TBD vs TSDB)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timescaledb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TimescaleDB alternative (TBD vs InfluxDB)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grafana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Grafana dashboard + datasource provisioning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mqtt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Mosquitto MQTT broker container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epever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 Modbus RS-485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samlux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 inverter-charger integration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esphome-water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inlet ESP32-S3 node YAML + OTA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esphome-tanks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 level ESP32-S3 node YAML + OTA config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Phase 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Defined</w:t>
            </w:r>
          </w:p>
        </w:tc>
      </w:tr>
    </w:tbl>
    <w:p>
      <w:pPr>
        <w:spacing w:after="80"/>
      </w:pPr>
      <w:r>
        <w:t xml:space="preserve"/>
      </w:r>
    </w:p>
    <w:p>
      <w:pPr>
        <w:spacing w:after="120"/>
      </w:pPr>
      <w:r>
        <w:rPr>
          <w:rFonts w:ascii="Arial" w:cs="Arial" w:eastAsia="Arial" w:hAnsi="Arial"/>
          <w:sz w:val="20"/>
          <w:szCs w:val="20"/>
        </w:rPr>
        <w:t xml:space="preserve">Note — InfluxDB and TimescaleDB appear as separate rows because only one will be built. Resolution of OI-01 will remove one row from the final role list.</w:t>
      </w:r>
    </w:p>
    <w:p>
      <w:pPr>
        <w:pStyle w:val="Heading1"/>
        <w:pBdr>
          <w:bottom w:val="single" w:color="2E75B6" w:sz="6" w:space="1"/>
        </w:pBdr>
        <w:spacing w:after="160" w:before="320"/>
      </w:pPr>
      <w:r>
        <w:rPr>
          <w:rFonts w:ascii="Arial" w:cs="Arial" w:eastAsia="Arial" w:hAnsi="Arial"/>
          <w:b/>
          <w:bCs/>
          <w:color w:val="1B3A5C"/>
          <w:sz w:val="32"/>
          <w:szCs w:val="32"/>
        </w:rPr>
        <w:t xml:space="preserve">5. Role Details</w:t>
      </w:r>
    </w:p>
    <w:p>
      <w:pPr>
        <w:pStyle w:val="Heading2"/>
        <w:spacing w:after="120" w:before="240"/>
      </w:pPr>
      <w:r>
        <w:rPr>
          <w:rFonts w:ascii="Arial" w:cs="Arial" w:eastAsia="Arial" w:hAnsi="Arial"/>
          <w:b/>
          <w:bCs/>
          <w:color w:val="1B3A5C"/>
          <w:sz w:val="26"/>
          <w:szCs w:val="26"/>
        </w:rPr>
        <w:t xml:space="preserve">5a. common</w:t>
      </w:r>
    </w:p>
    <w:p>
      <w:pPr>
        <w:spacing w:after="120"/>
      </w:pPr>
      <w:r>
        <w:rPr>
          <w:rFonts w:ascii="Arial" w:cs="Arial" w:eastAsia="Arial" w:hAnsi="Arial"/>
          <w:sz w:val="20"/>
          <w:szCs w:val="20"/>
        </w:rPr>
        <w:t xml:space="preserve">The common role runs first on every play. It establishes the OS baseline that all subsequent roles depend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common</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 baseline: package prerequisites, Docker engine installation, UFW firewall rules, NTP configuration, user/group setup for Docker.</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 apt prerequisites. Install Docker CE and Docker Compose plugin. Configure UFW — allow SSH, deny all inbound by default, allow inter-container Docker bridge. Set timezone. Configure NTP (chrony or systemd-timesyncd). Create rvtc service user if required.</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rvtc_timezone, rvtc_docker_data_root, rvtc_ufw_ssh_port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 this role has no dependencies.</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 this role standalone before any other role is applied. Verify Docker is running and UFW is active before proceeding to Phase 2.</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5b. pihole</w:t>
      </w:r>
    </w:p>
    <w:p>
      <w:pPr>
        <w:spacing w:after="120"/>
      </w:pPr>
      <w:r>
        <w:rPr>
          <w:rFonts w:ascii="Arial" w:cs="Arial" w:eastAsia="Arial" w:hAnsi="Arial"/>
          <w:sz w:val="20"/>
          <w:szCs w:val="20"/>
        </w:rPr>
        <w:t xml:space="preserve">Deploys Pi-hole as a Docker container providing DNS resolution and ad blocking on the RV 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pihole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 DNS server and ad-blocking container. Provides internal DNS resolution for RV LAN devices.</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docker-compose.yml for Pi-hole service. Create config and data volume directories under rvtc_data_path. Set Pi-hole web password from Vault. Configure upstream DNS servers.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pihole_password (Vault), pihole_upstream_dns, pihole_data_path, pihole_web_port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 web UI password must be in Ansible Vault before this role runs. Consider whether Pi-hole should also serve as DHCP server on the RV LAN.</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5c. weewx</w:t>
      </w:r>
    </w:p>
    <w:p>
      <w:pPr>
        <w:spacing w:after="120"/>
      </w:pPr>
      <w:r>
        <w:rPr>
          <w:rFonts w:ascii="Arial" w:cs="Arial" w:eastAsia="Arial" w:hAnsi="Arial"/>
          <w:sz w:val="20"/>
          <w:szCs w:val="20"/>
        </w:rPr>
        <w:t xml:space="preserve">Deploys WeeWX in a Docker container to receive 433 MHz sensor data via a USB RTL-SDR or dedicated 433 MHz receiver.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weewx</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 weather station software receiving 433 MHz wireless sensor data. Archives to InfluxDB/TimescaleDB and generates reports.</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weewx.conf with station type, USB device, and database connection. Mount USB receiver device into container. Create archive volume. Configure InfluxDB output plugin.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weewx_station_type, weewx_usb_device, weewx_db_host, weewx_data_path</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influxdb (or timescaledb)</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 433 MHz receiver device path must be stable — may need udev rule. Confirm WeeWX Docker image and station driver before writing role.</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5d. homeassistant</w:t>
      </w:r>
    </w:p>
    <w:p>
      <w:pPr>
        <w:spacing w:after="120"/>
      </w:pPr>
      <w:r>
        <w:rPr>
          <w:rFonts w:ascii="Arial" w:cs="Arial" w:eastAsia="Arial" w:hAnsi="Arial"/>
          <w:sz w:val="20"/>
          <w:szCs w:val="20"/>
        </w:rPr>
        <w:t xml:space="preserve">Deploys Home Assistant as a Docker container. Acts as the central aggregator for all ESPHome sensor nodes and device integrations.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homeassistant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 automation platform. Receives data from ESPHome nodes via native API. Provides dashboards, automations, and alert delivery. Hosts EPEVER and SAMLUX integrations via Modbus.</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docker-compose.yml. Create config volume. Copy baseline configuration.yaml. Configure ESPHome integration. Configure InfluxDB long-term storage integration. Configure alert notification channels.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ha_config_path, ha_port, ha_timezone, influxdb_token (Vault)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influxdb (or timescaledb), mqtt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 configuration.yaml will be minimal — automations and dashboards are added post-deployment. Decide standalone Mosquitto vs HA built-in broker (OI-02) before this role is written.</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5e. influxdb / timescaledb</w:t>
      </w:r>
    </w:p>
    <w:p>
      <w:pPr>
        <w:spacing w:after="120"/>
      </w:pPr>
      <w:r>
        <w:rPr>
          <w:rFonts w:ascii="Arial" w:cs="Arial" w:eastAsia="Arial" w:hAnsi="Arial"/>
          <w:sz w:val="20"/>
          <w:szCs w:val="20"/>
        </w:rPr>
        <w:t xml:space="preserve">One of these two roles will be built — not both. Resolution of OI-01 determines which. Both are documented here for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influxdb</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v2 time-series database. Receives data from WeeWX, Home Assistant, and Grafana. Stores all operational time-series data on the 640 GB data drive.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InfluxDB v2 container. Create data volume on rvtc_data_path (640 GB drive). Create initial organisation, bucket, and API token. Configure retention policies.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influxdb_org, influxdb_bucket, influxdb_token (Vault), influxdb_data_path, influxdb_port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is lighter and has native WeeWX support. Choose if SQL query capability is not required. Resolve OI-01 before building.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timescaledb</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TimescaleDB (PostgreSQL extension) time-series database. Alternative to InfluxDB. Preferred if SQL joins across datasets are required.</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TimescaleDB container. Create data volume on rvtc_data_path. Create database, user, and schema. Configure WeeWX and Home Assistant PostgreSQL connections.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tsdb_db_name, tsdb_user, tsdb_password (Vault), tsdb_data_path, tsdb_port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TimescaleDB wins if cross-dataset SQL queries are needed. Heavier than InfluxDB. Resolve OI-01 before building.</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5f. grafana</w:t>
      </w:r>
    </w:p>
    <w:p>
      <w:pPr>
        <w:spacing w:after="120"/>
      </w:pPr>
      <w:r>
        <w:rPr>
          <w:rFonts w:ascii="Arial" w:cs="Arial" w:eastAsia="Arial" w:hAnsi="Arial"/>
          <w:sz w:val="20"/>
          <w:szCs w:val="20"/>
        </w:rPr>
        <w:t xml:space="preserve">Deploys Grafana for dashboards and trending. Datasources and dashboards are provisioned automatically by Ansible — no manual UI configuration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grafana</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Grafana dashboard and visualisation platform. Queries InfluxDB or TimescaleDB. Datasources and dashboards provisioned via Ansible.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Grafana container. Create config and data volumes. Template datasource provisioning YAML pointing to InfluxDB/TimescaleDB. Template initial dashboard provisioning. Set admin credentials from Vault.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grafana_admin_password (Vault), grafana_data_path, grafana_port, grafana_datasource_url</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influxdb (or timescaledb)</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JSON files will be developed iteratively post-deployment. Initial provisioning should include at least one working datasource connection test.</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5g. mqtt</w:t>
      </w:r>
    </w:p>
    <w:p>
      <w:pPr>
        <w:spacing w:after="120"/>
      </w:pPr>
      <w:r>
        <w:rPr>
          <w:rFonts w:ascii="Arial" w:cs="Arial" w:eastAsia="Arial" w:hAnsi="Arial"/>
          <w:sz w:val="20"/>
          <w:szCs w:val="20"/>
        </w:rPr>
        <w:t xml:space="preserve">Deploys a Mosquitto MQTT broker if a standalone broker is chosen over the Home Assistant built-in broker. Pending resolution of OI-02.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mqtt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Mosquitto MQTT broker. Provides message bus for ESP32-S3 sensor nodes if standalone broker is preferred over Home Assistant built-in.</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Mosquitto container. Template mosquitto.conf with listener, persistence, and logging settings. Create data and log volumes. Start and enable service.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mqtt_port, mqtt_data_path, mqtt_log_path</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role may be eliminated entirely if Home Assistant built-in broker is adopted. Resolve OI-02 before building.</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5h. epever</w:t>
      </w:r>
    </w:p>
    <w:p>
      <w:pPr>
        <w:spacing w:after="120"/>
      </w:pPr>
      <w:r>
        <w:rPr>
          <w:rFonts w:ascii="Arial" w:cs="Arial" w:eastAsia="Arial" w:hAnsi="Arial"/>
          <w:sz w:val="20"/>
          <w:szCs w:val="20"/>
        </w:rPr>
        <w:t xml:space="preserve">Integrates the EPEVER MPPT60 solar charge controller into Home Assistant via Modbus RS-485 over a USB adapter on the Beelink J45.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epever</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 Modbus RS-485 integration. Installs udev rules for USB RS-485 adapter. Configures Home Assistant Modbus integration YAML for MPPT60 register map.</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 udev rule to assign stable device path to USB RS-485 adapter by USB serial number. Template Home Assistant modbus.yaml with MPPT60 register addresses. Reload Home Assistant configuration. Verify data points appear in HA.</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epever_usb_device, epever_modbus_address, epever_scan_interval</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homeassistant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 adapter must be physically connected and identified before udev rule can be written. Confirm Linux driver support on LMDE for chosen adapter. See OI-04.</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5i. samlux</w:t>
      </w:r>
    </w:p>
    <w:p>
      <w:pPr>
        <w:spacing w:after="120"/>
      </w:pPr>
      <w:r>
        <w:rPr>
          <w:rFonts w:ascii="Arial" w:cs="Arial" w:eastAsia="Arial" w:hAnsi="Arial"/>
          <w:sz w:val="20"/>
          <w:szCs w:val="20"/>
        </w:rPr>
        <w:t xml:space="preserve">Integrates the SAMLUX 2212 inverter-charger into Home Assistant. Role design is blocked pending protocol confirmation.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samlux</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 inverter-charger monitoring integration. Protocol and connection method TBD pending investigation of available communication port.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 — depends on protocol. If Modbus: similar pattern to epever role. If RS-232: serial-to-MQTT bridge may be required. If proprietary: custom integration development.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samlux_device, samlux_protocol (TBD), samlux_modbus_address (TBD)</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homeassistant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BLOCKED on OI-03 — inspect SAMLUX 2212 unit for communication port type before any design work. This role cannot be specified until protocol is confirmed.</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5j. esphome-water</w:t>
      </w:r>
    </w:p>
    <w:p>
      <w:pPr>
        <w:spacing w:after="120"/>
      </w:pPr>
      <w:r>
        <w:rPr>
          <w:rFonts w:ascii="Arial" w:cs="Arial" w:eastAsia="Arial" w:hAnsi="Arial"/>
          <w:sz w:val="20"/>
          <w:szCs w:val="20"/>
        </w:rPr>
        <w:t xml:space="preserve">Manages the ESPHome YAML configuration for the water inlet sensor node (ESP32-S3). Handles OTA firmware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esphome-water</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firmware configuration for the water inlet ESP32-S3 node. Sensors: turbidity (RS-485 Modbus), supply pressure, filter ΔP, flow meter (pulse), enclosure temperature (DS18B20).</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5</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ESPHome YAML with RS-485 Modbus poll addresses, pulse counter config, DS18B20 address, WiFi credentials (Vault), HA API key (Vault). Deploy via ESPHome OTA. Verify all data points appear in Home 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esphome_water_ssid, esphome_water_wifi_password (Vault), esphome_water_api_key (Vault), esphome_water_ota_password (Vault), esphome_water_modbus_addresses</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WiFi credentials and API keys must be in Ansible Vault. ESP32-S3 node must be on the same LAN as the Beelink J45 for OTA deployment. Initial flash must be done via USB.</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5k. esphome-tanks</w:t>
      </w:r>
    </w:p>
    <w:p>
      <w:pPr>
        <w:spacing w:after="120"/>
      </w:pPr>
      <w:r>
        <w:rPr>
          <w:rFonts w:ascii="Arial" w:cs="Arial" w:eastAsia="Arial" w:hAnsi="Arial"/>
          <w:sz w:val="20"/>
          <w:szCs w:val="20"/>
        </w:rPr>
        <w:t xml:space="preserve">Manages the ESPHome YAML configuration for the tank level sensor node (ESP32-S3). Sensor type TBD pending bench test.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 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esphome-tanks</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firmware configuration for the RV tank level ESP32-S3 node. Monitors Fresh, Grey 1, Grey 2, Black tanks. Sensor type TBD (ultrasonic JSN-SR04T or capacitive strip). Optional propane load-cell interface.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phase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4</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tasks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ESPHome YAML with tank sensor configuration (type determined by OI bench test), WiFi credentials (Vault), HA API key (Vault). Deploy via ESPHome OTA. Verify tank level data points in Home 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esphome_tanks_ssid, esphome_tanks_wifi_password (Vault), esphome_tanks_api_key (Vault), esphome_tanks_ota_password (Vault), esphome_tanks_sensor_type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Dependencies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homeassistant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items / notes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 sensor type must be bench-tested before YAML can be written. Ultrasonic sensors require distance-to-percentage calibration per tank geometry. Propane load cell is optional — confirm before building.</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6. Variable Conventions &amp; Key Variables</w:t>
      </w:r>
    </w:p>
    <w:p>
      <w:pPr>
        <w:spacing w:after="120"/>
      </w:pPr>
      <w:r>
        <w:rPr>
          <w:rFonts w:ascii="Arial" w:cs="Arial" w:eastAsia="Arial" w:hAnsi="Arial"/>
          <w:sz w:val="20"/>
          <w:szCs w:val="20"/>
        </w:rPr>
        <w:t xml:space="preserve">All RVTC Ansible variables use the rvtc_ prefix for project-wide variables. Role-specific variables use the role name as prefix (e.g. pihole_, grafana_). Secrets are stored in Ansible Vault — never in plain-text YAML files committed to the repository.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324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36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rvtc_data_path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group_vars/all.yml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path for Docker volume mounts on data drive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rvtc_timezone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group_vars/all.yml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timezone (America/Vancouver)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pihole_password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Ansible Vault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 web UI password — never plain text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influxdb_token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Ansible Vault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write/read token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epever_usb_device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host_vars/rvtc.yml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 RS-485 adapter device path (e.g. /dev/ttyUSB0)</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weewx_station_type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group_vars/all.yml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 station driver selection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ha_config_path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group_vars/all.yml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 config volume path</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00000"/>
                <w:sz w:val="18"/>
                <w:szCs w:val="18"/>
              </w:rPr>
              <w:t xml:space="preserve">mqtt_broker_host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group_vars/all.yml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MQTT broker hostname (localhost or container name)</w:t>
            </w:r>
          </w:p>
        </w:tc>
      </w:tr>
    </w:tbl>
    <w:p>
      <w:pPr>
        <w:spacing w:after="80"/>
      </w:pPr>
      <w:r>
        <w:t xml:space="preserve"/>
      </w:r>
    </w:p>
    <w:p>
      <w:pPr>
        <w:spacing w:after="120"/>
      </w:pPr>
      <w:r>
        <w:rPr>
          <w:rFonts w:ascii="Arial" w:cs="Arial" w:eastAsia="Arial" w:hAnsi="Arial"/>
          <w:sz w:val="20"/>
          <w:szCs w:val="20"/>
        </w:rPr>
        <w:t xml:space="preserve">A complete variable reference will be produced as group_vars/all.yml and host_vars/rvtc.yml are populated during Phase 1 and 2 build work.</w:t>
      </w:r>
    </w:p>
    <w:p>
      <w:pPr>
        <w:pStyle w:val="Heading1"/>
        <w:pBdr>
          <w:bottom w:val="single" w:color="2E75B6" w:sz="6" w:space="1"/>
        </w:pBdr>
        <w:spacing w:after="160" w:before="320"/>
      </w:pPr>
      <w:r>
        <w:rPr>
          <w:rFonts w:ascii="Arial" w:cs="Arial" w:eastAsia="Arial" w:hAnsi="Arial"/>
          <w:b/>
          <w:bCs/>
          <w:color w:val="1B3A5C"/>
          <w:sz w:val="32"/>
          <w:szCs w:val="32"/>
        </w:rPr>
        <w:t xml:space="preserve">7. Master Playbook Structure</w:t>
      </w:r>
    </w:p>
    <w:p>
      <w:pPr>
        <w:spacing w:after="120"/>
      </w:pPr>
      <w:r>
        <w:rPr>
          <w:rFonts w:ascii="Arial" w:cs="Arial" w:eastAsia="Arial" w:hAnsi="Arial"/>
          <w:sz w:val="20"/>
          <w:szCs w:val="20"/>
        </w:rPr>
        <w:t xml:space="preserve">The site.yml master playbook applies roles in dependency order. The following structure is the starting point — it will be refined as roles are built.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80"/>
              <w:left w:type="dxa" w:w="120"/>
              <w:bottom w:type="dxa" w:w="80"/>
              <w:right w:type="dxa" w:w="120"/>
            </w:tcMar>
          </w:tcPr>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RVTC Master Playbook — site.yml</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name: RVTC — Full stack deployment</w:t>
            </w:r>
          </w:p>
          <w:p>
            <w:pPr>
              <w:spacing w:after="0"/>
            </w:pPr>
            <w:r>
              <w:rPr>
                <w:rFonts w:ascii="Courier New" w:cs="Courier New" w:eastAsia="Courier New" w:hAnsi="Courier New"/>
                <w:color w:val="D4D4D4"/>
                <w:sz w:val="18"/>
                <w:szCs w:val="18"/>
              </w:rPr>
              <w:t xml:space="preserve">  hosts: rvtc</w:t>
            </w:r>
          </w:p>
          <w:p>
            <w:pPr>
              <w:spacing w:after="0"/>
            </w:pPr>
            <w:r>
              <w:rPr>
                <w:rFonts w:ascii="Courier New" w:cs="Courier New" w:eastAsia="Courier New" w:hAnsi="Courier New"/>
                <w:color w:val="D4D4D4"/>
                <w:sz w:val="18"/>
                <w:szCs w:val="18"/>
              </w:rPr>
              <w:t xml:space="preserve">  become: true</w:t>
            </w:r>
          </w:p>
          <w:p>
            <w:pPr>
              <w:spacing w:after="0"/>
            </w:pPr>
            <w:r>
              <w:rPr>
                <w:rFonts w:ascii="Courier New" w:cs="Courier New" w:eastAsia="Courier New" w:hAnsi="Courier New"/>
                <w:color w:val="D4D4D4"/>
                <w:sz w:val="18"/>
                <w:szCs w:val="18"/>
              </w:rPr>
              <w:t xml:space="preserve">  roles:</w:t>
            </w:r>
          </w:p>
          <w:p>
            <w:pPr>
              <w:spacing w:after="0"/>
            </w:pPr>
            <w:r>
              <w:rPr>
                <w:rFonts w:ascii="Courier New" w:cs="Courier New" w:eastAsia="Courier New" w:hAnsi="Courier New"/>
                <w:color w:val="D4D4D4"/>
                <w:sz w:val="18"/>
                <w:szCs w:val="18"/>
              </w:rPr>
              <w:t xml:space="preserve">    - common          # Phase 1 — must run first</w:t>
            </w:r>
          </w:p>
          <w:p>
            <w:pPr>
              <w:spacing w:after="0"/>
            </w:pPr>
            <w:r>
              <w:rPr>
                <w:rFonts w:ascii="Courier New" w:cs="Courier New" w:eastAsia="Courier New" w:hAnsi="Courier New"/>
                <w:color w:val="D4D4D4"/>
                <w:sz w:val="18"/>
                <w:szCs w:val="18"/>
              </w:rPr>
              <w:t xml:space="preserve">    - pihole          # Phase 2</w:t>
            </w:r>
          </w:p>
          <w:p>
            <w:pPr>
              <w:spacing w:after="0"/>
            </w:pPr>
            <w:r>
              <w:rPr>
                <w:rFonts w:ascii="Courier New" w:cs="Courier New" w:eastAsia="Courier New" w:hAnsi="Courier New"/>
                <w:color w:val="D4D4D4"/>
                <w:sz w:val="18"/>
                <w:szCs w:val="18"/>
              </w:rPr>
              <w:t xml:space="preserve">    - influxdb        # Phase 2 — OR timescaledb</w:t>
            </w:r>
          </w:p>
          <w:p>
            <w:pPr>
              <w:spacing w:after="0"/>
            </w:pPr>
            <w:r>
              <w:rPr>
                <w:rFonts w:ascii="Courier New" w:cs="Courier New" w:eastAsia="Courier New" w:hAnsi="Courier New"/>
                <w:color w:val="D4D4D4"/>
                <w:sz w:val="18"/>
                <w:szCs w:val="18"/>
              </w:rPr>
              <w:t xml:space="preserve">    - mqtt            # Phase 2 — if standalone broker adopted</w:t>
            </w:r>
          </w:p>
          <w:p>
            <w:pPr>
              <w:spacing w:after="0"/>
            </w:pPr>
            <w:r>
              <w:rPr>
                <w:rFonts w:ascii="Courier New" w:cs="Courier New" w:eastAsia="Courier New" w:hAnsi="Courier New"/>
                <w:color w:val="D4D4D4"/>
                <w:sz w:val="18"/>
                <w:szCs w:val="18"/>
              </w:rPr>
              <w:t xml:space="preserve">    - homeassistant   # Phase 2</w:t>
            </w:r>
          </w:p>
          <w:p>
            <w:pPr>
              <w:spacing w:after="0"/>
            </w:pPr>
            <w:r>
              <w:rPr>
                <w:rFonts w:ascii="Courier New" w:cs="Courier New" w:eastAsia="Courier New" w:hAnsi="Courier New"/>
                <w:color w:val="D4D4D4"/>
                <w:sz w:val="18"/>
                <w:szCs w:val="18"/>
              </w:rPr>
              <w:t xml:space="preserve">    - weewx           # Phase 2</w:t>
            </w:r>
          </w:p>
          <w:p>
            <w:pPr>
              <w:spacing w:after="0"/>
            </w:pPr>
            <w:r>
              <w:rPr>
                <w:rFonts w:ascii="Courier New" w:cs="Courier New" w:eastAsia="Courier New" w:hAnsi="Courier New"/>
                <w:color w:val="D4D4D4"/>
                <w:sz w:val="18"/>
                <w:szCs w:val="18"/>
              </w:rPr>
              <w:t xml:space="preserve">    - grafana         # Phase 2</w:t>
            </w:r>
          </w:p>
          <w:p>
            <w:pPr>
              <w:spacing w:after="0"/>
            </w:pPr>
            <w:r>
              <w:rPr>
                <w:rFonts w:ascii="Courier New" w:cs="Courier New" w:eastAsia="Courier New" w:hAnsi="Courier New"/>
                <w:color w:val="D4D4D4"/>
                <w:sz w:val="18"/>
                <w:szCs w:val="18"/>
              </w:rPr>
              <w:t xml:space="preserve">    - epever          # Phase 3</w:t>
            </w:r>
          </w:p>
          <w:p>
            <w:pPr>
              <w:spacing w:after="0"/>
            </w:pPr>
            <w:r>
              <w:rPr>
                <w:rFonts w:ascii="Courier New" w:cs="Courier New" w:eastAsia="Courier New" w:hAnsi="Courier New"/>
                <w:color w:val="D4D4D4"/>
                <w:sz w:val="18"/>
                <w:szCs w:val="18"/>
              </w:rPr>
              <w:t xml:space="preserve">    - samlux          # Phase 3 — pending OI-03</w:t>
            </w:r>
          </w:p>
          <w:p>
            <w:pPr>
              <w:spacing w:after="0"/>
            </w:pPr>
            <w:r>
              <w:rPr>
                <w:rFonts w:ascii="Courier New" w:cs="Courier New" w:eastAsia="Courier New" w:hAnsi="Courier New"/>
                <w:color w:val="D4D4D4"/>
                <w:sz w:val="18"/>
                <w:szCs w:val="18"/>
              </w:rPr>
              <w:t xml:space="preserve">    - esphome-tanks   # Phase 4</w:t>
            </w:r>
          </w:p>
          <w:p>
            <w:pPr>
              <w:spacing w:after="0"/>
            </w:pPr>
            <w:r>
              <w:rPr>
                <w:rFonts w:ascii="Courier New" w:cs="Courier New" w:eastAsia="Courier New" w:hAnsi="Courier New"/>
                <w:color w:val="D4D4D4"/>
                <w:sz w:val="18"/>
                <w:szCs w:val="18"/>
              </w:rPr>
              <w:t xml:space="preserve">    - esphome-water   # Phase 5</w:t>
            </w:r>
          </w:p>
        </w:tc>
      </w:tr>
    </w:tbl>
    <w:p>
      <w:pPr>
        <w:spacing w:after="80"/>
      </w:pPr>
      <w:r>
        <w:t xml:space="preserve"/>
      </w:r>
    </w:p>
    <w:p>
      <w:pPr>
        <w:spacing w:after="120"/>
      </w:pPr>
      <w:r>
        <w:rPr>
          <w:rFonts w:ascii="Arial" w:cs="Arial" w:eastAsia="Arial" w:hAnsi="Arial"/>
          <w:sz w:val="20"/>
          <w:szCs w:val="20"/>
        </w:rPr>
        <w:t xml:space="preserve">Individual roles can be run in isolation using Ansible tags or --limit flags during development and testing. The full site.yml run is reserved for clean deployments from scratch.</w:t>
      </w:r>
    </w:p>
    <w:p>
      <w:pPr>
        <w:pStyle w:val="Heading1"/>
        <w:pBdr>
          <w:bottom w:val="single" w:color="2E75B6" w:sz="6" w:space="1"/>
        </w:pBdr>
        <w:spacing w:after="160" w:before="320"/>
      </w:pPr>
      <w:r>
        <w:rPr>
          <w:rFonts w:ascii="Arial" w:cs="Arial" w:eastAsia="Arial" w:hAnsi="Arial"/>
          <w:b/>
          <w:bCs/>
          <w:color w:val="1B3A5C"/>
          <w:sz w:val="32"/>
          <w:szCs w:val="32"/>
        </w:rPr>
        <w:t xml:space="preserve">8. Open Items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2000"/>
        <w:gridCol w:w="4440"/>
      </w:tblGrid>
      <w:tr>
        <w:tc>
          <w:tcPr>
            <w:tcW w:type="dxa" w:w="52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0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44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vs TimescaleDB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Must be resolved before Phase 2. Only one influxdb or timescaledb role will be built.</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MQTT broker — standalone vs HA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 has a built-in Mosquitto add-on. Standalone container gives more control. Decide before homeassistant role is written.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 protocol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Investigation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 RS-232 / Modbus / proprietary before samlux role can be designed.</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USB adapter udev rules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Engineering</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 /dev/ttyUSB0 persistence. May need udev rule by USB serial number to prevent device path changing on reboot.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Ansible Vault key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where vault password is stored (file, env var, or password manager) before any secrets are committed.</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network naming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a single Docker bridge network name used by all containers for inter-service communication.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site.yml playbook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whether site.yml runs all roles or whether separate playbooks exist per phase/subsystem.</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9. Immediate Next Steps</w:t>
      </w:r>
    </w:p>
    <w:p>
      <w:pPr>
        <w:pStyle w:val="ListParagraph"/>
        <w:numPr>
          <w:ilvl w:val="0"/>
          <w:numId w:val="2"/>
        </w:numPr>
        <w:spacing w:after="80"/>
      </w:pPr>
      <w:r>
        <w:rPr>
          <w:rFonts w:ascii="Arial" w:cs="Arial" w:eastAsia="Arial" w:hAnsi="Arial"/>
          <w:sz w:val="20"/>
          <w:szCs w:val="20"/>
        </w:rPr>
        <w:t xml:space="preserve">Resolve OI-01 (InfluxDB vs TimescaleDB) — eliminates one role from the list before Phase 2 begins.</w:t>
      </w:r>
    </w:p>
    <w:p>
      <w:pPr>
        <w:pStyle w:val="ListParagraph"/>
        <w:numPr>
          <w:ilvl w:val="0"/>
          <w:numId w:val="2"/>
        </w:numPr>
        <w:spacing w:after="80"/>
      </w:pPr>
      <w:r>
        <w:rPr>
          <w:rFonts w:ascii="Arial" w:cs="Arial" w:eastAsia="Arial" w:hAnsi="Arial"/>
          <w:sz w:val="20"/>
          <w:szCs w:val="20"/>
        </w:rPr>
        <w:t xml:space="preserve">Resolve OI-02 (MQTT broker) — determines whether mqtt role is built or eliminated.</w:t>
      </w:r>
    </w:p>
    <w:p>
      <w:pPr>
        <w:pStyle w:val="ListParagraph"/>
        <w:numPr>
          <w:ilvl w:val="0"/>
          <w:numId w:val="2"/>
        </w:numPr>
        <w:spacing w:after="80"/>
      </w:pPr>
      <w:r>
        <w:rPr>
          <w:rFonts w:ascii="Arial" w:cs="Arial" w:eastAsia="Arial" w:hAnsi="Arial"/>
          <w:sz w:val="20"/>
          <w:szCs w:val="20"/>
        </w:rPr>
        <w:t xml:space="preserve">Resolve OI-03 (SAMLUX protocol) — physically inspect the SAMLUX 2212 communication port.</w:t>
      </w:r>
    </w:p>
    <w:p>
      <w:pPr>
        <w:pStyle w:val="ListParagraph"/>
        <w:numPr>
          <w:ilvl w:val="0"/>
          <w:numId w:val="2"/>
        </w:numPr>
        <w:spacing w:after="80"/>
      </w:pPr>
      <w:r>
        <w:rPr>
          <w:rFonts w:ascii="Arial" w:cs="Arial" w:eastAsia="Arial" w:hAnsi="Arial"/>
          <w:sz w:val="20"/>
          <w:szCs w:val="20"/>
        </w:rPr>
        <w:t xml:space="preserve">Commit this document to docs/ in the RVTC GitHub repository.</w:t>
      </w:r>
    </w:p>
    <w:p>
      <w:pPr>
        <w:pStyle w:val="ListParagraph"/>
        <w:numPr>
          <w:ilvl w:val="0"/>
          <w:numId w:val="2"/>
        </w:numPr>
        <w:spacing w:after="80"/>
      </w:pPr>
      <w:r>
        <w:rPr>
          <w:rFonts w:ascii="Arial" w:cs="Arial" w:eastAsia="Arial" w:hAnsi="Arial"/>
          <w:sz w:val="20"/>
          <w:szCs w:val="20"/>
        </w:rPr>
        <w:t xml:space="preserve">Begin Phase 1 — LMDE installation on Beelink J45, partitioned per the drive layout in the Architecture Document.</w:t>
      </w:r>
    </w:p>
    <w:p>
      <w:pPr>
        <w:pStyle w:val="ListParagraph"/>
        <w:numPr>
          <w:ilvl w:val="0"/>
          <w:numId w:val="2"/>
        </w:numPr>
        <w:spacing w:after="80"/>
      </w:pPr>
      <w:r>
        <w:rPr>
          <w:rFonts w:ascii="Arial" w:cs="Arial" w:eastAsia="Arial" w:hAnsi="Arial"/>
          <w:sz w:val="20"/>
          <w:szCs w:val="20"/>
        </w:rPr>
        <w:t xml:space="preserve">Write and test the common role against the J45 before any other role work begins.</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00"/>
    </w:pPr>
    <w:r>
      <w:rPr>
        <w:rFonts w:ascii="Arial" w:cs="Arial" w:eastAsia="Arial" w:hAnsi="Arial"/>
        <w:color w:val="666666"/>
        <w:sz w:val="16"/>
        <w:szCs w:val="16"/>
      </w:rPr>
      <w:t xml:space="preserve">Version 0.1 — Draft     Steve Bradshaw     </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B3A5C"/>
        <w:sz w:val="18"/>
        <w:szCs w:val="18"/>
      </w:rPr>
      <w:t xml:space="preserve">RV Total Control (RVTC) — Ansible Role Structure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2026-05-26T18:13:57.516Z</dcterms:created>
  <dcterms:modified xsi:type="dcterms:W3CDTF">2026-05-26T18:13:57.528Z</dcterms:modified>
</cp:coreProperties>
</file>

<file path=docProps/custom.xml><?xml version="1.0" encoding="utf-8"?>
<Properties xmlns="http://schemas.openxmlformats.org/officeDocument/2006/custom-properties" xmlns:vt="http://schemas.openxmlformats.org/officeDocument/2006/docPropsVTypes"/>
</file>