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 II Mother, Adolescent, Growth and Development - Review Notes (SAMPLE)</w:t>
      </w:r>
    </w:p>
    <w:p>
      <w:pPr>
        <w:pStyle w:val="Heading1"/>
      </w:pPr>
      <w:r>
        <w:t>Antepartum Care</w:t>
      </w:r>
    </w:p>
    <w:p>
      <w:r>
        <w:t>Naegele's rule: add 7 days to the first day of the last menstrual period, subtract 3 months, and add 1 year.</w:t>
      </w:r>
    </w:p>
    <w:p>
      <w:r>
        <w:t>Fundal height is just above the symphysis pubis at 12 weeks, at the level of the umbilicus at 20 weeks, and near the xiphoid process at 36 weeks. The normal fetal heart rate is 110 to 160 beats per minute.</w:t>
      </w:r>
    </w:p>
    <w:p>
      <w:pPr>
        <w:pStyle w:val="Heading1"/>
      </w:pPr>
      <w:r>
        <w:t>Intrapartum Care</w:t>
      </w:r>
    </w:p>
    <w:p>
      <w:r>
        <w:t>The first stage of labor lasts from the onset of true labor to full cervical dilatation of 10 cm. The second stage ends with the birth of the baby, the third stage with delivery of the placenta, and the fourth stage covers the first 1 to 4 hours after delivery of the placenta.</w:t>
      </w:r>
    </w:p>
    <w:p>
      <w:r>
        <w:t>Late decelerations suggest uteroplacental insufficiency. The nurse should first turn the client to her left side, stop the oxytocin infusion, give oxygen by face mask, and notify the physician.</w:t>
      </w:r>
    </w:p>
    <w:p>
      <w:pPr>
        <w:pStyle w:val="Heading1"/>
      </w:pPr>
      <w:r>
        <w:t>Essential Intrapartum and Newborn Care (EINC)</w:t>
      </w:r>
    </w:p>
    <w:p>
      <w:r>
        <w:t>The time-bound EINC steps are immediate and thorough drying of the newborn, early skin-to-skin contact, properly timed cord clamping after cord pulsations stop, and non-separation of mother and newborn for early breastfeeding.</w:t>
      </w:r>
    </w:p>
    <w:p>
      <w:pPr>
        <w:pStyle w:val="Heading1"/>
      </w:pPr>
      <w:r>
        <w:t>High-Risk Pregnancy</w:t>
      </w:r>
    </w:p>
    <w:p>
      <w:r>
        <w:t>Magnesium sulfate is used to prevent seizures in severe preeclampsia. Withhold the drug and notify the physician if deep tendon reflexes are absent, the respiratory rate is below 12 breaths per minute, or urine output is less than 30 mL per hour. Calcium gluconate is the antidote.</w:t>
      </w:r>
    </w:p>
    <w:p>
      <w:pPr>
        <w:pStyle w:val="Heading1"/>
      </w:pPr>
      <w:r>
        <w:t>Growth and Development</w:t>
      </w:r>
    </w:p>
    <w:p>
      <w:r>
        <w:t>Erikson's stages: infants develop trust versus mistrust; toddlers develop autonomy versus shame and doubt; preschoolers develop initiative versus guilt; school-age children develop industry versus inferiority; adolescents develop identity versus role confusion.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